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b w:val="0"/>
          <w:i w:val="0"/>
          <w:caps w:val="0"/>
          <w:color w:val="0D0509"/>
          <w:spacing w:val="0"/>
          <w:sz w:val="36"/>
          <w:szCs w:val="36"/>
        </w:rPr>
      </w:pPr>
      <w:r>
        <w:rPr>
          <w:rFonts w:hint="eastAsia" w:ascii="微软雅黑" w:hAnsi="微软雅黑" w:eastAsia="微软雅黑" w:cs="微软雅黑"/>
          <w:b w:val="0"/>
          <w:i w:val="0"/>
          <w:caps w:val="0"/>
          <w:color w:val="0D0509"/>
          <w:spacing w:val="0"/>
          <w:sz w:val="36"/>
          <w:szCs w:val="36"/>
          <w:bdr w:val="none" w:color="auto" w:sz="0" w:space="0"/>
        </w:rPr>
        <w:t>南山区</w:t>
      </w:r>
      <w:r>
        <w:rPr>
          <w:rFonts w:hint="eastAsia" w:ascii="微软雅黑" w:hAnsi="微软雅黑" w:eastAsia="微软雅黑" w:cs="微软雅黑"/>
          <w:b w:val="0"/>
          <w:i w:val="0"/>
          <w:caps w:val="0"/>
          <w:color w:val="0D0509"/>
          <w:spacing w:val="0"/>
          <w:sz w:val="36"/>
          <w:szCs w:val="36"/>
          <w:bdr w:val="none" w:color="auto" w:sz="0" w:space="0"/>
          <w:lang w:eastAsia="zh-CN"/>
        </w:rPr>
        <w:t>六号街道</w:t>
      </w:r>
      <w:r>
        <w:rPr>
          <w:rFonts w:hint="eastAsia" w:ascii="微软雅黑" w:hAnsi="微软雅黑" w:eastAsia="微软雅黑" w:cs="微软雅黑"/>
          <w:b w:val="0"/>
          <w:i w:val="0"/>
          <w:caps w:val="0"/>
          <w:color w:val="0D0509"/>
          <w:spacing w:val="0"/>
          <w:sz w:val="36"/>
          <w:szCs w:val="36"/>
          <w:bdr w:val="none" w:color="auto" w:sz="0" w:space="0"/>
        </w:rPr>
        <w:t>2019年度信息公开报告</w:t>
      </w:r>
    </w:p>
    <w:p>
      <w:pPr>
        <w:rPr>
          <w:rFonts w:ascii="仿宋_GB2312" w:hAnsi="宋体" w:eastAsia="仿宋_GB2312" w:cs="仿宋_GB2312"/>
          <w:i w:val="0"/>
          <w:caps w:val="0"/>
          <w:color w:val="000000"/>
          <w:spacing w:val="0"/>
          <w:sz w:val="32"/>
          <w:szCs w:val="32"/>
          <w:shd w:val="clear" w:fill="FFFFFF"/>
        </w:rPr>
      </w:pPr>
    </w:p>
    <w:p>
      <w:pPr>
        <w:ind w:firstLine="640" w:firstLineChars="200"/>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根据</w:t>
      </w:r>
      <w:r>
        <w:rPr>
          <w:rFonts w:hint="eastAsia" w:ascii="仿宋_GB2312" w:hAnsi="宋体" w:eastAsia="仿宋_GB2312" w:cs="仿宋_GB2312"/>
          <w:i w:val="0"/>
          <w:caps w:val="0"/>
          <w:color w:val="000000"/>
          <w:spacing w:val="0"/>
          <w:sz w:val="32"/>
          <w:szCs w:val="32"/>
          <w:shd w:val="clear" w:fill="FFFFFF"/>
        </w:rPr>
        <w:t>《国务院办公厅政府信息与政务公开办公室关于政府信息公开年度报告有关事项的通知》（国办公开函〔2019〕60号）和《中华人民共和国政府信息公开条例》要求，现将2019年鹤岗市南山区</w:t>
      </w:r>
      <w:r>
        <w:rPr>
          <w:rFonts w:hint="eastAsia" w:ascii="仿宋_GB2312" w:hAnsi="宋体" w:eastAsia="仿宋_GB2312" w:cs="仿宋_GB2312"/>
          <w:i w:val="0"/>
          <w:caps w:val="0"/>
          <w:color w:val="000000"/>
          <w:spacing w:val="0"/>
          <w:sz w:val="32"/>
          <w:szCs w:val="32"/>
          <w:shd w:val="clear" w:fill="FFFFFF"/>
          <w:lang w:eastAsia="zh-CN"/>
        </w:rPr>
        <w:t>六号街道</w:t>
      </w:r>
      <w:r>
        <w:rPr>
          <w:rFonts w:hint="eastAsia" w:ascii="仿宋_GB2312" w:hAnsi="宋体" w:eastAsia="仿宋_GB2312" w:cs="仿宋_GB2312"/>
          <w:i w:val="0"/>
          <w:caps w:val="0"/>
          <w:color w:val="000000"/>
          <w:spacing w:val="0"/>
          <w:sz w:val="32"/>
          <w:szCs w:val="32"/>
          <w:shd w:val="clear" w:fill="FFFFFF"/>
        </w:rPr>
        <w:t>信息公开工作年度报告予以公布。报告全文包内容包括2019年</w:t>
      </w:r>
      <w:r>
        <w:rPr>
          <w:rFonts w:hint="eastAsia" w:ascii="仿宋_GB2312" w:hAnsi="宋体" w:eastAsia="仿宋_GB2312" w:cs="仿宋_GB2312"/>
          <w:i w:val="0"/>
          <w:caps w:val="0"/>
          <w:color w:val="000000"/>
          <w:spacing w:val="0"/>
          <w:sz w:val="32"/>
          <w:szCs w:val="32"/>
          <w:shd w:val="clear" w:fill="FFFFFF"/>
          <w:lang w:eastAsia="zh-CN"/>
        </w:rPr>
        <w:t>六号街道</w:t>
      </w:r>
      <w:r>
        <w:rPr>
          <w:rFonts w:hint="eastAsia" w:ascii="仿宋_GB2312" w:hAnsi="宋体" w:eastAsia="仿宋_GB2312" w:cs="仿宋_GB2312"/>
          <w:i w:val="0"/>
          <w:caps w:val="0"/>
          <w:color w:val="000000"/>
          <w:spacing w:val="0"/>
          <w:sz w:val="32"/>
          <w:szCs w:val="32"/>
          <w:shd w:val="clear" w:fill="FFFFFF"/>
        </w:rPr>
        <w:t>信息公开工作情况概述、主动公开</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信息情况、依申请公开</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信息办理情况、</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信息公开的收费及减免情况、因</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信息公开申请行政复议和提起行政诉讼的情况、</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信息公开工作存在的主要问题和改进措施等七项个方面内容。报告中所列数据的统计期限为2019年1月1日至12月31日。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ascii="微软雅黑" w:hAnsi="微软雅黑" w:eastAsia="微软雅黑" w:cs="微软雅黑"/>
          <w:i w:val="0"/>
          <w:caps w:val="0"/>
          <w:color w:val="000000"/>
          <w:spacing w:val="0"/>
          <w:sz w:val="24"/>
          <w:szCs w:val="24"/>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一、</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工作情况概述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both"/>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年，我街道信息公开工作在区委、区政府的正确领导下，紧紧围绕增强工作的透明度上下功夫，进一步加强民主监督，大力推行依法行政、优质行政、廉洁行政，进一步巩固和深化街道信息公开成果，规范街道信息公开内容，创新街道信息公开形式，突出街道信息公开重点，提高街道信息公开水平，有力地促进了我街道各项工作的开展，取得了明显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ascii="楷体_GB2312" w:hAnsi="微软雅黑" w:eastAsia="楷体_GB2312" w:cs="楷体_GB2312"/>
          <w:i w:val="0"/>
          <w:caps w:val="0"/>
          <w:color w:val="000000"/>
          <w:spacing w:val="0"/>
          <w:kern w:val="0"/>
          <w:sz w:val="32"/>
          <w:szCs w:val="32"/>
          <w:bdr w:val="none" w:color="auto" w:sz="0" w:space="0"/>
          <w:shd w:val="clear" w:fill="FFFFFF"/>
          <w:lang w:val="en-US" w:eastAsia="zh-CN" w:bidi="ar"/>
        </w:rPr>
        <w:t>（一）</w:t>
      </w:r>
      <w:r>
        <w:rPr>
          <w:rFonts w:hint="eastAsia" w:ascii="楷体_GB2312" w:hAnsi="微软雅黑" w:eastAsia="楷体_GB2312" w:cs="楷体_GB2312"/>
          <w:i w:val="0"/>
          <w:caps w:val="0"/>
          <w:color w:val="000000"/>
          <w:spacing w:val="0"/>
          <w:kern w:val="0"/>
          <w:sz w:val="32"/>
          <w:szCs w:val="32"/>
          <w:bdr w:val="none" w:color="auto" w:sz="0" w:space="0"/>
          <w:shd w:val="clear" w:fill="FFFFFF"/>
          <w:lang w:val="en-US" w:eastAsia="zh-CN" w:bidi="ar"/>
        </w:rPr>
        <w:t>提高思想认识，加强组织领导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根据市、区政府信息公开工作部署，我街道十分重视政府信息公开工作，</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一是</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成立了由街工委书记孙丽颖任组长的鹤岗市南山区六号街道信息公开工作领导小组，负责协调组织街道政府信息公开工作，形成主要领导负总责，各社区负责人具体抓，专人负责落实的一级抓一级、层层抓落实的工作格局。</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二是</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发挥街道党组织作为街道信息公开的责任作用，推进街道信息公开工作。同时，把街道信息公开纳入整体工作进行部署落实，通过这些措施，全街道建立起职责明确的领导机制和责任体系。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i w:val="0"/>
          <w:caps w:val="0"/>
          <w:color w:val="000000"/>
          <w:spacing w:val="0"/>
          <w:kern w:val="0"/>
          <w:sz w:val="32"/>
          <w:szCs w:val="32"/>
          <w:bdr w:val="none" w:color="auto" w:sz="0" w:space="0"/>
          <w:shd w:val="clear" w:fill="FFFFFF"/>
          <w:lang w:val="en-US" w:eastAsia="zh-CN" w:bidi="ar"/>
        </w:rPr>
        <w:t>（二）建设微信公众平台，规范运行机制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为实现我街道信息公开及时、准确、高效，促进提高科学执政、民主执政、依法执政能力和水平，推进民主法制政府建设进程，建立行为规范、公正透明、廉洁高效的行政管理体系，我街道结合实际，2019年建设我街道微信公众平台，明确平台相关工作人员，落实专人负责平台的日常维护和管理，负责政务信息公开的具体工作。争取使街道信息公开工作早日走上程序化、规范化、制度化的轨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i w:val="0"/>
          <w:caps w:val="0"/>
          <w:color w:val="000000"/>
          <w:spacing w:val="0"/>
          <w:kern w:val="0"/>
          <w:sz w:val="32"/>
          <w:szCs w:val="32"/>
          <w:bdr w:val="none" w:color="auto" w:sz="0" w:space="0"/>
          <w:shd w:val="clear" w:fill="FFFFFF"/>
          <w:lang w:val="en-US" w:eastAsia="zh-CN" w:bidi="ar"/>
        </w:rPr>
        <w:t>（三）加强业务培训，提高工作能力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00"/>
        <w:jc w:val="both"/>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我街道把信息公开的学习培训作为开展好街道信息公开工作的重点认真抓好，及时组织信息公开工作人员认真学习《政府信息公开条例》、有关领导在信息公开工作会议上的讲话和与信息公开工作相关的材料，进一步提高了信息公开工作人员的工作能力和水平，在全街道上下营造了推行信息公开的良好社会氛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00"/>
        <w:jc w:val="both"/>
        <w:rPr>
          <w:rFonts w:hint="eastAsia"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rPr>
        <w:t>主动公开政府信息情况</w:t>
      </w:r>
    </w:p>
    <w:p>
      <w:pPr>
        <w:keepNext w:val="0"/>
        <w:keepLines w:val="0"/>
        <w:widowControl/>
        <w:suppressLineNumbers w:val="0"/>
        <w:jc w:val="left"/>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586"/>
        <w:gridCol w:w="1758"/>
        <w:gridCol w:w="2119"/>
        <w:gridCol w:w="18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456"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ascii="仿宋" w:hAnsi="仿宋" w:eastAsia="仿宋" w:cs="仿宋"/>
                <w:i w:val="0"/>
                <w:caps w:val="0"/>
                <w:color w:val="000000"/>
                <w:spacing w:val="0"/>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信息内容</w:t>
            </w:r>
          </w:p>
        </w:tc>
        <w:tc>
          <w:tcPr>
            <w:tcW w:w="178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本年新制作数量</w:t>
            </w:r>
          </w:p>
        </w:tc>
        <w:tc>
          <w:tcPr>
            <w:tcW w:w="214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本年新公开数量</w:t>
            </w:r>
          </w:p>
        </w:tc>
        <w:tc>
          <w:tcPr>
            <w:tcW w:w="1903"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规章</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规范性文件</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456" w:type="dxa"/>
            <w:gridSpan w:val="4"/>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信息内容</w:t>
            </w:r>
          </w:p>
        </w:tc>
        <w:tc>
          <w:tcPr>
            <w:tcW w:w="178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上一年项目数量</w:t>
            </w:r>
          </w:p>
        </w:tc>
        <w:tc>
          <w:tcPr>
            <w:tcW w:w="214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本年增/减</w:t>
            </w:r>
          </w:p>
        </w:tc>
        <w:tc>
          <w:tcPr>
            <w:tcW w:w="1903"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行政许可</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default"/>
                <w:lang w:val="en-US"/>
              </w:rPr>
            </w:pPr>
            <w:r>
              <w:rPr>
                <w:rFonts w:hint="eastAsia" w:ascii="仿宋" w:hAnsi="仿宋" w:eastAsia="仿宋" w:cs="仿宋"/>
                <w:i w:val="0"/>
                <w:caps w:val="0"/>
                <w:color w:val="000000"/>
                <w:spacing w:val="0"/>
                <w:kern w:val="0"/>
                <w:sz w:val="24"/>
                <w:szCs w:val="24"/>
                <w:bdr w:val="none" w:color="auto" w:sz="0" w:space="0"/>
                <w:lang w:val="en-US" w:eastAsia="zh-CN" w:bidi="ar"/>
              </w:rPr>
              <w:t>12</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default"/>
                <w:lang w:val="en-US"/>
              </w:rPr>
            </w:pPr>
            <w:r>
              <w:rPr>
                <w:rFonts w:hint="eastAsia" w:ascii="仿宋" w:hAnsi="仿宋" w:eastAsia="仿宋" w:cs="仿宋"/>
                <w:i w:val="0"/>
                <w:caps w:val="0"/>
                <w:color w:val="000000"/>
                <w:spacing w:val="0"/>
                <w:kern w:val="0"/>
                <w:sz w:val="24"/>
                <w:szCs w:val="24"/>
                <w:bdr w:val="none" w:color="auto" w:sz="0" w:space="0"/>
                <w:lang w:val="en-US" w:eastAsia="zh-CN" w:bidi="ar"/>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pPr>
            <w:r>
              <w:rPr>
                <w:rFonts w:hint="eastAsia" w:ascii="仿宋" w:hAnsi="仿宋" w:eastAsia="仿宋" w:cs="仿宋"/>
                <w:i w:val="0"/>
                <w:caps w:val="0"/>
                <w:color w:val="000000"/>
                <w:spacing w:val="0"/>
                <w:sz w:val="24"/>
                <w:szCs w:val="24"/>
                <w:bdr w:val="none" w:color="auto" w:sz="0" w:space="0"/>
              </w:rPr>
              <w:t>其他对外管理服务事项</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456" w:type="dxa"/>
            <w:gridSpan w:val="4"/>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信息内容</w:t>
            </w:r>
          </w:p>
        </w:tc>
        <w:tc>
          <w:tcPr>
            <w:tcW w:w="178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上一年项目数量</w:t>
            </w:r>
          </w:p>
        </w:tc>
        <w:tc>
          <w:tcPr>
            <w:tcW w:w="214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本年增/减</w:t>
            </w:r>
          </w:p>
        </w:tc>
        <w:tc>
          <w:tcPr>
            <w:tcW w:w="1903"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行政处罚</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eastAsia" w:eastAsiaTheme="minorEastAsia"/>
                <w:lang w:val="en-US" w:eastAsia="zh-CN"/>
              </w:rPr>
            </w:pPr>
            <w:r>
              <w:rPr>
                <w:rFonts w:hint="eastAsia"/>
                <w:lang w:val="en-US" w:eastAsia="zh-CN"/>
              </w:rPr>
              <w:t>2</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eastAsia" w:eastAsiaTheme="minorEastAsia"/>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行政强制</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214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190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456" w:type="dxa"/>
            <w:gridSpan w:val="4"/>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信息内容</w:t>
            </w:r>
          </w:p>
        </w:tc>
        <w:tc>
          <w:tcPr>
            <w:tcW w:w="178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pPr>
            <w:r>
              <w:rPr>
                <w:rFonts w:hint="eastAsia" w:ascii="仿宋" w:hAnsi="仿宋" w:eastAsia="仿宋" w:cs="仿宋"/>
                <w:i w:val="0"/>
                <w:caps w:val="0"/>
                <w:color w:val="000000"/>
                <w:spacing w:val="0"/>
                <w:sz w:val="24"/>
                <w:szCs w:val="24"/>
                <w:bdr w:val="none" w:color="auto" w:sz="0" w:space="0"/>
              </w:rPr>
              <w:t>上一年项目数量</w:t>
            </w:r>
          </w:p>
        </w:tc>
        <w:tc>
          <w:tcPr>
            <w:tcW w:w="4049" w:type="dxa"/>
            <w:gridSpan w:val="2"/>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行政事业性收费</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4049" w:type="dxa"/>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8456" w:type="dxa"/>
            <w:gridSpan w:val="4"/>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信息内容</w:t>
            </w:r>
          </w:p>
        </w:tc>
        <w:tc>
          <w:tcPr>
            <w:tcW w:w="1786" w:type="dxa"/>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i w:val="0"/>
                <w:caps w:val="0"/>
                <w:color w:val="000000"/>
                <w:spacing w:val="0"/>
                <w:sz w:val="24"/>
                <w:szCs w:val="24"/>
                <w:bdr w:val="none" w:color="auto" w:sz="0" w:space="0"/>
              </w:rPr>
              <w:t>采购项目数量</w:t>
            </w:r>
          </w:p>
        </w:tc>
        <w:tc>
          <w:tcPr>
            <w:tcW w:w="4049" w:type="dxa"/>
            <w:gridSpan w:val="2"/>
            <w:tcBorders>
              <w:top w:val="single" w:color="auto" w:sz="8" w:space="0"/>
              <w:left w:val="nil"/>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i w:val="0"/>
                <w:caps w:val="0"/>
                <w:color w:val="000000"/>
                <w:spacing w:val="0"/>
                <w:sz w:val="24"/>
                <w:szCs w:val="24"/>
                <w:bdr w:val="none" w:color="auto" w:sz="0" w:space="0"/>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1" w:type="dxa"/>
            <w:tcBorders>
              <w:top w:val="nil"/>
              <w:left w:val="single" w:color="auto" w:sz="8" w:space="0"/>
              <w:bottom w:val="single" w:color="auto" w:sz="8" w:space="0"/>
              <w:right w:val="single"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pPr>
            <w:r>
              <w:rPr>
                <w:rFonts w:hint="eastAsia" w:ascii="仿宋" w:hAnsi="仿宋" w:eastAsia="仿宋" w:cs="仿宋"/>
                <w:i w:val="0"/>
                <w:caps w:val="0"/>
                <w:color w:val="000000"/>
                <w:spacing w:val="0"/>
                <w:sz w:val="24"/>
                <w:szCs w:val="24"/>
                <w:bdr w:val="none" w:color="auto" w:sz="0" w:space="0"/>
              </w:rPr>
              <w:t>政府集中采购</w:t>
            </w:r>
          </w:p>
        </w:tc>
        <w:tc>
          <w:tcPr>
            <w:tcW w:w="178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c>
          <w:tcPr>
            <w:tcW w:w="4049" w:type="dxa"/>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0</w:t>
            </w:r>
          </w:p>
        </w:tc>
      </w:tr>
    </w:tbl>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400" w:leftChars="0" w:right="0" w:rightChars="0"/>
        <w:jc w:val="both"/>
        <w:rPr>
          <w:rFonts w:hint="eastAsia" w:ascii="黑体" w:hAnsi="宋体" w:eastAsia="黑体" w:cs="黑体"/>
          <w:b w:val="0"/>
          <w:i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20"/>
        <w:jc w:val="left"/>
        <w:rPr>
          <w:rFonts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kern w:val="0"/>
          <w:sz w:val="32"/>
          <w:szCs w:val="32"/>
          <w:bdr w:val="none" w:color="auto" w:sz="0" w:space="0"/>
          <w:shd w:val="clear" w:fill="FFFFFF"/>
          <w:lang w:val="en-US" w:eastAsia="zh-CN" w:bidi="ar"/>
        </w:rPr>
        <w:t>三、收到和处理政府信息公开申请情况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30"/>
        <w:gridCol w:w="1190"/>
        <w:gridCol w:w="1817"/>
        <w:gridCol w:w="707"/>
        <w:gridCol w:w="660"/>
        <w:gridCol w:w="660"/>
        <w:gridCol w:w="707"/>
        <w:gridCol w:w="836"/>
        <w:gridCol w:w="625"/>
        <w:gridCol w:w="6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43" w:type="dxa"/>
            <w:gridSpan w:val="3"/>
            <w:vMerge w:val="restart"/>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ascii="仿宋" w:hAnsi="仿宋" w:eastAsia="仿宋" w:cs="仿宋"/>
                <w:kern w:val="0"/>
                <w:sz w:val="24"/>
                <w:szCs w:val="24"/>
                <w:bdr w:val="none" w:color="auto" w:sz="0" w:space="0"/>
                <w:lang w:val="en-US" w:eastAsia="zh-CN" w:bidi="ar"/>
              </w:rPr>
              <w:t>（本列数据的勾稽关系为：第一项加第二项之和，等于第三项加第四项之和）</w:t>
            </w:r>
          </w:p>
        </w:tc>
        <w:tc>
          <w:tcPr>
            <w:tcW w:w="4813" w:type="dxa"/>
            <w:gridSpan w:val="7"/>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kern w:val="0"/>
                <w:sz w:val="24"/>
                <w:szCs w:val="24"/>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09" w:type="dxa"/>
            <w:vMerge w:val="restart"/>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自然人</w:t>
            </w:r>
          </w:p>
        </w:tc>
        <w:tc>
          <w:tcPr>
            <w:tcW w:w="3499" w:type="dxa"/>
            <w:gridSpan w:val="5"/>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kern w:val="0"/>
                <w:sz w:val="24"/>
                <w:szCs w:val="24"/>
                <w:bdr w:val="none" w:color="auto" w:sz="0" w:space="0"/>
                <w:lang w:val="en-US" w:eastAsia="zh-CN" w:bidi="ar"/>
              </w:rPr>
              <w:t>法人或其他组织</w:t>
            </w:r>
          </w:p>
        </w:tc>
        <w:tc>
          <w:tcPr>
            <w:tcW w:w="605" w:type="dxa"/>
            <w:vMerge w:val="restart"/>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62"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商业企业</w:t>
            </w:r>
          </w:p>
        </w:tc>
        <w:tc>
          <w:tcPr>
            <w:tcW w:w="662"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科研机构</w:t>
            </w:r>
          </w:p>
        </w:tc>
        <w:tc>
          <w:tcPr>
            <w:tcW w:w="70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社会公益组织</w:t>
            </w:r>
          </w:p>
        </w:tc>
        <w:tc>
          <w:tcPr>
            <w:tcW w:w="839"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法律服务机构</w:t>
            </w:r>
          </w:p>
        </w:tc>
        <w:tc>
          <w:tcPr>
            <w:tcW w:w="627"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其他</w:t>
            </w:r>
          </w:p>
        </w:tc>
        <w:tc>
          <w:tcPr>
            <w:tcW w:w="605"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543"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一、本年新收政府信息公开申请数量</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43"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二、上年结转政府信息公开申请数量</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restart"/>
            <w:tcBorders>
              <w:top w:val="nil"/>
              <w:left w:val="single" w:color="auto" w:sz="4"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三、本年度办理结果</w:t>
            </w:r>
          </w:p>
        </w:tc>
        <w:tc>
          <w:tcPr>
            <w:tcW w:w="301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（一）予以公开</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301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（二）部分公开（区分处理的，只计这一情形，不计其他情形）</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restart"/>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（三）不予公开</w:t>
            </w: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1.属于国家秘密</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2.其他法律行政法规禁止公开</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3.危及“三安全一稳定”</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4.保护第三方合法权益</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4"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4"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5.属于三类内部事务信息</w:t>
            </w:r>
          </w:p>
        </w:tc>
        <w:tc>
          <w:tcPr>
            <w:tcW w:w="70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823"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6.属于四类过程性信息</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823"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7.属于行政执法案卷</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single" w:color="auto" w:sz="4" w:space="0"/>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single" w:color="auto" w:sz="4" w:space="0"/>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single" w:color="auto" w:sz="4"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8.属于行政查询事项</w:t>
            </w:r>
          </w:p>
        </w:tc>
        <w:tc>
          <w:tcPr>
            <w:tcW w:w="70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restart"/>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（四）无法提供</w:t>
            </w: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1.本机关不掌握相关政府信息</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2.没有现成信息需要另行制作</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3.补正后申请内容仍不明确</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restart"/>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（五）不予处理</w:t>
            </w: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1.信访举报投诉类申请</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2.重复申请</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3.要求提供公开出版物</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nil"/>
              <w:left w:val="single" w:color="auto" w:sz="4" w:space="0"/>
              <w:bottom w:val="single" w:color="auto" w:sz="4" w:space="0"/>
              <w:right w:val="single" w:color="auto" w:sz="8" w:space="0"/>
            </w:tcBorders>
            <w:shd w:val="clear"/>
            <w:vAlign w:val="center"/>
          </w:tcPr>
          <w:p>
            <w:pPr>
              <w:rPr>
                <w:rFonts w:hint="eastAsia" w:ascii="宋体"/>
                <w:sz w:val="24"/>
                <w:szCs w:val="24"/>
              </w:rPr>
            </w:pPr>
          </w:p>
        </w:tc>
        <w:tc>
          <w:tcPr>
            <w:tcW w:w="1190" w:type="dxa"/>
            <w:vMerge w:val="continue"/>
            <w:tcBorders>
              <w:top w:val="nil"/>
              <w:left w:val="nil"/>
              <w:bottom w:val="single" w:color="auto" w:sz="4" w:space="0"/>
              <w:right w:val="single" w:color="auto" w:sz="8" w:space="0"/>
            </w:tcBorders>
            <w:shd w:val="clear"/>
            <w:vAlign w:val="center"/>
          </w:tcPr>
          <w:p>
            <w:pPr>
              <w:rPr>
                <w:rFonts w:hint="eastAsia" w:ascii="宋体"/>
                <w:sz w:val="24"/>
                <w:szCs w:val="24"/>
              </w:rPr>
            </w:pPr>
          </w:p>
        </w:tc>
        <w:tc>
          <w:tcPr>
            <w:tcW w:w="1823" w:type="dxa"/>
            <w:tcBorders>
              <w:top w:val="nil"/>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4.无正当理由大量反复申请</w:t>
            </w:r>
          </w:p>
        </w:tc>
        <w:tc>
          <w:tcPr>
            <w:tcW w:w="70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4"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823"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5.要求行政机关确认或重新出具已获取信息</w:t>
            </w:r>
            <w:bookmarkStart w:id="0" w:name="_GoBack"/>
            <w:bookmarkEnd w:id="0"/>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30" w:type="dxa"/>
            <w:vMerge w:val="continue"/>
            <w:tcBorders>
              <w:top w:val="single" w:color="auto" w:sz="4" w:space="0"/>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3013" w:type="dxa"/>
            <w:gridSpan w:val="2"/>
            <w:tcBorders>
              <w:top w:val="single" w:color="auto" w:sz="4"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（六）其他处理</w:t>
            </w:r>
          </w:p>
        </w:tc>
        <w:tc>
          <w:tcPr>
            <w:tcW w:w="70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single" w:color="auto" w:sz="4"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8" w:space="0"/>
              <w:right w:val="single" w:color="auto" w:sz="8" w:space="0"/>
            </w:tcBorders>
            <w:shd w:val="clear"/>
            <w:vAlign w:val="center"/>
          </w:tcPr>
          <w:p>
            <w:pPr>
              <w:rPr>
                <w:rFonts w:hint="eastAsia" w:ascii="宋体"/>
                <w:sz w:val="24"/>
                <w:szCs w:val="24"/>
              </w:rPr>
            </w:pPr>
          </w:p>
        </w:tc>
        <w:tc>
          <w:tcPr>
            <w:tcW w:w="301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（七）总计</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543"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left"/>
            </w:pPr>
            <w:r>
              <w:rPr>
                <w:rFonts w:hint="eastAsia" w:ascii="仿宋" w:hAnsi="仿宋" w:eastAsia="仿宋" w:cs="仿宋"/>
                <w:kern w:val="0"/>
                <w:sz w:val="24"/>
                <w:szCs w:val="24"/>
                <w:bdr w:val="none" w:color="auto" w:sz="0" w:space="0"/>
                <w:lang w:val="en-US" w:eastAsia="zh-CN" w:bidi="ar"/>
              </w:rPr>
              <w:t>四、结转下年度继续办理</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6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83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2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20"/>
        <w:jc w:val="left"/>
        <w:rPr>
          <w:rFonts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kern w:val="0"/>
          <w:sz w:val="32"/>
          <w:szCs w:val="32"/>
          <w:bdr w:val="none" w:color="auto" w:sz="0" w:space="0"/>
          <w:shd w:val="clear" w:fill="FFFFFF"/>
          <w:lang w:val="en-US" w:eastAsia="zh-CN" w:bidi="ar"/>
        </w:rPr>
        <w:t>四、政府信息公开行政复议、行政诉讼情况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5"/>
        <w:gridCol w:w="555"/>
        <w:gridCol w:w="555"/>
        <w:gridCol w:w="555"/>
        <w:gridCol w:w="555"/>
        <w:gridCol w:w="555"/>
        <w:gridCol w:w="556"/>
        <w:gridCol w:w="556"/>
        <w:gridCol w:w="556"/>
        <w:gridCol w:w="556"/>
        <w:gridCol w:w="556"/>
        <w:gridCol w:w="556"/>
        <w:gridCol w:w="556"/>
        <w:gridCol w:w="557"/>
        <w:gridCol w:w="5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ascii="仿宋" w:hAnsi="仿宋" w:eastAsia="仿宋" w:cs="仿宋"/>
                <w:kern w:val="0"/>
                <w:sz w:val="24"/>
                <w:szCs w:val="24"/>
                <w:bdr w:val="none" w:color="auto" w:sz="0" w:space="0"/>
                <w:lang w:val="en-US" w:eastAsia="zh-CN" w:bidi="ar"/>
              </w:rPr>
              <w:t>行政复议</w:t>
            </w:r>
          </w:p>
        </w:tc>
        <w:tc>
          <w:tcPr>
            <w:tcW w:w="6029" w:type="dxa"/>
            <w:gridSpan w:val="10"/>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kern w:val="0"/>
                <w:sz w:val="24"/>
                <w:szCs w:val="24"/>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602" w:type="dxa"/>
            <w:vMerge w:val="restart"/>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结果维持</w:t>
            </w:r>
          </w:p>
        </w:tc>
        <w:tc>
          <w:tcPr>
            <w:tcW w:w="602" w:type="dxa"/>
            <w:vMerge w:val="restart"/>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结果纠正</w:t>
            </w:r>
          </w:p>
        </w:tc>
        <w:tc>
          <w:tcPr>
            <w:tcW w:w="602" w:type="dxa"/>
            <w:vMerge w:val="restart"/>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其他结果</w:t>
            </w:r>
          </w:p>
        </w:tc>
        <w:tc>
          <w:tcPr>
            <w:tcW w:w="602" w:type="dxa"/>
            <w:vMerge w:val="restart"/>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尚未审结</w:t>
            </w:r>
          </w:p>
        </w:tc>
        <w:tc>
          <w:tcPr>
            <w:tcW w:w="602" w:type="dxa"/>
            <w:vMerge w:val="restart"/>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总计</w:t>
            </w:r>
          </w:p>
        </w:tc>
        <w:tc>
          <w:tcPr>
            <w:tcW w:w="3014" w:type="dxa"/>
            <w:gridSpan w:val="5"/>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kern w:val="0"/>
                <w:sz w:val="24"/>
                <w:szCs w:val="24"/>
                <w:bdr w:val="none" w:color="auto" w:sz="0" w:space="0"/>
                <w:lang w:val="en-US" w:eastAsia="zh-CN" w:bidi="ar"/>
              </w:rPr>
              <w:t>未经复议直接起诉</w:t>
            </w:r>
          </w:p>
        </w:tc>
        <w:tc>
          <w:tcPr>
            <w:tcW w:w="3015" w:type="dxa"/>
            <w:gridSpan w:val="5"/>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pPr>
            <w:r>
              <w:rPr>
                <w:rFonts w:hint="eastAsia" w:ascii="仿宋" w:hAnsi="仿宋" w:eastAsia="仿宋" w:cs="仿宋"/>
                <w:kern w:val="0"/>
                <w:sz w:val="24"/>
                <w:szCs w:val="24"/>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3" w:hRule="atLeast"/>
          <w:jc w:val="center"/>
        </w:trPr>
        <w:tc>
          <w:tcPr>
            <w:tcW w:w="602"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0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2"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602"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602"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602"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结果维持</w:t>
            </w:r>
          </w:p>
        </w:tc>
        <w:tc>
          <w:tcPr>
            <w:tcW w:w="603" w:type="dxa"/>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结果纠正</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其他结果</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尚未审结</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总计</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结果维持</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结果纠正</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其他结果</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尚未审结</w:t>
            </w:r>
          </w:p>
        </w:tc>
        <w:tc>
          <w:tcPr>
            <w:tcW w:w="603" w:type="dxa"/>
            <w:tcBorders>
              <w:top w:val="single" w:color="auto" w:sz="8" w:space="0"/>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pPr>
            <w:r>
              <w:rPr>
                <w:rFonts w:hint="eastAsia" w:ascii="仿宋" w:hAnsi="仿宋" w:eastAsia="仿宋" w:cs="仿宋"/>
                <w:kern w:val="0"/>
                <w:sz w:val="24"/>
                <w:szCs w:val="24"/>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9" w:hRule="atLeast"/>
          <w:jc w:val="center"/>
        </w:trPr>
        <w:tc>
          <w:tcPr>
            <w:tcW w:w="602"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c>
          <w:tcPr>
            <w:tcW w:w="60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eastAsia" w:ascii="仿宋" w:hAnsi="仿宋" w:eastAsia="仿宋" w:cs="仿宋"/>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ascii="微软雅黑" w:hAnsi="微软雅黑" w:eastAsia="微软雅黑" w:cs="微软雅黑"/>
          <w:i w:val="0"/>
          <w:caps w:val="0"/>
          <w:color w:val="000000"/>
          <w:spacing w:val="0"/>
          <w:sz w:val="24"/>
          <w:szCs w:val="24"/>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五</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、政府信息公开保密审查及监督检查情况</w:t>
      </w:r>
      <w:r>
        <w:rPr>
          <w:rFonts w:ascii="仿宋_GB2312" w:hAnsi="微软雅黑" w:eastAsia="仿宋_GB2312" w:cs="仿宋_GB2312"/>
          <w:i w:val="0"/>
          <w:caps w:val="0"/>
          <w:color w:val="000000"/>
          <w:spacing w:val="0"/>
          <w:kern w:val="0"/>
          <w:sz w:val="30"/>
          <w:szCs w:val="30"/>
          <w:bdr w:val="none" w:color="auto" w:sz="0" w:space="0"/>
          <w:shd w:val="clear" w:fill="FFFFFF"/>
          <w:lang w:val="en-US" w:eastAsia="zh-CN" w:bidi="ar"/>
        </w:rPr>
        <w:br w:type="textWrapping"/>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我街道根据《政府信息公开条例》严格把关，认真实行街道信息公开公布审查及公布程序，对2019年度及以前在网上发布的街道信息进行逐条清查，经清查没有违反《政府信息公开条例》及涉密现象。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六、存在的主要问题和改进措施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政务公开工作是一项综合性极强的工作,涉及到多部门多职能多领域多信息,这”四多问题”-直考验着街道政务公开工作人员工作能力和状态,由于受客观技术条件和主观素质能力制约,存在基层单位对此项工作研究不透、操作起来难度大的现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结合工作中存在问题和不足，下一步改进措施：</w:t>
      </w:r>
      <w:r>
        <w:rPr>
          <w:rFonts w:hint="eastAsia" w:ascii="仿宋_GB2312" w:hAnsi="宋体" w:eastAsia="仿宋_GB2312" w:cs="仿宋_GB2312"/>
          <w:i w:val="0"/>
          <w:caps w:val="0"/>
          <w:color w:val="000000"/>
          <w:spacing w:val="0"/>
          <w:sz w:val="32"/>
          <w:szCs w:val="32"/>
          <w:shd w:val="clear" w:fill="FFFFFF"/>
        </w:rPr>
        <w:t>一是严格执行,抓好落实。我</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将继续按照"公开为常态、不公开为例外”的原则,认真贯彻执行</w:t>
      </w:r>
      <w:r>
        <w:rPr>
          <w:rFonts w:hint="eastAsia" w:ascii="仿宋_GB2312" w:hAnsi="宋体" w:eastAsia="仿宋_GB2312" w:cs="仿宋_GB2312"/>
          <w:i w:val="0"/>
          <w:caps w:val="0"/>
          <w:color w:val="000000"/>
          <w:spacing w:val="0"/>
          <w:sz w:val="32"/>
          <w:szCs w:val="32"/>
          <w:shd w:val="clear" w:fill="FFFFFF"/>
          <w:lang w:eastAsia="zh-CN"/>
        </w:rPr>
        <w:t>地、区</w:t>
      </w:r>
      <w:r>
        <w:rPr>
          <w:rFonts w:hint="eastAsia" w:ascii="仿宋_GB2312" w:hAnsi="宋体" w:eastAsia="仿宋_GB2312" w:cs="仿宋_GB2312"/>
          <w:i w:val="0"/>
          <w:caps w:val="0"/>
          <w:color w:val="000000"/>
          <w:spacing w:val="0"/>
          <w:sz w:val="32"/>
          <w:szCs w:val="32"/>
          <w:shd w:val="clear" w:fill="FFFFFF"/>
        </w:rPr>
        <w:t>工作安排部署，抓好贯彻落实,积极做好重点领域信息公开,确保公开数量,稳步提高公开质量。将严格执行规范性文件制定程序,按要求做好政策解读工作。二是加强培训,提升水平。我</w:t>
      </w:r>
      <w:r>
        <w:rPr>
          <w:rFonts w:hint="eastAsia" w:ascii="仿宋_GB2312" w:hAnsi="宋体" w:eastAsia="仿宋_GB2312" w:cs="仿宋_GB2312"/>
          <w:i w:val="0"/>
          <w:caps w:val="0"/>
          <w:color w:val="000000"/>
          <w:spacing w:val="0"/>
          <w:sz w:val="32"/>
          <w:szCs w:val="32"/>
          <w:shd w:val="clear" w:fill="FFFFFF"/>
          <w:lang w:eastAsia="zh-CN"/>
        </w:rPr>
        <w:t>街道</w:t>
      </w:r>
      <w:r>
        <w:rPr>
          <w:rFonts w:hint="eastAsia" w:ascii="仿宋_GB2312" w:hAnsi="宋体" w:eastAsia="仿宋_GB2312" w:cs="仿宋_GB2312"/>
          <w:i w:val="0"/>
          <w:caps w:val="0"/>
          <w:color w:val="000000"/>
          <w:spacing w:val="0"/>
          <w:sz w:val="32"/>
          <w:szCs w:val="32"/>
          <w:shd w:val="clear" w:fill="FFFFFF"/>
        </w:rPr>
        <w:t>将通过举办业务培训班、线上教学等有效形式,加大对基层政务公开工作人员的培训力度,不断提升业务水平,提高业务人员政务信息报送质量, 并通过平台将各项行政办理事项的办事依据、办事职责、办事程序、办事标准、办事时限、办事结果向社会广泛公开,不断加大政务公开宣传力度,在方便服务对象的同时,接受社会各界的监督。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leftChars="0" w:right="0" w:rightChars="0" w:firstLine="0" w:firstLineChars="0"/>
        <w:jc w:val="both"/>
        <w:textAlignment w:val="auto"/>
        <w:rPr>
          <w:rFonts w:hint="eastAsia" w:ascii="黑体" w:hAnsi="宋体" w:eastAsia="黑体" w:cs="黑体"/>
          <w:b w:val="0"/>
          <w:i w:val="0"/>
          <w:caps w:val="0"/>
          <w:color w:val="000000"/>
          <w:spacing w:val="0"/>
          <w:sz w:val="32"/>
          <w:szCs w:val="32"/>
          <w:shd w:val="clear" w:fill="FFFFFF"/>
          <w:lang w:val="en-US" w:eastAsia="zh-CN"/>
        </w:rPr>
      </w:pPr>
    </w:p>
    <w:p>
      <w:pPr>
        <w:keepNext w:val="0"/>
        <w:keepLines w:val="0"/>
        <w:pageBreakBefore w:val="0"/>
        <w:kinsoku/>
        <w:overflowPunct/>
        <w:topLinePunct w:val="0"/>
        <w:autoSpaceDE/>
        <w:autoSpaceDN/>
        <w:bidi w:val="0"/>
        <w:adjustRightInd/>
        <w:snapToGrid/>
        <w:ind w:firstLine="0" w:firstLineChars="0"/>
        <w:textAlignment w:val="auto"/>
        <w:rPr>
          <w:rFonts w:hint="eastAsia" w:ascii="仿宋_GB2312" w:hAnsi="宋体" w:eastAsia="仿宋_GB2312" w:cs="仿宋_GB2312"/>
          <w:i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09D87"/>
    <w:multiLevelType w:val="singleLevel"/>
    <w:tmpl w:val="4DB09D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0A20"/>
    <w:rsid w:val="096424E8"/>
    <w:rsid w:val="0D78186E"/>
    <w:rsid w:val="1A607B22"/>
    <w:rsid w:val="2A17461E"/>
    <w:rsid w:val="31A60A20"/>
    <w:rsid w:val="36936DDA"/>
    <w:rsid w:val="39874885"/>
    <w:rsid w:val="4B3869EA"/>
    <w:rsid w:val="64367E1A"/>
    <w:rsid w:val="66841871"/>
    <w:rsid w:val="790F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2021-01-25T02:37:00Z</dcterms:created>
  <dc:creator>Miss`蕊团购超市</dc:creator>
  <cp:lastModifiedBy>Miss`蕊团购超市</cp:lastModifiedBy>
  <dcterms:modified xsi:type="dcterms:W3CDTF">2021-01-25T03:33:01Z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