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78E4D794">
      <w:pPr>
        <w:adjustRightInd/>
        <w:snapToGrid/>
        <w:spacing w:beforeLines="50" w:line="360" w:lineRule="auto"/>
        <w:ind w:firstLine="0" w:firstLineChars="0"/>
        <w:jc w:val="center"/>
        <w:rPr>
          <w:rFonts w:hint="eastAsia" w:eastAsia="宋体"/>
          <w:color w:val="000000" w:themeColor="text1"/>
          <w:sz w:val="48"/>
          <w:szCs w:val="48"/>
          <w:highlight w:val="none"/>
          <w:lang w:val="en-US" w:eastAsia="zh-CN"/>
        </w:rPr>
      </w:pPr>
      <w:bookmarkStart w:id="0" w:name="_Hlk101256824"/>
    </w:p>
    <w:p w14:paraId="04F49CCB">
      <w:pPr>
        <w:adjustRightInd/>
        <w:snapToGrid/>
        <w:spacing w:beforeLines="50" w:line="360" w:lineRule="auto"/>
        <w:ind w:firstLine="0" w:firstLineChars="0"/>
        <w:jc w:val="center"/>
        <w:rPr>
          <w:rFonts w:hint="eastAsia" w:eastAsia="宋体"/>
          <w:color w:val="000000" w:themeColor="text1"/>
          <w:sz w:val="48"/>
          <w:szCs w:val="48"/>
          <w:highlight w:val="none"/>
          <w:lang w:val="en-US" w:eastAsia="zh-CN"/>
        </w:rPr>
      </w:pPr>
    </w:p>
    <w:p w14:paraId="4DE2A6E1">
      <w:pPr>
        <w:adjustRightInd/>
        <w:snapToGrid/>
        <w:spacing w:beforeLines="50" w:line="360" w:lineRule="auto"/>
        <w:ind w:firstLine="0" w:firstLineChars="0"/>
        <w:jc w:val="center"/>
        <w:rPr>
          <w:color w:val="000000" w:themeColor="text1"/>
          <w:sz w:val="48"/>
          <w:szCs w:val="48"/>
          <w:highlight w:val="none"/>
        </w:rPr>
      </w:pPr>
    </w:p>
    <w:p w14:paraId="12BAFAAA">
      <w:pPr>
        <w:adjustRightInd/>
        <w:snapToGrid/>
        <w:spacing w:beforeLines="50" w:line="360" w:lineRule="auto"/>
        <w:ind w:firstLine="0" w:firstLineChars="0"/>
        <w:jc w:val="center"/>
        <w:rPr>
          <w:rFonts w:hint="eastAsia"/>
          <w:b/>
          <w:bCs/>
          <w:color w:val="000000" w:themeColor="text1"/>
          <w:sz w:val="36"/>
          <w:szCs w:val="36"/>
          <w:highlight w:val="none"/>
          <w:lang w:val="en-US" w:eastAsia="zh-CN"/>
        </w:rPr>
      </w:pPr>
      <w:r>
        <w:rPr>
          <w:rFonts w:hint="eastAsia"/>
          <w:b/>
          <w:bCs/>
          <w:color w:val="000000" w:themeColor="text1"/>
          <w:sz w:val="36"/>
          <w:szCs w:val="36"/>
          <w:highlight w:val="none"/>
          <w:lang w:val="en-US" w:eastAsia="zh-CN"/>
        </w:rPr>
        <w:t>新建黑龙江鹤岗机场场外配套工程</w:t>
      </w:r>
    </w:p>
    <w:p w14:paraId="57D8D7BC">
      <w:pPr>
        <w:adjustRightInd/>
        <w:snapToGrid/>
        <w:spacing w:beforeLines="50" w:line="360" w:lineRule="auto"/>
        <w:ind w:firstLine="0" w:firstLineChars="0"/>
        <w:jc w:val="center"/>
        <w:rPr>
          <w:rFonts w:hint="default"/>
          <w:b/>
          <w:bCs/>
          <w:color w:val="000000" w:themeColor="text1"/>
          <w:sz w:val="36"/>
          <w:szCs w:val="36"/>
          <w:highlight w:val="none"/>
          <w:lang w:val="en-US"/>
        </w:rPr>
      </w:pPr>
      <w:r>
        <w:rPr>
          <w:rFonts w:hint="eastAsia"/>
          <w:b/>
          <w:bCs/>
          <w:color w:val="000000" w:themeColor="text1"/>
          <w:sz w:val="36"/>
          <w:szCs w:val="36"/>
          <w:highlight w:val="none"/>
          <w:lang w:val="en-US" w:eastAsia="zh-CN"/>
        </w:rPr>
        <w:t>（机场进场路建设工程）项目</w:t>
      </w:r>
    </w:p>
    <w:p w14:paraId="53C6A6D7">
      <w:pPr>
        <w:adjustRightInd/>
        <w:snapToGrid/>
        <w:spacing w:beforeLines="50" w:line="360" w:lineRule="auto"/>
        <w:ind w:firstLine="0" w:firstLineChars="0"/>
        <w:jc w:val="center"/>
        <w:rPr>
          <w:b/>
          <w:bCs/>
          <w:color w:val="000000" w:themeColor="text1"/>
          <w:sz w:val="72"/>
          <w:szCs w:val="72"/>
          <w:highlight w:val="none"/>
        </w:rPr>
      </w:pPr>
      <w:r>
        <w:rPr>
          <w:rFonts w:hint="eastAsia"/>
          <w:b/>
          <w:bCs/>
          <w:color w:val="000000" w:themeColor="text1"/>
          <w:sz w:val="72"/>
          <w:szCs w:val="72"/>
          <w:highlight w:val="none"/>
        </w:rPr>
        <w:t>环境影响报告书</w:t>
      </w:r>
    </w:p>
    <w:p w14:paraId="4F47852E">
      <w:pPr>
        <w:pStyle w:val="42"/>
        <w:rPr>
          <w:rFonts w:ascii="Times New Roman" w:eastAsia="宋体"/>
          <w:color w:val="000000" w:themeColor="text1"/>
          <w:szCs w:val="32"/>
          <w:highlight w:val="none"/>
        </w:rPr>
      </w:pPr>
    </w:p>
    <w:p w14:paraId="0C294E04">
      <w:pPr>
        <w:rPr>
          <w:color w:val="000000" w:themeColor="text1"/>
          <w:szCs w:val="32"/>
          <w:highlight w:val="none"/>
        </w:rPr>
      </w:pPr>
    </w:p>
    <w:p w14:paraId="75ABDE19">
      <w:pPr>
        <w:pStyle w:val="42"/>
        <w:rPr>
          <w:rFonts w:ascii="Times New Roman" w:eastAsia="宋体"/>
          <w:color w:val="000000" w:themeColor="text1"/>
          <w:szCs w:val="32"/>
          <w:highlight w:val="none"/>
        </w:rPr>
      </w:pPr>
    </w:p>
    <w:p w14:paraId="62EB4B79">
      <w:pPr>
        <w:rPr>
          <w:color w:val="000000" w:themeColor="text1"/>
          <w:szCs w:val="32"/>
          <w:highlight w:val="none"/>
        </w:rPr>
      </w:pPr>
    </w:p>
    <w:p w14:paraId="4892A2E3">
      <w:pPr>
        <w:pStyle w:val="42"/>
        <w:rPr>
          <w:rFonts w:ascii="Times New Roman" w:eastAsia="宋体"/>
          <w:color w:val="000000" w:themeColor="text1"/>
          <w:szCs w:val="32"/>
          <w:highlight w:val="none"/>
        </w:rPr>
      </w:pPr>
    </w:p>
    <w:p w14:paraId="1726F3B6">
      <w:pPr>
        <w:rPr>
          <w:color w:val="000000" w:themeColor="text1"/>
          <w:szCs w:val="32"/>
          <w:highlight w:val="none"/>
        </w:rPr>
      </w:pPr>
    </w:p>
    <w:p w14:paraId="51FAC53E">
      <w:pPr>
        <w:pStyle w:val="42"/>
        <w:rPr>
          <w:rFonts w:ascii="Times New Roman" w:eastAsia="宋体"/>
          <w:color w:val="000000" w:themeColor="text1"/>
          <w:szCs w:val="32"/>
          <w:highlight w:val="none"/>
        </w:rPr>
      </w:pPr>
    </w:p>
    <w:p w14:paraId="28050684">
      <w:pPr>
        <w:rPr>
          <w:color w:val="000000" w:themeColor="text1"/>
          <w:szCs w:val="32"/>
          <w:highlight w:val="none"/>
        </w:rPr>
      </w:pPr>
    </w:p>
    <w:p w14:paraId="211E314F">
      <w:pPr>
        <w:pStyle w:val="42"/>
        <w:rPr>
          <w:rFonts w:ascii="Times New Roman" w:eastAsia="宋体"/>
          <w:color w:val="000000" w:themeColor="text1"/>
          <w:szCs w:val="32"/>
          <w:highlight w:val="none"/>
        </w:rPr>
      </w:pPr>
    </w:p>
    <w:p w14:paraId="22047E3C">
      <w:pPr>
        <w:rPr>
          <w:color w:val="000000" w:themeColor="text1"/>
          <w:szCs w:val="32"/>
          <w:highlight w:val="none"/>
        </w:rPr>
      </w:pPr>
    </w:p>
    <w:p w14:paraId="378032D1">
      <w:pPr>
        <w:rPr>
          <w:color w:val="000000" w:themeColor="text1"/>
          <w:szCs w:val="32"/>
          <w:highlight w:val="none"/>
        </w:rPr>
      </w:pPr>
    </w:p>
    <w:p w14:paraId="7A0D9619">
      <w:pPr>
        <w:pStyle w:val="42"/>
        <w:spacing w:line="360" w:lineRule="auto"/>
        <w:rPr>
          <w:rFonts w:ascii="Times New Roman" w:eastAsia="宋体"/>
          <w:color w:val="000000" w:themeColor="text1"/>
          <w:szCs w:val="32"/>
          <w:highlight w:val="none"/>
        </w:rPr>
      </w:pPr>
    </w:p>
    <w:p w14:paraId="3214A7E9">
      <w:pPr>
        <w:spacing w:line="360" w:lineRule="auto"/>
        <w:ind w:left="0" w:leftChars="0" w:firstLine="0" w:firstLineChars="0"/>
        <w:jc w:val="center"/>
        <w:rPr>
          <w:b/>
          <w:bCs/>
          <w:color w:val="000000" w:themeColor="text1"/>
          <w:sz w:val="28"/>
          <w:szCs w:val="36"/>
          <w:highlight w:val="none"/>
        </w:rPr>
      </w:pPr>
      <w:r>
        <w:rPr>
          <w:rFonts w:hint="eastAsia"/>
          <w:b/>
          <w:bCs/>
          <w:color w:val="000000" w:themeColor="text1"/>
          <w:sz w:val="28"/>
          <w:szCs w:val="36"/>
          <w:highlight w:val="none"/>
        </w:rPr>
        <w:t>建设单位（盖章）：</w:t>
      </w:r>
      <w:bookmarkStart w:id="1" w:name="_Hlk101258731"/>
      <w:bookmarkStart w:id="2" w:name="_Hlk72155731"/>
      <w:r>
        <w:rPr>
          <w:rFonts w:hint="eastAsia"/>
          <w:b/>
          <w:bCs/>
          <w:color w:val="000000" w:themeColor="text1"/>
          <w:sz w:val="28"/>
          <w:szCs w:val="36"/>
          <w:highlight w:val="none"/>
          <w:lang w:val="en-US" w:eastAsia="zh-CN"/>
        </w:rPr>
        <w:t>鹤岗宝泉机场建设有限公司</w:t>
      </w:r>
      <w:bookmarkEnd w:id="1"/>
    </w:p>
    <w:bookmarkEnd w:id="2"/>
    <w:p w14:paraId="762517D1">
      <w:pPr>
        <w:pStyle w:val="42"/>
        <w:spacing w:line="360" w:lineRule="auto"/>
        <w:jc w:val="center"/>
        <w:rPr>
          <w:rFonts w:ascii="Times New Roman" w:eastAsia="宋体"/>
          <w:b/>
          <w:bCs/>
          <w:color w:val="000000" w:themeColor="text1"/>
          <w:kern w:val="2"/>
          <w:sz w:val="28"/>
          <w:szCs w:val="36"/>
          <w:highlight w:val="none"/>
        </w:rPr>
      </w:pPr>
      <w:r>
        <w:rPr>
          <w:rFonts w:hint="eastAsia" w:ascii="Times New Roman" w:eastAsia="宋体"/>
          <w:b/>
          <w:bCs/>
          <w:color w:val="000000" w:themeColor="text1"/>
          <w:kern w:val="2"/>
          <w:sz w:val="28"/>
          <w:szCs w:val="36"/>
          <w:highlight w:val="none"/>
        </w:rPr>
        <w:t>编制单位：</w:t>
      </w:r>
      <w:r>
        <w:rPr>
          <w:rFonts w:hint="eastAsia" w:ascii="Times New Roman" w:eastAsia="宋体"/>
          <w:b/>
          <w:bCs/>
          <w:color w:val="000000" w:themeColor="text1"/>
          <w:kern w:val="2"/>
          <w:sz w:val="28"/>
          <w:szCs w:val="36"/>
          <w:highlight w:val="none"/>
          <w:lang w:val="en-US" w:eastAsia="zh-CN"/>
        </w:rPr>
        <w:t>天津华北工程管理有限公司</w:t>
      </w:r>
    </w:p>
    <w:p w14:paraId="46F683DA">
      <w:pPr>
        <w:rPr>
          <w:color w:val="000000" w:themeColor="text1"/>
          <w:szCs w:val="32"/>
          <w:highlight w:val="none"/>
        </w:rPr>
      </w:pPr>
    </w:p>
    <w:p w14:paraId="4B5DBB29">
      <w:pPr>
        <w:pStyle w:val="42"/>
        <w:rPr>
          <w:rFonts w:ascii="Times New Roman" w:eastAsia="宋体"/>
          <w:color w:val="000000" w:themeColor="text1"/>
          <w:szCs w:val="32"/>
          <w:highlight w:val="none"/>
        </w:rPr>
      </w:pPr>
    </w:p>
    <w:p w14:paraId="2A3A673F">
      <w:pPr>
        <w:spacing w:line="360" w:lineRule="auto"/>
        <w:ind w:left="0" w:leftChars="0" w:firstLine="0" w:firstLineChars="0"/>
        <w:jc w:val="center"/>
        <w:rPr>
          <w:b/>
          <w:bCs/>
          <w:color w:val="000000" w:themeColor="text1"/>
          <w:sz w:val="28"/>
          <w:szCs w:val="36"/>
          <w:highlight w:val="none"/>
        </w:rPr>
      </w:pPr>
      <w:r>
        <w:rPr>
          <w:rFonts w:hint="eastAsia"/>
          <w:b/>
          <w:bCs/>
          <w:color w:val="000000" w:themeColor="text1"/>
          <w:sz w:val="28"/>
          <w:szCs w:val="36"/>
          <w:highlight w:val="none"/>
        </w:rPr>
        <w:t>二〇二</w:t>
      </w:r>
      <w:r>
        <w:rPr>
          <w:rFonts w:hint="eastAsia"/>
          <w:b/>
          <w:bCs/>
          <w:color w:val="000000" w:themeColor="text1"/>
          <w:sz w:val="28"/>
          <w:szCs w:val="36"/>
          <w:highlight w:val="none"/>
          <w:lang w:val="en-US" w:eastAsia="zh-CN"/>
        </w:rPr>
        <w:t>五</w:t>
      </w:r>
      <w:r>
        <w:rPr>
          <w:rFonts w:hint="eastAsia"/>
          <w:b/>
          <w:bCs/>
          <w:color w:val="000000" w:themeColor="text1"/>
          <w:sz w:val="28"/>
          <w:szCs w:val="36"/>
          <w:highlight w:val="none"/>
        </w:rPr>
        <w:t>年</w:t>
      </w:r>
      <w:r>
        <w:rPr>
          <w:rFonts w:hint="eastAsia"/>
          <w:b/>
          <w:bCs/>
          <w:color w:val="000000" w:themeColor="text1"/>
          <w:sz w:val="28"/>
          <w:szCs w:val="36"/>
          <w:highlight w:val="none"/>
          <w:lang w:val="en-US" w:eastAsia="zh-CN"/>
        </w:rPr>
        <w:t>四</w:t>
      </w:r>
      <w:r>
        <w:rPr>
          <w:rFonts w:hint="eastAsia"/>
          <w:b/>
          <w:bCs/>
          <w:color w:val="000000" w:themeColor="text1"/>
          <w:sz w:val="28"/>
          <w:szCs w:val="36"/>
          <w:highlight w:val="none"/>
        </w:rPr>
        <w:t>月</w:t>
      </w:r>
    </w:p>
    <w:bookmarkEnd w:id="0"/>
    <w:p w14:paraId="135AF360">
      <w:pPr>
        <w:adjustRightInd/>
        <w:snapToGrid/>
        <w:spacing w:beforeLines="50" w:line="360" w:lineRule="auto"/>
        <w:ind w:firstLine="0" w:firstLineChars="0"/>
        <w:jc w:val="center"/>
        <w:rPr>
          <w:snapToGrid w:val="0"/>
          <w:color w:val="000000" w:themeColor="text1"/>
          <w:sz w:val="28"/>
          <w:szCs w:val="28"/>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794" w:footer="1021" w:gutter="0"/>
          <w:pgBorders>
            <w:top w:val="none" w:sz="0" w:space="0"/>
            <w:left w:val="none" w:sz="0" w:space="0"/>
            <w:bottom w:val="none" w:sz="0" w:space="0"/>
            <w:right w:val="none" w:sz="0" w:space="0"/>
          </w:pgBorders>
          <w:pgNumType w:fmt="upperRoman" w:start="1"/>
          <w:cols w:space="720" w:num="1"/>
          <w:docGrid w:linePitch="312" w:charSpace="45420"/>
        </w:sectPr>
      </w:pPr>
    </w:p>
    <w:p w14:paraId="0F24237B">
      <w:pPr>
        <w:pStyle w:val="42"/>
        <w:rPr>
          <w:rFonts w:hint="eastAsia" w:eastAsia="仿宋_GB2312"/>
          <w:color w:val="000000" w:themeColor="text1"/>
          <w:highlight w:val="none"/>
          <w:lang w:eastAsia="zh-CN"/>
        </w:rPr>
      </w:pPr>
      <w:r>
        <w:rPr>
          <w:rFonts w:hint="eastAsia" w:eastAsia="仿宋_GB2312"/>
          <w:color w:val="000000" w:themeColor="text1"/>
          <w:highlight w:val="none"/>
          <w:lang w:eastAsia="zh-CN"/>
        </w:rPr>
        <w:drawing>
          <wp:inline distT="0" distB="0" distL="114300" distR="114300">
            <wp:extent cx="5273675" cy="7249795"/>
            <wp:effectExtent l="0" t="0" r="3175" b="8255"/>
            <wp:docPr id="104" name="图片 104" descr="174461811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1744618113148"/>
                    <pic:cNvPicPr>
                      <a:picLocks noChangeAspect="1"/>
                    </pic:cNvPicPr>
                  </pic:nvPicPr>
                  <pic:blipFill>
                    <a:blip r:embed="rId19"/>
                    <a:stretch>
                      <a:fillRect/>
                    </a:stretch>
                  </pic:blipFill>
                  <pic:spPr>
                    <a:xfrm>
                      <a:off x="0" y="0"/>
                      <a:ext cx="5273675" cy="7249795"/>
                    </a:xfrm>
                    <a:prstGeom prst="rect">
                      <a:avLst/>
                    </a:prstGeom>
                  </pic:spPr>
                </pic:pic>
              </a:graphicData>
            </a:graphic>
          </wp:inline>
        </w:drawing>
      </w:r>
    </w:p>
    <w:p w14:paraId="5CF8B6CF">
      <w:pPr>
        <w:ind w:firstLine="0" w:firstLineChars="0"/>
        <w:jc w:val="center"/>
        <w:rPr>
          <w:b/>
          <w:color w:val="000000" w:themeColor="text1"/>
          <w:highlight w:val="none"/>
        </w:rPr>
        <w:sectPr>
          <w:pgSz w:w="11906" w:h="16838"/>
          <w:pgMar w:top="1440" w:right="1797" w:bottom="1440" w:left="1797" w:header="794" w:footer="1021" w:gutter="0"/>
          <w:pgBorders>
            <w:top w:val="none" w:sz="0" w:space="0"/>
            <w:left w:val="none" w:sz="0" w:space="0"/>
            <w:bottom w:val="none" w:sz="0" w:space="0"/>
            <w:right w:val="none" w:sz="0" w:space="0"/>
          </w:pgBorders>
          <w:pgNumType w:fmt="upperRoman" w:start="1"/>
          <w:cols w:space="720" w:num="1"/>
          <w:docGrid w:linePitch="312" w:charSpace="45420"/>
        </w:sectPr>
      </w:pPr>
    </w:p>
    <w:p w14:paraId="481F90FF">
      <w:pPr>
        <w:spacing w:line="360" w:lineRule="auto"/>
        <w:ind w:left="0" w:leftChars="0" w:firstLine="0" w:firstLineChars="0"/>
        <w:jc w:val="center"/>
        <w:rPr>
          <w:rFonts w:ascii="Times New Roman" w:hAnsi="Times New Roman" w:eastAsia="宋体" w:cs="Times New Roman"/>
          <w:color w:val="000000" w:themeColor="text1"/>
          <w:kern w:val="2"/>
          <w:sz w:val="24"/>
          <w:szCs w:val="24"/>
          <w:highlight w:val="none"/>
          <w:lang w:val="en-US" w:eastAsia="zh-CN" w:bidi="ar-SA"/>
        </w:rPr>
      </w:pPr>
      <w:r>
        <w:rPr>
          <w:b/>
          <w:color w:val="000000" w:themeColor="text1"/>
          <w:sz w:val="28"/>
          <w:szCs w:val="28"/>
          <w:highlight w:val="none"/>
        </w:rPr>
        <w:t>目  录</w:t>
      </w:r>
      <w:r>
        <w:rPr>
          <w:color w:val="000000" w:themeColor="text1"/>
          <w:highlight w:val="none"/>
        </w:rPr>
        <w:fldChar w:fldCharType="begin"/>
      </w:r>
      <w:r>
        <w:rPr>
          <w:color w:val="000000" w:themeColor="text1"/>
          <w:highlight w:val="none"/>
        </w:rPr>
        <w:instrText xml:space="preserve">TOC \o "1-2" \h \u </w:instrText>
      </w:r>
      <w:r>
        <w:rPr>
          <w:color w:val="000000" w:themeColor="text1"/>
          <w:highlight w:val="none"/>
        </w:rPr>
        <w:fldChar w:fldCharType="separate"/>
      </w:r>
    </w:p>
    <w:p w14:paraId="31FD86F6">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_Toc24356 </w:instrText>
      </w:r>
      <w:r>
        <w:rPr>
          <w:color w:val="000000" w:themeColor="text1"/>
          <w:highlight w:val="none"/>
        </w:rPr>
        <w:fldChar w:fldCharType="separate"/>
      </w:r>
      <w:r>
        <w:rPr>
          <w:rFonts w:hint="eastAsia"/>
          <w:color w:val="000000" w:themeColor="text1"/>
          <w:highlight w:val="none"/>
        </w:rPr>
        <w:t xml:space="preserve">1 </w:t>
      </w:r>
      <w:r>
        <w:rPr>
          <w:color w:val="000000" w:themeColor="text1"/>
          <w:highlight w:val="none"/>
        </w:rPr>
        <w:t>概述</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_Toc24356 \h </w:instrText>
      </w:r>
      <w:r>
        <w:rPr>
          <w:color w:val="000000" w:themeColor="text1"/>
          <w:highlight w:val="none"/>
        </w:rPr>
        <w:fldChar w:fldCharType="separate"/>
      </w:r>
      <w:r>
        <w:rPr>
          <w:color w:val="000000" w:themeColor="text1"/>
          <w:highlight w:val="none"/>
        </w:rPr>
        <w:t>1</w:t>
      </w:r>
      <w:r>
        <w:rPr>
          <w:color w:val="000000" w:themeColor="text1"/>
          <w:highlight w:val="none"/>
        </w:rPr>
        <w:fldChar w:fldCharType="end"/>
      </w:r>
      <w:r>
        <w:rPr>
          <w:color w:val="000000" w:themeColor="text1"/>
          <w:highlight w:val="none"/>
        </w:rPr>
        <w:fldChar w:fldCharType="end"/>
      </w:r>
    </w:p>
    <w:p w14:paraId="05389BCB">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_Toc4499 </w:instrText>
      </w:r>
      <w:r>
        <w:rPr>
          <w:color w:val="000000" w:themeColor="text1"/>
          <w:highlight w:val="none"/>
        </w:rPr>
        <w:fldChar w:fldCharType="separate"/>
      </w:r>
      <w:r>
        <w:rPr>
          <w:rFonts w:hint="eastAsia"/>
          <w:color w:val="000000" w:themeColor="text1"/>
          <w:highlight w:val="none"/>
        </w:rPr>
        <w:t>1.1</w:t>
      </w:r>
      <w:r>
        <w:rPr>
          <w:color w:val="000000" w:themeColor="text1"/>
          <w:highlight w:val="none"/>
        </w:rPr>
        <w:t>任务由来</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_Toc4499 \h </w:instrText>
      </w:r>
      <w:r>
        <w:rPr>
          <w:color w:val="000000" w:themeColor="text1"/>
          <w:highlight w:val="none"/>
        </w:rPr>
        <w:fldChar w:fldCharType="separate"/>
      </w:r>
      <w:r>
        <w:rPr>
          <w:color w:val="000000" w:themeColor="text1"/>
          <w:highlight w:val="none"/>
        </w:rPr>
        <w:t>1</w:t>
      </w:r>
      <w:r>
        <w:rPr>
          <w:color w:val="000000" w:themeColor="text1"/>
          <w:highlight w:val="none"/>
        </w:rPr>
        <w:fldChar w:fldCharType="end"/>
      </w:r>
      <w:r>
        <w:rPr>
          <w:color w:val="000000" w:themeColor="text1"/>
          <w:highlight w:val="none"/>
        </w:rPr>
        <w:fldChar w:fldCharType="end"/>
      </w:r>
    </w:p>
    <w:p w14:paraId="4A34211C">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_Toc16431 </w:instrText>
      </w:r>
      <w:r>
        <w:rPr>
          <w:color w:val="000000" w:themeColor="text1"/>
          <w:highlight w:val="none"/>
        </w:rPr>
        <w:fldChar w:fldCharType="separate"/>
      </w:r>
      <w:r>
        <w:rPr>
          <w:rFonts w:hint="eastAsia"/>
          <w:color w:val="000000" w:themeColor="text1"/>
          <w:highlight w:val="none"/>
        </w:rPr>
        <w:t>1.2</w:t>
      </w:r>
      <w:r>
        <w:rPr>
          <w:color w:val="000000" w:themeColor="text1"/>
          <w:highlight w:val="none"/>
        </w:rPr>
        <w:t>项目特点</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_Toc16431 \h </w:instrText>
      </w:r>
      <w:r>
        <w:rPr>
          <w:color w:val="000000" w:themeColor="text1"/>
          <w:highlight w:val="none"/>
        </w:rPr>
        <w:fldChar w:fldCharType="separate"/>
      </w:r>
      <w:r>
        <w:rPr>
          <w:color w:val="000000" w:themeColor="text1"/>
          <w:highlight w:val="none"/>
        </w:rPr>
        <w:t>2</w:t>
      </w:r>
      <w:r>
        <w:rPr>
          <w:color w:val="000000" w:themeColor="text1"/>
          <w:highlight w:val="none"/>
        </w:rPr>
        <w:fldChar w:fldCharType="end"/>
      </w:r>
      <w:r>
        <w:rPr>
          <w:color w:val="000000" w:themeColor="text1"/>
          <w:highlight w:val="none"/>
        </w:rPr>
        <w:fldChar w:fldCharType="end"/>
      </w:r>
    </w:p>
    <w:p w14:paraId="6C66B633">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_Toc16723 </w:instrText>
      </w:r>
      <w:r>
        <w:rPr>
          <w:color w:val="000000" w:themeColor="text1"/>
          <w:highlight w:val="none"/>
        </w:rPr>
        <w:fldChar w:fldCharType="separate"/>
      </w:r>
      <w:r>
        <w:rPr>
          <w:rFonts w:hint="eastAsia"/>
          <w:color w:val="000000" w:themeColor="text1"/>
          <w:highlight w:val="none"/>
        </w:rPr>
        <w:t>1.3</w:t>
      </w:r>
      <w:r>
        <w:rPr>
          <w:color w:val="000000" w:themeColor="text1"/>
          <w:highlight w:val="none"/>
        </w:rPr>
        <w:t>关注的主要环境问题</w:t>
      </w:r>
      <w:r>
        <w:rPr>
          <w:rFonts w:hint="eastAsia"/>
          <w:color w:val="000000" w:themeColor="text1"/>
          <w:highlight w:val="none"/>
        </w:rPr>
        <w:t>及评价重点</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_Toc16723 \h </w:instrText>
      </w:r>
      <w:r>
        <w:rPr>
          <w:color w:val="000000" w:themeColor="text1"/>
          <w:highlight w:val="none"/>
        </w:rPr>
        <w:fldChar w:fldCharType="separate"/>
      </w:r>
      <w:r>
        <w:rPr>
          <w:color w:val="000000" w:themeColor="text1"/>
          <w:highlight w:val="none"/>
        </w:rPr>
        <w:t>4</w:t>
      </w:r>
      <w:r>
        <w:rPr>
          <w:color w:val="000000" w:themeColor="text1"/>
          <w:highlight w:val="none"/>
        </w:rPr>
        <w:fldChar w:fldCharType="end"/>
      </w:r>
      <w:r>
        <w:rPr>
          <w:color w:val="000000" w:themeColor="text1"/>
          <w:highlight w:val="none"/>
        </w:rPr>
        <w:fldChar w:fldCharType="end"/>
      </w:r>
    </w:p>
    <w:p w14:paraId="7D7B4681">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_Toc15086 </w:instrText>
      </w:r>
      <w:r>
        <w:rPr>
          <w:color w:val="000000" w:themeColor="text1"/>
          <w:highlight w:val="none"/>
        </w:rPr>
        <w:fldChar w:fldCharType="separate"/>
      </w:r>
      <w:r>
        <w:rPr>
          <w:rFonts w:hint="eastAsia"/>
          <w:color w:val="000000" w:themeColor="text1"/>
          <w:highlight w:val="none"/>
        </w:rPr>
        <w:t>1.4</w:t>
      </w:r>
      <w:r>
        <w:rPr>
          <w:color w:val="000000" w:themeColor="text1"/>
          <w:highlight w:val="none"/>
        </w:rPr>
        <w:t>环境影响评价的工作过程</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_Toc15086 \h </w:instrText>
      </w:r>
      <w:r>
        <w:rPr>
          <w:color w:val="000000" w:themeColor="text1"/>
          <w:highlight w:val="none"/>
        </w:rPr>
        <w:fldChar w:fldCharType="separate"/>
      </w:r>
      <w:r>
        <w:rPr>
          <w:color w:val="000000" w:themeColor="text1"/>
          <w:highlight w:val="none"/>
        </w:rPr>
        <w:t>4</w:t>
      </w:r>
      <w:r>
        <w:rPr>
          <w:color w:val="000000" w:themeColor="text1"/>
          <w:highlight w:val="none"/>
        </w:rPr>
        <w:fldChar w:fldCharType="end"/>
      </w:r>
      <w:r>
        <w:rPr>
          <w:color w:val="000000" w:themeColor="text1"/>
          <w:highlight w:val="none"/>
        </w:rPr>
        <w:fldChar w:fldCharType="end"/>
      </w:r>
    </w:p>
    <w:p w14:paraId="4972790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_Toc11063 </w:instrText>
      </w:r>
      <w:r>
        <w:rPr>
          <w:color w:val="000000" w:themeColor="text1"/>
          <w:highlight w:val="none"/>
        </w:rPr>
        <w:fldChar w:fldCharType="separate"/>
      </w:r>
      <w:r>
        <w:rPr>
          <w:rFonts w:hint="eastAsia"/>
          <w:color w:val="000000" w:themeColor="text1"/>
          <w:highlight w:val="none"/>
        </w:rPr>
        <w:t>1.5分析判定情况</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_Toc11063 \h </w:instrText>
      </w:r>
      <w:r>
        <w:rPr>
          <w:color w:val="000000" w:themeColor="text1"/>
          <w:highlight w:val="none"/>
        </w:rPr>
        <w:fldChar w:fldCharType="separate"/>
      </w:r>
      <w:r>
        <w:rPr>
          <w:color w:val="000000" w:themeColor="text1"/>
          <w:highlight w:val="none"/>
        </w:rPr>
        <w:t>6</w:t>
      </w:r>
      <w:r>
        <w:rPr>
          <w:color w:val="000000" w:themeColor="text1"/>
          <w:highlight w:val="none"/>
        </w:rPr>
        <w:fldChar w:fldCharType="end"/>
      </w:r>
      <w:r>
        <w:rPr>
          <w:color w:val="000000" w:themeColor="text1"/>
          <w:highlight w:val="none"/>
        </w:rPr>
        <w:fldChar w:fldCharType="end"/>
      </w:r>
    </w:p>
    <w:p w14:paraId="39F093E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_Toc26103 </w:instrText>
      </w:r>
      <w:r>
        <w:rPr>
          <w:color w:val="000000" w:themeColor="text1"/>
          <w:highlight w:val="none"/>
        </w:rPr>
        <w:fldChar w:fldCharType="separate"/>
      </w:r>
      <w:r>
        <w:rPr>
          <w:rFonts w:hint="eastAsia"/>
          <w:color w:val="000000" w:themeColor="text1"/>
          <w:highlight w:val="none"/>
        </w:rPr>
        <w:t>1.6</w:t>
      </w:r>
      <w:r>
        <w:rPr>
          <w:color w:val="000000" w:themeColor="text1"/>
          <w:highlight w:val="none"/>
        </w:rPr>
        <w:t>环境影响报告主要结论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_Toc26103 \h </w:instrText>
      </w:r>
      <w:r>
        <w:rPr>
          <w:color w:val="000000" w:themeColor="text1"/>
          <w:highlight w:val="none"/>
        </w:rPr>
        <w:fldChar w:fldCharType="separate"/>
      </w:r>
      <w:r>
        <w:rPr>
          <w:color w:val="000000" w:themeColor="text1"/>
          <w:highlight w:val="none"/>
        </w:rPr>
        <w:t>26</w:t>
      </w:r>
      <w:r>
        <w:rPr>
          <w:color w:val="000000" w:themeColor="text1"/>
          <w:highlight w:val="none"/>
        </w:rPr>
        <w:fldChar w:fldCharType="end"/>
      </w:r>
      <w:r>
        <w:rPr>
          <w:color w:val="000000" w:themeColor="text1"/>
          <w:highlight w:val="none"/>
        </w:rPr>
        <w:fldChar w:fldCharType="end"/>
      </w:r>
    </w:p>
    <w:p w14:paraId="4B5A69C3">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_Toc21143 </w:instrText>
      </w:r>
      <w:r>
        <w:rPr>
          <w:color w:val="000000" w:themeColor="text1"/>
          <w:highlight w:val="none"/>
        </w:rPr>
        <w:fldChar w:fldCharType="separate"/>
      </w:r>
      <w:r>
        <w:rPr>
          <w:rFonts w:hint="eastAsia"/>
          <w:color w:val="000000" w:themeColor="text1"/>
          <w:highlight w:val="none"/>
        </w:rPr>
        <w:t xml:space="preserve">2 </w:t>
      </w:r>
      <w:r>
        <w:rPr>
          <w:color w:val="000000" w:themeColor="text1"/>
          <w:highlight w:val="none"/>
        </w:rPr>
        <w:t>总则</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_Toc21143 \h </w:instrText>
      </w:r>
      <w:r>
        <w:rPr>
          <w:color w:val="000000" w:themeColor="text1"/>
          <w:highlight w:val="none"/>
        </w:rPr>
        <w:fldChar w:fldCharType="separate"/>
      </w:r>
      <w:r>
        <w:rPr>
          <w:color w:val="000000" w:themeColor="text1"/>
          <w:highlight w:val="none"/>
        </w:rPr>
        <w:t>27</w:t>
      </w:r>
      <w:r>
        <w:rPr>
          <w:color w:val="000000" w:themeColor="text1"/>
          <w:highlight w:val="none"/>
        </w:rPr>
        <w:fldChar w:fldCharType="end"/>
      </w:r>
      <w:r>
        <w:rPr>
          <w:color w:val="000000" w:themeColor="text1"/>
          <w:highlight w:val="none"/>
        </w:rPr>
        <w:fldChar w:fldCharType="end"/>
      </w:r>
    </w:p>
    <w:p w14:paraId="31FD6EF6">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_Toc3771 </w:instrText>
      </w:r>
      <w:r>
        <w:rPr>
          <w:color w:val="000000" w:themeColor="text1"/>
          <w:highlight w:val="none"/>
        </w:rPr>
        <w:fldChar w:fldCharType="separate"/>
      </w:r>
      <w:r>
        <w:rPr>
          <w:rFonts w:hint="eastAsia"/>
          <w:color w:val="000000" w:themeColor="text1"/>
          <w:highlight w:val="none"/>
        </w:rPr>
        <w:t>2.1</w:t>
      </w:r>
      <w:r>
        <w:rPr>
          <w:color w:val="000000" w:themeColor="text1"/>
          <w:highlight w:val="none"/>
        </w:rPr>
        <w:t>编制依据</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_Toc3771 \h </w:instrText>
      </w:r>
      <w:r>
        <w:rPr>
          <w:color w:val="000000" w:themeColor="text1"/>
          <w:highlight w:val="none"/>
        </w:rPr>
        <w:fldChar w:fldCharType="separate"/>
      </w:r>
      <w:r>
        <w:rPr>
          <w:color w:val="000000" w:themeColor="text1"/>
          <w:highlight w:val="none"/>
        </w:rPr>
        <w:t>27</w:t>
      </w:r>
      <w:r>
        <w:rPr>
          <w:color w:val="000000" w:themeColor="text1"/>
          <w:highlight w:val="none"/>
        </w:rPr>
        <w:fldChar w:fldCharType="end"/>
      </w:r>
      <w:r>
        <w:rPr>
          <w:color w:val="000000" w:themeColor="text1"/>
          <w:highlight w:val="none"/>
        </w:rPr>
        <w:fldChar w:fldCharType="end"/>
      </w:r>
    </w:p>
    <w:p w14:paraId="2218C719">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_Toc10934 </w:instrText>
      </w:r>
      <w:r>
        <w:rPr>
          <w:color w:val="000000" w:themeColor="text1"/>
          <w:highlight w:val="none"/>
        </w:rPr>
        <w:fldChar w:fldCharType="separate"/>
      </w:r>
      <w:r>
        <w:rPr>
          <w:rFonts w:hint="eastAsia"/>
          <w:color w:val="000000" w:themeColor="text1"/>
          <w:highlight w:val="none"/>
        </w:rPr>
        <w:t>2.2</w:t>
      </w:r>
      <w:r>
        <w:rPr>
          <w:color w:val="000000" w:themeColor="text1"/>
          <w:highlight w:val="none"/>
        </w:rPr>
        <w:t>评价原则</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_Toc10934 \h </w:instrText>
      </w:r>
      <w:r>
        <w:rPr>
          <w:color w:val="000000" w:themeColor="text1"/>
          <w:highlight w:val="none"/>
        </w:rPr>
        <w:fldChar w:fldCharType="separate"/>
      </w:r>
      <w:r>
        <w:rPr>
          <w:color w:val="000000" w:themeColor="text1"/>
          <w:highlight w:val="none"/>
        </w:rPr>
        <w:t>31</w:t>
      </w:r>
      <w:r>
        <w:rPr>
          <w:color w:val="000000" w:themeColor="text1"/>
          <w:highlight w:val="none"/>
        </w:rPr>
        <w:fldChar w:fldCharType="end"/>
      </w:r>
      <w:r>
        <w:rPr>
          <w:color w:val="000000" w:themeColor="text1"/>
          <w:highlight w:val="none"/>
        </w:rPr>
        <w:fldChar w:fldCharType="end"/>
      </w:r>
    </w:p>
    <w:p w14:paraId="7B9F25E6">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_Toc8767 </w:instrText>
      </w:r>
      <w:r>
        <w:rPr>
          <w:color w:val="000000" w:themeColor="text1"/>
          <w:highlight w:val="none"/>
        </w:rPr>
        <w:fldChar w:fldCharType="separate"/>
      </w:r>
      <w:r>
        <w:rPr>
          <w:rFonts w:hint="eastAsia"/>
          <w:color w:val="000000" w:themeColor="text1"/>
          <w:highlight w:val="none"/>
        </w:rPr>
        <w:t>2.3</w:t>
      </w:r>
      <w:r>
        <w:rPr>
          <w:color w:val="000000" w:themeColor="text1"/>
          <w:highlight w:val="none"/>
        </w:rPr>
        <w:t>环境影响识别与评价因子筛选</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_Toc8767 \h </w:instrText>
      </w:r>
      <w:r>
        <w:rPr>
          <w:color w:val="000000" w:themeColor="text1"/>
          <w:highlight w:val="none"/>
        </w:rPr>
        <w:fldChar w:fldCharType="separate"/>
      </w:r>
      <w:r>
        <w:rPr>
          <w:color w:val="000000" w:themeColor="text1"/>
          <w:highlight w:val="none"/>
        </w:rPr>
        <w:t>32</w:t>
      </w:r>
      <w:r>
        <w:rPr>
          <w:color w:val="000000" w:themeColor="text1"/>
          <w:highlight w:val="none"/>
        </w:rPr>
        <w:fldChar w:fldCharType="end"/>
      </w:r>
      <w:r>
        <w:rPr>
          <w:color w:val="000000" w:themeColor="text1"/>
          <w:highlight w:val="none"/>
        </w:rPr>
        <w:fldChar w:fldCharType="end"/>
      </w:r>
    </w:p>
    <w:p w14:paraId="6E7E7BF0">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_Toc25382 </w:instrText>
      </w:r>
      <w:r>
        <w:rPr>
          <w:color w:val="000000" w:themeColor="text1"/>
          <w:highlight w:val="none"/>
        </w:rPr>
        <w:fldChar w:fldCharType="separate"/>
      </w:r>
      <w:r>
        <w:rPr>
          <w:rFonts w:hint="eastAsia"/>
          <w:color w:val="000000" w:themeColor="text1"/>
          <w:highlight w:val="none"/>
        </w:rPr>
        <w:t>2.4</w:t>
      </w:r>
      <w:r>
        <w:rPr>
          <w:color w:val="000000" w:themeColor="text1"/>
          <w:highlight w:val="none"/>
        </w:rPr>
        <w:t>评价等级</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_Toc25382 \h </w:instrText>
      </w:r>
      <w:r>
        <w:rPr>
          <w:color w:val="000000" w:themeColor="text1"/>
          <w:highlight w:val="none"/>
        </w:rPr>
        <w:fldChar w:fldCharType="separate"/>
      </w:r>
      <w:r>
        <w:rPr>
          <w:color w:val="000000" w:themeColor="text1"/>
          <w:highlight w:val="none"/>
        </w:rPr>
        <w:t>35</w:t>
      </w:r>
      <w:r>
        <w:rPr>
          <w:color w:val="000000" w:themeColor="text1"/>
          <w:highlight w:val="none"/>
        </w:rPr>
        <w:fldChar w:fldCharType="end"/>
      </w:r>
      <w:r>
        <w:rPr>
          <w:color w:val="000000" w:themeColor="text1"/>
          <w:highlight w:val="none"/>
        </w:rPr>
        <w:fldChar w:fldCharType="end"/>
      </w:r>
    </w:p>
    <w:p w14:paraId="1F1CA95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_Toc19483 </w:instrText>
      </w:r>
      <w:r>
        <w:rPr>
          <w:color w:val="000000" w:themeColor="text1"/>
          <w:highlight w:val="none"/>
        </w:rPr>
        <w:fldChar w:fldCharType="separate"/>
      </w:r>
      <w:r>
        <w:rPr>
          <w:rFonts w:hint="eastAsia"/>
          <w:color w:val="000000" w:themeColor="text1"/>
          <w:highlight w:val="none"/>
        </w:rPr>
        <w:t>2.5</w:t>
      </w:r>
      <w:r>
        <w:rPr>
          <w:color w:val="000000" w:themeColor="text1"/>
          <w:highlight w:val="none"/>
        </w:rPr>
        <w:t>评价范围</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_Toc19483 \h </w:instrText>
      </w:r>
      <w:r>
        <w:rPr>
          <w:color w:val="000000" w:themeColor="text1"/>
          <w:highlight w:val="none"/>
        </w:rPr>
        <w:fldChar w:fldCharType="separate"/>
      </w:r>
      <w:r>
        <w:rPr>
          <w:color w:val="000000" w:themeColor="text1"/>
          <w:highlight w:val="none"/>
        </w:rPr>
        <w:t>37</w:t>
      </w:r>
      <w:r>
        <w:rPr>
          <w:color w:val="000000" w:themeColor="text1"/>
          <w:highlight w:val="none"/>
        </w:rPr>
        <w:fldChar w:fldCharType="end"/>
      </w:r>
      <w:r>
        <w:rPr>
          <w:color w:val="000000" w:themeColor="text1"/>
          <w:highlight w:val="none"/>
        </w:rPr>
        <w:fldChar w:fldCharType="end"/>
      </w:r>
    </w:p>
    <w:p w14:paraId="6726C41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_Toc26549 </w:instrText>
      </w:r>
      <w:r>
        <w:rPr>
          <w:color w:val="000000" w:themeColor="text1"/>
          <w:highlight w:val="none"/>
        </w:rPr>
        <w:fldChar w:fldCharType="separate"/>
      </w:r>
      <w:r>
        <w:rPr>
          <w:rFonts w:hint="eastAsia"/>
          <w:color w:val="000000" w:themeColor="text1"/>
          <w:highlight w:val="none"/>
        </w:rPr>
        <w:t>2.6</w:t>
      </w:r>
      <w:r>
        <w:rPr>
          <w:color w:val="000000" w:themeColor="text1"/>
          <w:highlight w:val="none"/>
        </w:rPr>
        <w:t>环境功能区划</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_Toc26549 \h </w:instrText>
      </w:r>
      <w:r>
        <w:rPr>
          <w:color w:val="000000" w:themeColor="text1"/>
          <w:highlight w:val="none"/>
        </w:rPr>
        <w:fldChar w:fldCharType="separate"/>
      </w:r>
      <w:r>
        <w:rPr>
          <w:color w:val="000000" w:themeColor="text1"/>
          <w:highlight w:val="none"/>
        </w:rPr>
        <w:t>38</w:t>
      </w:r>
      <w:r>
        <w:rPr>
          <w:color w:val="000000" w:themeColor="text1"/>
          <w:highlight w:val="none"/>
        </w:rPr>
        <w:fldChar w:fldCharType="end"/>
      </w:r>
      <w:r>
        <w:rPr>
          <w:color w:val="000000" w:themeColor="text1"/>
          <w:highlight w:val="none"/>
        </w:rPr>
        <w:fldChar w:fldCharType="end"/>
      </w:r>
    </w:p>
    <w:p w14:paraId="779EE451">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_Toc17707 </w:instrText>
      </w:r>
      <w:r>
        <w:rPr>
          <w:color w:val="000000" w:themeColor="text1"/>
          <w:highlight w:val="none"/>
        </w:rPr>
        <w:fldChar w:fldCharType="separate"/>
      </w:r>
      <w:r>
        <w:rPr>
          <w:rFonts w:hint="eastAsia"/>
          <w:color w:val="000000" w:themeColor="text1"/>
          <w:highlight w:val="none"/>
        </w:rPr>
        <w:t>2.7</w:t>
      </w:r>
      <w:r>
        <w:rPr>
          <w:color w:val="000000" w:themeColor="text1"/>
          <w:highlight w:val="none"/>
        </w:rPr>
        <w:t>评价标准</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_Toc17707 \h </w:instrText>
      </w:r>
      <w:r>
        <w:rPr>
          <w:color w:val="000000" w:themeColor="text1"/>
          <w:highlight w:val="none"/>
        </w:rPr>
        <w:fldChar w:fldCharType="separate"/>
      </w:r>
      <w:r>
        <w:rPr>
          <w:color w:val="000000" w:themeColor="text1"/>
          <w:highlight w:val="none"/>
        </w:rPr>
        <w:t>39</w:t>
      </w:r>
      <w:r>
        <w:rPr>
          <w:color w:val="000000" w:themeColor="text1"/>
          <w:highlight w:val="none"/>
        </w:rPr>
        <w:fldChar w:fldCharType="end"/>
      </w:r>
      <w:r>
        <w:rPr>
          <w:color w:val="000000" w:themeColor="text1"/>
          <w:highlight w:val="none"/>
        </w:rPr>
        <w:fldChar w:fldCharType="end"/>
      </w:r>
    </w:p>
    <w:p w14:paraId="68ED0CB0">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_Toc16618 </w:instrText>
      </w:r>
      <w:r>
        <w:rPr>
          <w:color w:val="000000" w:themeColor="text1"/>
          <w:highlight w:val="none"/>
        </w:rPr>
        <w:fldChar w:fldCharType="separate"/>
      </w:r>
      <w:r>
        <w:rPr>
          <w:rFonts w:hint="eastAsia"/>
          <w:color w:val="000000" w:themeColor="text1"/>
          <w:highlight w:val="none"/>
        </w:rPr>
        <w:t>2.8</w:t>
      </w:r>
      <w:r>
        <w:rPr>
          <w:color w:val="000000" w:themeColor="text1"/>
          <w:highlight w:val="none"/>
        </w:rPr>
        <w:t>评价时段</w:t>
      </w:r>
      <w:r>
        <w:rPr>
          <w:rFonts w:hint="eastAsia"/>
          <w:color w:val="000000" w:themeColor="text1"/>
          <w:highlight w:val="none"/>
        </w:rPr>
        <w:t>及方法</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_Toc16618 \h </w:instrText>
      </w:r>
      <w:r>
        <w:rPr>
          <w:color w:val="000000" w:themeColor="text1"/>
          <w:highlight w:val="none"/>
        </w:rPr>
        <w:fldChar w:fldCharType="separate"/>
      </w:r>
      <w:r>
        <w:rPr>
          <w:color w:val="000000" w:themeColor="text1"/>
          <w:highlight w:val="none"/>
        </w:rPr>
        <w:t>42</w:t>
      </w:r>
      <w:r>
        <w:rPr>
          <w:color w:val="000000" w:themeColor="text1"/>
          <w:highlight w:val="none"/>
        </w:rPr>
        <w:fldChar w:fldCharType="end"/>
      </w:r>
      <w:r>
        <w:rPr>
          <w:color w:val="000000" w:themeColor="text1"/>
          <w:highlight w:val="none"/>
        </w:rPr>
        <w:fldChar w:fldCharType="end"/>
      </w:r>
    </w:p>
    <w:p w14:paraId="1740568F">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_Toc25207 </w:instrText>
      </w:r>
      <w:r>
        <w:rPr>
          <w:color w:val="000000" w:themeColor="text1"/>
          <w:highlight w:val="none"/>
        </w:rPr>
        <w:fldChar w:fldCharType="separate"/>
      </w:r>
      <w:r>
        <w:rPr>
          <w:rFonts w:hint="eastAsia"/>
          <w:color w:val="000000" w:themeColor="text1"/>
          <w:highlight w:val="none"/>
        </w:rPr>
        <w:t>2.9</w:t>
      </w:r>
      <w:r>
        <w:rPr>
          <w:color w:val="000000" w:themeColor="text1"/>
          <w:highlight w:val="none"/>
        </w:rPr>
        <w:t>环境保护目标</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_Toc25207 \h </w:instrText>
      </w:r>
      <w:r>
        <w:rPr>
          <w:color w:val="000000" w:themeColor="text1"/>
          <w:highlight w:val="none"/>
        </w:rPr>
        <w:fldChar w:fldCharType="separate"/>
      </w:r>
      <w:r>
        <w:rPr>
          <w:color w:val="000000" w:themeColor="text1"/>
          <w:highlight w:val="none"/>
        </w:rPr>
        <w:t>43</w:t>
      </w:r>
      <w:r>
        <w:rPr>
          <w:color w:val="000000" w:themeColor="text1"/>
          <w:highlight w:val="none"/>
        </w:rPr>
        <w:fldChar w:fldCharType="end"/>
      </w:r>
      <w:r>
        <w:rPr>
          <w:color w:val="000000" w:themeColor="text1"/>
          <w:highlight w:val="none"/>
        </w:rPr>
        <w:fldChar w:fldCharType="end"/>
      </w:r>
    </w:p>
    <w:p w14:paraId="4C2C510F">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_Toc3047 </w:instrText>
      </w:r>
      <w:r>
        <w:rPr>
          <w:color w:val="000000" w:themeColor="text1"/>
          <w:highlight w:val="none"/>
        </w:rPr>
        <w:fldChar w:fldCharType="separate"/>
      </w:r>
      <w:r>
        <w:rPr>
          <w:rFonts w:hint="eastAsia"/>
          <w:color w:val="000000" w:themeColor="text1"/>
          <w:highlight w:val="none"/>
        </w:rPr>
        <w:t>2.10</w:t>
      </w:r>
      <w:r>
        <w:rPr>
          <w:color w:val="000000" w:themeColor="text1"/>
          <w:highlight w:val="none"/>
        </w:rPr>
        <w:t>线</w:t>
      </w:r>
      <w:r>
        <w:rPr>
          <w:rFonts w:hint="eastAsia"/>
          <w:color w:val="000000" w:themeColor="text1"/>
          <w:highlight w:val="none"/>
        </w:rPr>
        <w:t>路比选</w:t>
      </w:r>
      <w:r>
        <w:rPr>
          <w:color w:val="000000" w:themeColor="text1"/>
          <w:highlight w:val="none"/>
        </w:rPr>
        <w:t>方案</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_Toc3047 \h </w:instrText>
      </w:r>
      <w:r>
        <w:rPr>
          <w:color w:val="000000" w:themeColor="text1"/>
          <w:highlight w:val="none"/>
        </w:rPr>
        <w:fldChar w:fldCharType="separate"/>
      </w:r>
      <w:r>
        <w:rPr>
          <w:color w:val="000000" w:themeColor="text1"/>
          <w:highlight w:val="none"/>
        </w:rPr>
        <w:t>44</w:t>
      </w:r>
      <w:r>
        <w:rPr>
          <w:color w:val="000000" w:themeColor="text1"/>
          <w:highlight w:val="none"/>
        </w:rPr>
        <w:fldChar w:fldCharType="end"/>
      </w:r>
      <w:r>
        <w:rPr>
          <w:color w:val="000000" w:themeColor="text1"/>
          <w:highlight w:val="none"/>
        </w:rPr>
        <w:fldChar w:fldCharType="end"/>
      </w:r>
    </w:p>
    <w:p w14:paraId="67724BF9">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_Toc16385 </w:instrText>
      </w:r>
      <w:r>
        <w:rPr>
          <w:color w:val="000000" w:themeColor="text1"/>
          <w:highlight w:val="none"/>
        </w:rPr>
        <w:fldChar w:fldCharType="separate"/>
      </w:r>
      <w:r>
        <w:rPr>
          <w:rFonts w:hint="eastAsia"/>
          <w:color w:val="000000" w:themeColor="text1"/>
          <w:highlight w:val="none"/>
        </w:rPr>
        <w:t>2.11穿越</w:t>
      </w:r>
      <w:r>
        <w:rPr>
          <w:rFonts w:hint="eastAsia"/>
          <w:color w:val="000000" w:themeColor="text1"/>
          <w:highlight w:val="none"/>
          <w:lang w:val="en-US" w:eastAsia="zh-CN"/>
        </w:rPr>
        <w:t>永久基本农田</w:t>
      </w:r>
      <w:r>
        <w:rPr>
          <w:rFonts w:hint="eastAsia"/>
          <w:color w:val="000000" w:themeColor="text1"/>
          <w:highlight w:val="none"/>
        </w:rPr>
        <w:t>合理性分析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_Toc16385 \h </w:instrText>
      </w:r>
      <w:r>
        <w:rPr>
          <w:color w:val="000000" w:themeColor="text1"/>
          <w:highlight w:val="none"/>
        </w:rPr>
        <w:fldChar w:fldCharType="separate"/>
      </w:r>
      <w:r>
        <w:rPr>
          <w:color w:val="000000" w:themeColor="text1"/>
          <w:highlight w:val="none"/>
        </w:rPr>
        <w:t>49</w:t>
      </w:r>
      <w:r>
        <w:rPr>
          <w:color w:val="000000" w:themeColor="text1"/>
          <w:highlight w:val="none"/>
        </w:rPr>
        <w:fldChar w:fldCharType="end"/>
      </w:r>
      <w:r>
        <w:rPr>
          <w:color w:val="000000" w:themeColor="text1"/>
          <w:highlight w:val="none"/>
        </w:rPr>
        <w:fldChar w:fldCharType="end"/>
      </w:r>
    </w:p>
    <w:p w14:paraId="1B1E719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_Toc16993 </w:instrText>
      </w:r>
      <w:r>
        <w:rPr>
          <w:color w:val="000000" w:themeColor="text1"/>
          <w:highlight w:val="none"/>
        </w:rPr>
        <w:fldChar w:fldCharType="separate"/>
      </w:r>
      <w:r>
        <w:rPr>
          <w:rFonts w:hint="eastAsia"/>
          <w:color w:val="000000" w:themeColor="text1"/>
          <w:highlight w:val="none"/>
        </w:rPr>
        <w:t>2.1</w:t>
      </w:r>
      <w:r>
        <w:rPr>
          <w:rFonts w:hint="eastAsia"/>
          <w:color w:val="000000" w:themeColor="text1"/>
          <w:highlight w:val="none"/>
          <w:lang w:val="en-US" w:eastAsia="zh-CN"/>
        </w:rPr>
        <w:t>2</w:t>
      </w:r>
      <w:r>
        <w:rPr>
          <w:color w:val="000000" w:themeColor="text1"/>
          <w:highlight w:val="none"/>
        </w:rPr>
        <w:t>临时工程选址合理性</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_Toc16993 \h </w:instrText>
      </w:r>
      <w:r>
        <w:rPr>
          <w:color w:val="000000" w:themeColor="text1"/>
          <w:highlight w:val="none"/>
        </w:rPr>
        <w:fldChar w:fldCharType="separate"/>
      </w:r>
      <w:r>
        <w:rPr>
          <w:color w:val="000000" w:themeColor="text1"/>
          <w:highlight w:val="none"/>
        </w:rPr>
        <w:t>51</w:t>
      </w:r>
      <w:r>
        <w:rPr>
          <w:color w:val="000000" w:themeColor="text1"/>
          <w:highlight w:val="none"/>
        </w:rPr>
        <w:fldChar w:fldCharType="end"/>
      </w:r>
      <w:r>
        <w:rPr>
          <w:color w:val="000000" w:themeColor="text1"/>
          <w:highlight w:val="none"/>
        </w:rPr>
        <w:fldChar w:fldCharType="end"/>
      </w:r>
    </w:p>
    <w:p w14:paraId="15120E83">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_Toc3944 </w:instrText>
      </w:r>
      <w:r>
        <w:rPr>
          <w:color w:val="000000" w:themeColor="text1"/>
          <w:highlight w:val="none"/>
        </w:rPr>
        <w:fldChar w:fldCharType="separate"/>
      </w:r>
      <w:r>
        <w:rPr>
          <w:rFonts w:hint="eastAsia"/>
          <w:color w:val="000000" w:themeColor="text1"/>
          <w:highlight w:val="none"/>
        </w:rPr>
        <w:t>3</w:t>
      </w:r>
      <w:r>
        <w:rPr>
          <w:color w:val="000000" w:themeColor="text1"/>
          <w:highlight w:val="none"/>
        </w:rPr>
        <w:t>建设项目工程分析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_Toc3944 \h </w:instrText>
      </w:r>
      <w:r>
        <w:rPr>
          <w:color w:val="000000" w:themeColor="text1"/>
          <w:highlight w:val="none"/>
        </w:rPr>
        <w:fldChar w:fldCharType="separate"/>
      </w:r>
      <w:r>
        <w:rPr>
          <w:color w:val="000000" w:themeColor="text1"/>
          <w:highlight w:val="none"/>
        </w:rPr>
        <w:t>57</w:t>
      </w:r>
      <w:r>
        <w:rPr>
          <w:color w:val="000000" w:themeColor="text1"/>
          <w:highlight w:val="none"/>
        </w:rPr>
        <w:fldChar w:fldCharType="end"/>
      </w:r>
      <w:r>
        <w:rPr>
          <w:color w:val="000000" w:themeColor="text1"/>
          <w:highlight w:val="none"/>
        </w:rPr>
        <w:fldChar w:fldCharType="end"/>
      </w:r>
    </w:p>
    <w:p w14:paraId="2C50002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_Toc23378 </w:instrText>
      </w:r>
      <w:r>
        <w:rPr>
          <w:color w:val="000000" w:themeColor="text1"/>
          <w:highlight w:val="none"/>
        </w:rPr>
        <w:fldChar w:fldCharType="separate"/>
      </w:r>
      <w:r>
        <w:rPr>
          <w:rFonts w:hint="eastAsia"/>
          <w:color w:val="000000" w:themeColor="text1"/>
          <w:highlight w:val="none"/>
        </w:rPr>
        <w:t>3.1</w:t>
      </w:r>
      <w:r>
        <w:rPr>
          <w:color w:val="000000" w:themeColor="text1"/>
          <w:highlight w:val="none"/>
        </w:rPr>
        <w:t>建设项目概况</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_Toc23378 \h </w:instrText>
      </w:r>
      <w:r>
        <w:rPr>
          <w:color w:val="000000" w:themeColor="text1"/>
          <w:highlight w:val="none"/>
        </w:rPr>
        <w:fldChar w:fldCharType="separate"/>
      </w:r>
      <w:r>
        <w:rPr>
          <w:color w:val="000000" w:themeColor="text1"/>
          <w:highlight w:val="none"/>
        </w:rPr>
        <w:t>57</w:t>
      </w:r>
      <w:r>
        <w:rPr>
          <w:color w:val="000000" w:themeColor="text1"/>
          <w:highlight w:val="none"/>
        </w:rPr>
        <w:fldChar w:fldCharType="end"/>
      </w:r>
      <w:r>
        <w:rPr>
          <w:color w:val="000000" w:themeColor="text1"/>
          <w:highlight w:val="none"/>
        </w:rPr>
        <w:fldChar w:fldCharType="end"/>
      </w:r>
    </w:p>
    <w:p w14:paraId="7991EFD1">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_Toc4162 </w:instrText>
      </w:r>
      <w:r>
        <w:rPr>
          <w:color w:val="000000" w:themeColor="text1"/>
          <w:highlight w:val="none"/>
        </w:rPr>
        <w:fldChar w:fldCharType="separate"/>
      </w:r>
      <w:r>
        <w:rPr>
          <w:rFonts w:hint="eastAsia"/>
          <w:color w:val="000000" w:themeColor="text1"/>
          <w:highlight w:val="none"/>
        </w:rPr>
        <w:t>3.2</w:t>
      </w:r>
      <w:r>
        <w:rPr>
          <w:color w:val="000000" w:themeColor="text1"/>
          <w:highlight w:val="none"/>
        </w:rPr>
        <w:t>工艺流程及污染工序分析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_Toc4162 \h </w:instrText>
      </w:r>
      <w:r>
        <w:rPr>
          <w:color w:val="000000" w:themeColor="text1"/>
          <w:highlight w:val="none"/>
        </w:rPr>
        <w:fldChar w:fldCharType="separate"/>
      </w:r>
      <w:r>
        <w:rPr>
          <w:color w:val="000000" w:themeColor="text1"/>
          <w:highlight w:val="none"/>
        </w:rPr>
        <w:t>98</w:t>
      </w:r>
      <w:r>
        <w:rPr>
          <w:color w:val="000000" w:themeColor="text1"/>
          <w:highlight w:val="none"/>
        </w:rPr>
        <w:fldChar w:fldCharType="end"/>
      </w:r>
      <w:r>
        <w:rPr>
          <w:color w:val="000000" w:themeColor="text1"/>
          <w:highlight w:val="none"/>
        </w:rPr>
        <w:fldChar w:fldCharType="end"/>
      </w:r>
    </w:p>
    <w:p w14:paraId="7B63E74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_Toc21080 </w:instrText>
      </w:r>
      <w:r>
        <w:rPr>
          <w:color w:val="000000" w:themeColor="text1"/>
          <w:highlight w:val="none"/>
        </w:rPr>
        <w:fldChar w:fldCharType="separate"/>
      </w:r>
      <w:r>
        <w:rPr>
          <w:rFonts w:hint="eastAsia"/>
          <w:color w:val="000000" w:themeColor="text1"/>
          <w:highlight w:val="none"/>
        </w:rPr>
        <w:t>3.3</w:t>
      </w:r>
      <w:r>
        <w:rPr>
          <w:color w:val="000000" w:themeColor="text1"/>
          <w:highlight w:val="none"/>
        </w:rPr>
        <w:t>环境影响源分析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_Toc21080 \h </w:instrText>
      </w:r>
      <w:r>
        <w:rPr>
          <w:color w:val="000000" w:themeColor="text1"/>
          <w:highlight w:val="none"/>
        </w:rPr>
        <w:fldChar w:fldCharType="separate"/>
      </w:r>
      <w:r>
        <w:rPr>
          <w:color w:val="000000" w:themeColor="text1"/>
          <w:highlight w:val="none"/>
        </w:rPr>
        <w:t>106</w:t>
      </w:r>
      <w:r>
        <w:rPr>
          <w:color w:val="000000" w:themeColor="text1"/>
          <w:highlight w:val="none"/>
        </w:rPr>
        <w:fldChar w:fldCharType="end"/>
      </w:r>
      <w:r>
        <w:rPr>
          <w:color w:val="000000" w:themeColor="text1"/>
          <w:highlight w:val="none"/>
        </w:rPr>
        <w:fldChar w:fldCharType="end"/>
      </w:r>
    </w:p>
    <w:p w14:paraId="231A6981">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_Toc10388 </w:instrText>
      </w:r>
      <w:r>
        <w:rPr>
          <w:color w:val="000000" w:themeColor="text1"/>
          <w:highlight w:val="none"/>
        </w:rPr>
        <w:fldChar w:fldCharType="separate"/>
      </w:r>
      <w:r>
        <w:rPr>
          <w:rFonts w:hint="eastAsia"/>
          <w:color w:val="000000" w:themeColor="text1"/>
          <w:highlight w:val="none"/>
        </w:rPr>
        <w:t>4</w:t>
      </w:r>
      <w:r>
        <w:rPr>
          <w:color w:val="000000" w:themeColor="text1"/>
          <w:highlight w:val="none"/>
        </w:rPr>
        <w:t>环境现状调查与评价</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_Toc10388 \h </w:instrText>
      </w:r>
      <w:r>
        <w:rPr>
          <w:color w:val="000000" w:themeColor="text1"/>
          <w:highlight w:val="none"/>
        </w:rPr>
        <w:fldChar w:fldCharType="separate"/>
      </w:r>
      <w:r>
        <w:rPr>
          <w:color w:val="000000" w:themeColor="text1"/>
          <w:highlight w:val="none"/>
        </w:rPr>
        <w:t>118</w:t>
      </w:r>
      <w:r>
        <w:rPr>
          <w:color w:val="000000" w:themeColor="text1"/>
          <w:highlight w:val="none"/>
        </w:rPr>
        <w:fldChar w:fldCharType="end"/>
      </w:r>
      <w:r>
        <w:rPr>
          <w:color w:val="000000" w:themeColor="text1"/>
          <w:highlight w:val="none"/>
        </w:rPr>
        <w:fldChar w:fldCharType="end"/>
      </w:r>
    </w:p>
    <w:p w14:paraId="5D27C5FA">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_Toc21206 </w:instrText>
      </w:r>
      <w:r>
        <w:rPr>
          <w:color w:val="000000" w:themeColor="text1"/>
          <w:highlight w:val="none"/>
        </w:rPr>
        <w:fldChar w:fldCharType="separate"/>
      </w:r>
      <w:r>
        <w:rPr>
          <w:rFonts w:hint="eastAsia"/>
          <w:color w:val="000000" w:themeColor="text1"/>
          <w:highlight w:val="none"/>
        </w:rPr>
        <w:t>4.1</w:t>
      </w:r>
      <w:r>
        <w:rPr>
          <w:color w:val="000000" w:themeColor="text1"/>
          <w:highlight w:val="none"/>
        </w:rPr>
        <w:t>自然环境概况</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_Toc21206 \h </w:instrText>
      </w:r>
      <w:r>
        <w:rPr>
          <w:color w:val="000000" w:themeColor="text1"/>
          <w:highlight w:val="none"/>
        </w:rPr>
        <w:fldChar w:fldCharType="separate"/>
      </w:r>
      <w:r>
        <w:rPr>
          <w:color w:val="000000" w:themeColor="text1"/>
          <w:highlight w:val="none"/>
        </w:rPr>
        <w:t>118</w:t>
      </w:r>
      <w:r>
        <w:rPr>
          <w:color w:val="000000" w:themeColor="text1"/>
          <w:highlight w:val="none"/>
        </w:rPr>
        <w:fldChar w:fldCharType="end"/>
      </w:r>
      <w:r>
        <w:rPr>
          <w:color w:val="000000" w:themeColor="text1"/>
          <w:highlight w:val="none"/>
        </w:rPr>
        <w:fldChar w:fldCharType="end"/>
      </w:r>
    </w:p>
    <w:p w14:paraId="1EF4F1CA">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_Toc1500 </w:instrText>
      </w:r>
      <w:r>
        <w:rPr>
          <w:color w:val="000000" w:themeColor="text1"/>
          <w:highlight w:val="none"/>
        </w:rPr>
        <w:fldChar w:fldCharType="separate"/>
      </w:r>
      <w:r>
        <w:rPr>
          <w:rFonts w:hint="eastAsia"/>
          <w:color w:val="000000" w:themeColor="text1"/>
          <w:highlight w:val="none"/>
        </w:rPr>
        <w:t>4.2</w:t>
      </w:r>
      <w:r>
        <w:rPr>
          <w:color w:val="000000" w:themeColor="text1"/>
          <w:highlight w:val="none"/>
        </w:rPr>
        <w:t>环境保护目标调查</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_Toc1500 \h </w:instrText>
      </w:r>
      <w:r>
        <w:rPr>
          <w:color w:val="000000" w:themeColor="text1"/>
          <w:highlight w:val="none"/>
        </w:rPr>
        <w:fldChar w:fldCharType="separate"/>
      </w:r>
      <w:r>
        <w:rPr>
          <w:color w:val="000000" w:themeColor="text1"/>
          <w:highlight w:val="none"/>
        </w:rPr>
        <w:t>121</w:t>
      </w:r>
      <w:r>
        <w:rPr>
          <w:color w:val="000000" w:themeColor="text1"/>
          <w:highlight w:val="none"/>
        </w:rPr>
        <w:fldChar w:fldCharType="end"/>
      </w:r>
      <w:r>
        <w:rPr>
          <w:color w:val="000000" w:themeColor="text1"/>
          <w:highlight w:val="none"/>
        </w:rPr>
        <w:fldChar w:fldCharType="end"/>
      </w:r>
    </w:p>
    <w:p w14:paraId="0B602394">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_Toc27988 </w:instrText>
      </w:r>
      <w:r>
        <w:rPr>
          <w:color w:val="000000" w:themeColor="text1"/>
          <w:highlight w:val="none"/>
        </w:rPr>
        <w:fldChar w:fldCharType="separate"/>
      </w:r>
      <w:r>
        <w:rPr>
          <w:rFonts w:hint="eastAsia"/>
          <w:color w:val="000000" w:themeColor="text1"/>
          <w:highlight w:val="none"/>
        </w:rPr>
        <w:t>4.3环境质量现状调查</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_Toc27988 \h </w:instrText>
      </w:r>
      <w:r>
        <w:rPr>
          <w:color w:val="000000" w:themeColor="text1"/>
          <w:highlight w:val="none"/>
        </w:rPr>
        <w:fldChar w:fldCharType="separate"/>
      </w:r>
      <w:r>
        <w:rPr>
          <w:color w:val="000000" w:themeColor="text1"/>
          <w:highlight w:val="none"/>
        </w:rPr>
        <w:t>122</w:t>
      </w:r>
      <w:r>
        <w:rPr>
          <w:color w:val="000000" w:themeColor="text1"/>
          <w:highlight w:val="none"/>
        </w:rPr>
        <w:fldChar w:fldCharType="end"/>
      </w:r>
      <w:r>
        <w:rPr>
          <w:color w:val="000000" w:themeColor="text1"/>
          <w:highlight w:val="none"/>
        </w:rPr>
        <w:fldChar w:fldCharType="end"/>
      </w:r>
    </w:p>
    <w:p w14:paraId="00A22CB9">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_Toc13184 </w:instrText>
      </w:r>
      <w:r>
        <w:rPr>
          <w:color w:val="000000" w:themeColor="text1"/>
          <w:highlight w:val="none"/>
        </w:rPr>
        <w:fldChar w:fldCharType="separate"/>
      </w:r>
      <w:r>
        <w:rPr>
          <w:rFonts w:hint="eastAsia"/>
          <w:color w:val="000000" w:themeColor="text1"/>
          <w:highlight w:val="none"/>
        </w:rPr>
        <w:t>5</w:t>
      </w:r>
      <w:r>
        <w:rPr>
          <w:color w:val="000000" w:themeColor="text1"/>
          <w:highlight w:val="none"/>
        </w:rPr>
        <w:t>环境影响预测与评价</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_Toc13184 \h </w:instrText>
      </w:r>
      <w:r>
        <w:rPr>
          <w:color w:val="000000" w:themeColor="text1"/>
          <w:highlight w:val="none"/>
        </w:rPr>
        <w:fldChar w:fldCharType="separate"/>
      </w:r>
      <w:r>
        <w:rPr>
          <w:color w:val="000000" w:themeColor="text1"/>
          <w:highlight w:val="none"/>
        </w:rPr>
        <w:t>134</w:t>
      </w:r>
      <w:r>
        <w:rPr>
          <w:color w:val="000000" w:themeColor="text1"/>
          <w:highlight w:val="none"/>
        </w:rPr>
        <w:fldChar w:fldCharType="end"/>
      </w:r>
      <w:r>
        <w:rPr>
          <w:color w:val="000000" w:themeColor="text1"/>
          <w:highlight w:val="none"/>
        </w:rPr>
        <w:fldChar w:fldCharType="end"/>
      </w:r>
    </w:p>
    <w:p w14:paraId="5906F81C">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_Toc12467 </w:instrText>
      </w:r>
      <w:r>
        <w:rPr>
          <w:color w:val="000000" w:themeColor="text1"/>
          <w:highlight w:val="none"/>
        </w:rPr>
        <w:fldChar w:fldCharType="separate"/>
      </w:r>
      <w:r>
        <w:rPr>
          <w:rFonts w:hint="eastAsia"/>
          <w:color w:val="000000" w:themeColor="text1"/>
          <w:highlight w:val="none"/>
        </w:rPr>
        <w:t>5.1</w:t>
      </w:r>
      <w:r>
        <w:rPr>
          <w:color w:val="000000" w:themeColor="text1"/>
          <w:highlight w:val="none"/>
        </w:rPr>
        <w:t>生态环境</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_Toc12467 \h </w:instrText>
      </w:r>
      <w:r>
        <w:rPr>
          <w:color w:val="000000" w:themeColor="text1"/>
          <w:highlight w:val="none"/>
        </w:rPr>
        <w:fldChar w:fldCharType="separate"/>
      </w:r>
      <w:r>
        <w:rPr>
          <w:color w:val="000000" w:themeColor="text1"/>
          <w:highlight w:val="none"/>
        </w:rPr>
        <w:t>134</w:t>
      </w:r>
      <w:r>
        <w:rPr>
          <w:color w:val="000000" w:themeColor="text1"/>
          <w:highlight w:val="none"/>
        </w:rPr>
        <w:fldChar w:fldCharType="end"/>
      </w:r>
      <w:r>
        <w:rPr>
          <w:color w:val="000000" w:themeColor="text1"/>
          <w:highlight w:val="none"/>
        </w:rPr>
        <w:fldChar w:fldCharType="end"/>
      </w:r>
    </w:p>
    <w:p w14:paraId="59515997">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_Toc14753 </w:instrText>
      </w:r>
      <w:r>
        <w:rPr>
          <w:color w:val="000000" w:themeColor="text1"/>
          <w:highlight w:val="none"/>
        </w:rPr>
        <w:fldChar w:fldCharType="separate"/>
      </w:r>
      <w:r>
        <w:rPr>
          <w:rFonts w:hint="eastAsia"/>
          <w:color w:val="000000" w:themeColor="text1"/>
          <w:highlight w:val="none"/>
        </w:rPr>
        <w:t>5.2</w:t>
      </w:r>
      <w:r>
        <w:rPr>
          <w:color w:val="000000" w:themeColor="text1"/>
          <w:highlight w:val="none"/>
        </w:rPr>
        <w:t>声环境</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_Toc14753 \h </w:instrText>
      </w:r>
      <w:r>
        <w:rPr>
          <w:color w:val="000000" w:themeColor="text1"/>
          <w:highlight w:val="none"/>
        </w:rPr>
        <w:fldChar w:fldCharType="separate"/>
      </w:r>
      <w:r>
        <w:rPr>
          <w:color w:val="000000" w:themeColor="text1"/>
          <w:highlight w:val="none"/>
        </w:rPr>
        <w:t>142</w:t>
      </w:r>
      <w:r>
        <w:rPr>
          <w:color w:val="000000" w:themeColor="text1"/>
          <w:highlight w:val="none"/>
        </w:rPr>
        <w:fldChar w:fldCharType="end"/>
      </w:r>
      <w:r>
        <w:rPr>
          <w:color w:val="000000" w:themeColor="text1"/>
          <w:highlight w:val="none"/>
        </w:rPr>
        <w:fldChar w:fldCharType="end"/>
      </w:r>
    </w:p>
    <w:p w14:paraId="57BA12A8">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_Toc3633 </w:instrText>
      </w:r>
      <w:r>
        <w:rPr>
          <w:color w:val="000000" w:themeColor="text1"/>
          <w:highlight w:val="none"/>
        </w:rPr>
        <w:fldChar w:fldCharType="separate"/>
      </w:r>
      <w:r>
        <w:rPr>
          <w:rFonts w:hint="eastAsia"/>
          <w:color w:val="000000" w:themeColor="text1"/>
          <w:highlight w:val="none"/>
        </w:rPr>
        <w:t>5.3</w:t>
      </w:r>
      <w:r>
        <w:rPr>
          <w:color w:val="000000" w:themeColor="text1"/>
          <w:highlight w:val="none"/>
        </w:rPr>
        <w:t>环境空气</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_Toc3633 \h </w:instrText>
      </w:r>
      <w:r>
        <w:rPr>
          <w:color w:val="000000" w:themeColor="text1"/>
          <w:highlight w:val="none"/>
        </w:rPr>
        <w:fldChar w:fldCharType="separate"/>
      </w:r>
      <w:r>
        <w:rPr>
          <w:color w:val="000000" w:themeColor="text1"/>
          <w:highlight w:val="none"/>
        </w:rPr>
        <w:t>156</w:t>
      </w:r>
      <w:r>
        <w:rPr>
          <w:color w:val="000000" w:themeColor="text1"/>
          <w:highlight w:val="none"/>
        </w:rPr>
        <w:fldChar w:fldCharType="end"/>
      </w:r>
      <w:r>
        <w:rPr>
          <w:color w:val="000000" w:themeColor="text1"/>
          <w:highlight w:val="none"/>
        </w:rPr>
        <w:fldChar w:fldCharType="end"/>
      </w:r>
    </w:p>
    <w:p w14:paraId="58D01AC9">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_Toc12198 </w:instrText>
      </w:r>
      <w:r>
        <w:rPr>
          <w:color w:val="000000" w:themeColor="text1"/>
          <w:highlight w:val="none"/>
        </w:rPr>
        <w:fldChar w:fldCharType="separate"/>
      </w:r>
      <w:r>
        <w:rPr>
          <w:rFonts w:hint="eastAsia"/>
          <w:color w:val="000000" w:themeColor="text1"/>
          <w:highlight w:val="none"/>
        </w:rPr>
        <w:t>5.4</w:t>
      </w:r>
      <w:r>
        <w:rPr>
          <w:color w:val="000000" w:themeColor="text1"/>
          <w:highlight w:val="none"/>
        </w:rPr>
        <w:t>地表水</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_Toc12198 \h </w:instrText>
      </w:r>
      <w:r>
        <w:rPr>
          <w:color w:val="000000" w:themeColor="text1"/>
          <w:highlight w:val="none"/>
        </w:rPr>
        <w:fldChar w:fldCharType="separate"/>
      </w:r>
      <w:r>
        <w:rPr>
          <w:color w:val="000000" w:themeColor="text1"/>
          <w:highlight w:val="none"/>
        </w:rPr>
        <w:t>158</w:t>
      </w:r>
      <w:r>
        <w:rPr>
          <w:color w:val="000000" w:themeColor="text1"/>
          <w:highlight w:val="none"/>
        </w:rPr>
        <w:fldChar w:fldCharType="end"/>
      </w:r>
      <w:r>
        <w:rPr>
          <w:color w:val="000000" w:themeColor="text1"/>
          <w:highlight w:val="none"/>
        </w:rPr>
        <w:fldChar w:fldCharType="end"/>
      </w:r>
    </w:p>
    <w:p w14:paraId="177DBF20">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_Toc26188 </w:instrText>
      </w:r>
      <w:r>
        <w:rPr>
          <w:color w:val="000000" w:themeColor="text1"/>
          <w:highlight w:val="none"/>
        </w:rPr>
        <w:fldChar w:fldCharType="separate"/>
      </w:r>
      <w:r>
        <w:rPr>
          <w:rFonts w:hint="eastAsia"/>
          <w:color w:val="000000" w:themeColor="text1"/>
          <w:highlight w:val="none"/>
        </w:rPr>
        <w:t>5.5</w:t>
      </w:r>
      <w:r>
        <w:rPr>
          <w:color w:val="000000" w:themeColor="text1"/>
          <w:highlight w:val="none"/>
        </w:rPr>
        <w:t>固体废物</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_Toc26188 \h </w:instrText>
      </w:r>
      <w:r>
        <w:rPr>
          <w:color w:val="000000" w:themeColor="text1"/>
          <w:highlight w:val="none"/>
        </w:rPr>
        <w:fldChar w:fldCharType="separate"/>
      </w:r>
      <w:r>
        <w:rPr>
          <w:color w:val="000000" w:themeColor="text1"/>
          <w:highlight w:val="none"/>
        </w:rPr>
        <w:t>160</w:t>
      </w:r>
      <w:r>
        <w:rPr>
          <w:color w:val="000000" w:themeColor="text1"/>
          <w:highlight w:val="none"/>
        </w:rPr>
        <w:fldChar w:fldCharType="end"/>
      </w:r>
      <w:r>
        <w:rPr>
          <w:color w:val="000000" w:themeColor="text1"/>
          <w:highlight w:val="none"/>
        </w:rPr>
        <w:fldChar w:fldCharType="end"/>
      </w:r>
    </w:p>
    <w:p w14:paraId="499D0068">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_Toc18424 </w:instrText>
      </w:r>
      <w:r>
        <w:rPr>
          <w:color w:val="000000" w:themeColor="text1"/>
          <w:highlight w:val="none"/>
        </w:rPr>
        <w:fldChar w:fldCharType="separate"/>
      </w:r>
      <w:r>
        <w:rPr>
          <w:rFonts w:hint="eastAsia"/>
          <w:color w:val="000000" w:themeColor="text1"/>
          <w:highlight w:val="none"/>
        </w:rPr>
        <w:t>5.</w:t>
      </w:r>
      <w:r>
        <w:rPr>
          <w:rFonts w:hint="eastAsia"/>
          <w:color w:val="000000" w:themeColor="text1"/>
          <w:highlight w:val="none"/>
          <w:lang w:val="en-US" w:eastAsia="zh-CN"/>
        </w:rPr>
        <w:t>6</w:t>
      </w:r>
      <w:r>
        <w:rPr>
          <w:rFonts w:hint="eastAsia"/>
          <w:color w:val="000000" w:themeColor="text1"/>
          <w:highlight w:val="none"/>
        </w:rPr>
        <w:t>水土流失影响分析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_Toc18424 \h </w:instrText>
      </w:r>
      <w:r>
        <w:rPr>
          <w:color w:val="000000" w:themeColor="text1"/>
          <w:highlight w:val="none"/>
        </w:rPr>
        <w:fldChar w:fldCharType="separate"/>
      </w:r>
      <w:r>
        <w:rPr>
          <w:color w:val="000000" w:themeColor="text1"/>
          <w:highlight w:val="none"/>
        </w:rPr>
        <w:t>161</w:t>
      </w:r>
      <w:r>
        <w:rPr>
          <w:color w:val="000000" w:themeColor="text1"/>
          <w:highlight w:val="none"/>
        </w:rPr>
        <w:fldChar w:fldCharType="end"/>
      </w:r>
      <w:r>
        <w:rPr>
          <w:color w:val="000000" w:themeColor="text1"/>
          <w:highlight w:val="none"/>
        </w:rPr>
        <w:fldChar w:fldCharType="end"/>
      </w:r>
    </w:p>
    <w:p w14:paraId="038845E1">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_Toc19977 </w:instrText>
      </w:r>
      <w:r>
        <w:rPr>
          <w:color w:val="000000" w:themeColor="text1"/>
          <w:highlight w:val="none"/>
        </w:rPr>
        <w:fldChar w:fldCharType="separate"/>
      </w:r>
      <w:r>
        <w:rPr>
          <w:rFonts w:hint="eastAsia"/>
          <w:color w:val="000000" w:themeColor="text1"/>
          <w:highlight w:val="none"/>
        </w:rPr>
        <w:t xml:space="preserve">6 </w:t>
      </w:r>
      <w:r>
        <w:rPr>
          <w:color w:val="000000" w:themeColor="text1"/>
          <w:highlight w:val="none"/>
        </w:rPr>
        <w:t>环境风险分析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_Toc19977 \h </w:instrText>
      </w:r>
      <w:r>
        <w:rPr>
          <w:color w:val="000000" w:themeColor="text1"/>
          <w:highlight w:val="none"/>
        </w:rPr>
        <w:fldChar w:fldCharType="separate"/>
      </w:r>
      <w:r>
        <w:rPr>
          <w:color w:val="000000" w:themeColor="text1"/>
          <w:highlight w:val="none"/>
        </w:rPr>
        <w:t>164</w:t>
      </w:r>
      <w:r>
        <w:rPr>
          <w:color w:val="000000" w:themeColor="text1"/>
          <w:highlight w:val="none"/>
        </w:rPr>
        <w:fldChar w:fldCharType="end"/>
      </w:r>
      <w:r>
        <w:rPr>
          <w:color w:val="000000" w:themeColor="text1"/>
          <w:highlight w:val="none"/>
        </w:rPr>
        <w:fldChar w:fldCharType="end"/>
      </w:r>
    </w:p>
    <w:p w14:paraId="3DB223F9">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_Toc18120 </w:instrText>
      </w:r>
      <w:r>
        <w:rPr>
          <w:color w:val="000000" w:themeColor="text1"/>
          <w:highlight w:val="none"/>
        </w:rPr>
        <w:fldChar w:fldCharType="separate"/>
      </w:r>
      <w:r>
        <w:rPr>
          <w:rFonts w:hint="eastAsia"/>
          <w:color w:val="000000" w:themeColor="text1"/>
          <w:highlight w:val="none"/>
        </w:rPr>
        <w:t>6</w:t>
      </w:r>
      <w:r>
        <w:rPr>
          <w:color w:val="000000" w:themeColor="text1"/>
          <w:highlight w:val="none"/>
        </w:rPr>
        <w:t>.1评价目的</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_Toc18120 \h </w:instrText>
      </w:r>
      <w:r>
        <w:rPr>
          <w:color w:val="000000" w:themeColor="text1"/>
          <w:highlight w:val="none"/>
        </w:rPr>
        <w:fldChar w:fldCharType="separate"/>
      </w:r>
      <w:r>
        <w:rPr>
          <w:color w:val="000000" w:themeColor="text1"/>
          <w:highlight w:val="none"/>
        </w:rPr>
        <w:t>164</w:t>
      </w:r>
      <w:r>
        <w:rPr>
          <w:color w:val="000000" w:themeColor="text1"/>
          <w:highlight w:val="none"/>
        </w:rPr>
        <w:fldChar w:fldCharType="end"/>
      </w:r>
      <w:r>
        <w:rPr>
          <w:color w:val="000000" w:themeColor="text1"/>
          <w:highlight w:val="none"/>
        </w:rPr>
        <w:fldChar w:fldCharType="end"/>
      </w:r>
    </w:p>
    <w:p w14:paraId="635F43F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_Toc22315 </w:instrText>
      </w:r>
      <w:r>
        <w:rPr>
          <w:color w:val="000000" w:themeColor="text1"/>
          <w:highlight w:val="none"/>
        </w:rPr>
        <w:fldChar w:fldCharType="separate"/>
      </w:r>
      <w:r>
        <w:rPr>
          <w:rFonts w:hint="eastAsia"/>
          <w:color w:val="000000" w:themeColor="text1"/>
          <w:highlight w:val="none"/>
        </w:rPr>
        <w:t>6</w:t>
      </w:r>
      <w:r>
        <w:rPr>
          <w:color w:val="000000" w:themeColor="text1"/>
          <w:highlight w:val="none"/>
        </w:rPr>
        <w:t>.2风险识别</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_Toc22315 \h </w:instrText>
      </w:r>
      <w:r>
        <w:rPr>
          <w:color w:val="000000" w:themeColor="text1"/>
          <w:highlight w:val="none"/>
        </w:rPr>
        <w:fldChar w:fldCharType="separate"/>
      </w:r>
      <w:r>
        <w:rPr>
          <w:color w:val="000000" w:themeColor="text1"/>
          <w:highlight w:val="none"/>
        </w:rPr>
        <w:t>164</w:t>
      </w:r>
      <w:r>
        <w:rPr>
          <w:color w:val="000000" w:themeColor="text1"/>
          <w:highlight w:val="none"/>
        </w:rPr>
        <w:fldChar w:fldCharType="end"/>
      </w:r>
      <w:r>
        <w:rPr>
          <w:color w:val="000000" w:themeColor="text1"/>
          <w:highlight w:val="none"/>
        </w:rPr>
        <w:fldChar w:fldCharType="end"/>
      </w:r>
    </w:p>
    <w:p w14:paraId="41F4DF8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_Toc9171 </w:instrText>
      </w:r>
      <w:r>
        <w:rPr>
          <w:color w:val="000000" w:themeColor="text1"/>
          <w:highlight w:val="none"/>
        </w:rPr>
        <w:fldChar w:fldCharType="separate"/>
      </w:r>
      <w:r>
        <w:rPr>
          <w:rFonts w:hint="eastAsia"/>
          <w:color w:val="000000" w:themeColor="text1"/>
          <w:highlight w:val="none"/>
        </w:rPr>
        <w:t>6</w:t>
      </w:r>
      <w:r>
        <w:rPr>
          <w:color w:val="000000" w:themeColor="text1"/>
          <w:highlight w:val="none"/>
        </w:rPr>
        <w:t>.3环境风险分析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_Toc9171 \h </w:instrText>
      </w:r>
      <w:r>
        <w:rPr>
          <w:color w:val="000000" w:themeColor="text1"/>
          <w:highlight w:val="none"/>
        </w:rPr>
        <w:fldChar w:fldCharType="separate"/>
      </w:r>
      <w:r>
        <w:rPr>
          <w:color w:val="000000" w:themeColor="text1"/>
          <w:highlight w:val="none"/>
        </w:rPr>
        <w:t>166</w:t>
      </w:r>
      <w:r>
        <w:rPr>
          <w:color w:val="000000" w:themeColor="text1"/>
          <w:highlight w:val="none"/>
        </w:rPr>
        <w:fldChar w:fldCharType="end"/>
      </w:r>
      <w:r>
        <w:rPr>
          <w:color w:val="000000" w:themeColor="text1"/>
          <w:highlight w:val="none"/>
        </w:rPr>
        <w:fldChar w:fldCharType="end"/>
      </w:r>
    </w:p>
    <w:p w14:paraId="31C5A11D">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_Toc15191 </w:instrText>
      </w:r>
      <w:r>
        <w:rPr>
          <w:color w:val="000000" w:themeColor="text1"/>
          <w:highlight w:val="none"/>
        </w:rPr>
        <w:fldChar w:fldCharType="separate"/>
      </w:r>
      <w:r>
        <w:rPr>
          <w:rFonts w:hint="eastAsia"/>
          <w:color w:val="000000" w:themeColor="text1"/>
          <w:highlight w:val="none"/>
        </w:rPr>
        <w:t>6</w:t>
      </w:r>
      <w:r>
        <w:rPr>
          <w:color w:val="000000" w:themeColor="text1"/>
          <w:highlight w:val="none"/>
        </w:rPr>
        <w:t>.4事故防范措施</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_Toc15191 \h </w:instrText>
      </w:r>
      <w:r>
        <w:rPr>
          <w:color w:val="000000" w:themeColor="text1"/>
          <w:highlight w:val="none"/>
        </w:rPr>
        <w:fldChar w:fldCharType="separate"/>
      </w:r>
      <w:r>
        <w:rPr>
          <w:color w:val="000000" w:themeColor="text1"/>
          <w:highlight w:val="none"/>
        </w:rPr>
        <w:t>167</w:t>
      </w:r>
      <w:r>
        <w:rPr>
          <w:color w:val="000000" w:themeColor="text1"/>
          <w:highlight w:val="none"/>
        </w:rPr>
        <w:fldChar w:fldCharType="end"/>
      </w:r>
      <w:r>
        <w:rPr>
          <w:color w:val="000000" w:themeColor="text1"/>
          <w:highlight w:val="none"/>
        </w:rPr>
        <w:fldChar w:fldCharType="end"/>
      </w:r>
    </w:p>
    <w:p w14:paraId="1D5A1B41">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_Toc22403 </w:instrText>
      </w:r>
      <w:r>
        <w:rPr>
          <w:color w:val="000000" w:themeColor="text1"/>
          <w:highlight w:val="none"/>
        </w:rPr>
        <w:fldChar w:fldCharType="separate"/>
      </w:r>
      <w:r>
        <w:rPr>
          <w:rFonts w:hint="eastAsia"/>
          <w:color w:val="000000" w:themeColor="text1"/>
          <w:highlight w:val="none"/>
        </w:rPr>
        <w:t>6</w:t>
      </w:r>
      <w:r>
        <w:rPr>
          <w:color w:val="000000" w:themeColor="text1"/>
          <w:highlight w:val="none"/>
        </w:rPr>
        <w:t>.5突发环境事件应急预案</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_Toc22403 \h </w:instrText>
      </w:r>
      <w:r>
        <w:rPr>
          <w:color w:val="000000" w:themeColor="text1"/>
          <w:highlight w:val="none"/>
        </w:rPr>
        <w:fldChar w:fldCharType="separate"/>
      </w:r>
      <w:r>
        <w:rPr>
          <w:color w:val="000000" w:themeColor="text1"/>
          <w:highlight w:val="none"/>
        </w:rPr>
        <w:t>168</w:t>
      </w:r>
      <w:r>
        <w:rPr>
          <w:color w:val="000000" w:themeColor="text1"/>
          <w:highlight w:val="none"/>
        </w:rPr>
        <w:fldChar w:fldCharType="end"/>
      </w:r>
      <w:r>
        <w:rPr>
          <w:color w:val="000000" w:themeColor="text1"/>
          <w:highlight w:val="none"/>
        </w:rPr>
        <w:fldChar w:fldCharType="end"/>
      </w:r>
    </w:p>
    <w:p w14:paraId="64B017C3">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_Toc2372 </w:instrText>
      </w:r>
      <w:r>
        <w:rPr>
          <w:color w:val="000000" w:themeColor="text1"/>
          <w:highlight w:val="none"/>
        </w:rPr>
        <w:fldChar w:fldCharType="separate"/>
      </w:r>
      <w:r>
        <w:rPr>
          <w:rFonts w:hint="eastAsia"/>
          <w:color w:val="000000" w:themeColor="text1"/>
          <w:highlight w:val="none"/>
        </w:rPr>
        <w:t>6</w:t>
      </w:r>
      <w:r>
        <w:rPr>
          <w:color w:val="000000" w:themeColor="text1"/>
          <w:highlight w:val="none"/>
        </w:rPr>
        <w:t>.6风险分析结论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_Toc2372 \h </w:instrText>
      </w:r>
      <w:r>
        <w:rPr>
          <w:color w:val="000000" w:themeColor="text1"/>
          <w:highlight w:val="none"/>
        </w:rPr>
        <w:fldChar w:fldCharType="separate"/>
      </w:r>
      <w:r>
        <w:rPr>
          <w:color w:val="000000" w:themeColor="text1"/>
          <w:highlight w:val="none"/>
        </w:rPr>
        <w:t>172</w:t>
      </w:r>
      <w:r>
        <w:rPr>
          <w:color w:val="000000" w:themeColor="text1"/>
          <w:highlight w:val="none"/>
        </w:rPr>
        <w:fldChar w:fldCharType="end"/>
      </w:r>
      <w:r>
        <w:rPr>
          <w:color w:val="000000" w:themeColor="text1"/>
          <w:highlight w:val="none"/>
        </w:rPr>
        <w:fldChar w:fldCharType="end"/>
      </w:r>
    </w:p>
    <w:p w14:paraId="5E761445">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_Toc5601 </w:instrText>
      </w:r>
      <w:r>
        <w:rPr>
          <w:color w:val="000000" w:themeColor="text1"/>
          <w:highlight w:val="none"/>
        </w:rPr>
        <w:fldChar w:fldCharType="separate"/>
      </w:r>
      <w:r>
        <w:rPr>
          <w:rFonts w:hint="eastAsia"/>
          <w:color w:val="000000" w:themeColor="text1"/>
          <w:highlight w:val="none"/>
        </w:rPr>
        <w:t>7</w:t>
      </w:r>
      <w:r>
        <w:rPr>
          <w:color w:val="000000" w:themeColor="text1"/>
          <w:highlight w:val="none"/>
        </w:rPr>
        <w:t>环境保护措施及其可行性论证</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_Toc5601 \h </w:instrText>
      </w:r>
      <w:r>
        <w:rPr>
          <w:color w:val="000000" w:themeColor="text1"/>
          <w:highlight w:val="none"/>
        </w:rPr>
        <w:fldChar w:fldCharType="separate"/>
      </w:r>
      <w:r>
        <w:rPr>
          <w:color w:val="000000" w:themeColor="text1"/>
          <w:highlight w:val="none"/>
        </w:rPr>
        <w:t>173</w:t>
      </w:r>
      <w:r>
        <w:rPr>
          <w:color w:val="000000" w:themeColor="text1"/>
          <w:highlight w:val="none"/>
        </w:rPr>
        <w:fldChar w:fldCharType="end"/>
      </w:r>
      <w:r>
        <w:rPr>
          <w:color w:val="000000" w:themeColor="text1"/>
          <w:highlight w:val="none"/>
        </w:rPr>
        <w:fldChar w:fldCharType="end"/>
      </w:r>
    </w:p>
    <w:p w14:paraId="13C01704">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_Toc11356 </w:instrText>
      </w:r>
      <w:r>
        <w:rPr>
          <w:color w:val="000000" w:themeColor="text1"/>
          <w:highlight w:val="none"/>
        </w:rPr>
        <w:fldChar w:fldCharType="separate"/>
      </w:r>
      <w:r>
        <w:rPr>
          <w:color w:val="000000" w:themeColor="text1"/>
          <w:highlight w:val="none"/>
        </w:rPr>
        <w:t>7.1生态环境</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_Toc11356 \h </w:instrText>
      </w:r>
      <w:r>
        <w:rPr>
          <w:color w:val="000000" w:themeColor="text1"/>
          <w:highlight w:val="none"/>
        </w:rPr>
        <w:fldChar w:fldCharType="separate"/>
      </w:r>
      <w:r>
        <w:rPr>
          <w:color w:val="000000" w:themeColor="text1"/>
          <w:highlight w:val="none"/>
        </w:rPr>
        <w:t>173</w:t>
      </w:r>
      <w:r>
        <w:rPr>
          <w:color w:val="000000" w:themeColor="text1"/>
          <w:highlight w:val="none"/>
        </w:rPr>
        <w:fldChar w:fldCharType="end"/>
      </w:r>
      <w:r>
        <w:rPr>
          <w:color w:val="000000" w:themeColor="text1"/>
          <w:highlight w:val="none"/>
        </w:rPr>
        <w:fldChar w:fldCharType="end"/>
      </w:r>
    </w:p>
    <w:p w14:paraId="27BA442A">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_Toc3623 </w:instrText>
      </w:r>
      <w:r>
        <w:rPr>
          <w:color w:val="000000" w:themeColor="text1"/>
          <w:highlight w:val="none"/>
        </w:rPr>
        <w:fldChar w:fldCharType="separate"/>
      </w:r>
      <w:r>
        <w:rPr>
          <w:rFonts w:hint="eastAsia"/>
          <w:color w:val="000000" w:themeColor="text1"/>
          <w:highlight w:val="none"/>
        </w:rPr>
        <w:t>7</w:t>
      </w:r>
      <w:r>
        <w:rPr>
          <w:color w:val="000000" w:themeColor="text1"/>
          <w:highlight w:val="none"/>
        </w:rPr>
        <w:t>.2声环境</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_Toc3623 \h </w:instrText>
      </w:r>
      <w:r>
        <w:rPr>
          <w:color w:val="000000" w:themeColor="text1"/>
          <w:highlight w:val="none"/>
        </w:rPr>
        <w:fldChar w:fldCharType="separate"/>
      </w:r>
      <w:r>
        <w:rPr>
          <w:color w:val="000000" w:themeColor="text1"/>
          <w:highlight w:val="none"/>
        </w:rPr>
        <w:t>178</w:t>
      </w:r>
      <w:r>
        <w:rPr>
          <w:color w:val="000000" w:themeColor="text1"/>
          <w:highlight w:val="none"/>
        </w:rPr>
        <w:fldChar w:fldCharType="end"/>
      </w:r>
      <w:r>
        <w:rPr>
          <w:color w:val="000000" w:themeColor="text1"/>
          <w:highlight w:val="none"/>
        </w:rPr>
        <w:fldChar w:fldCharType="end"/>
      </w:r>
    </w:p>
    <w:p w14:paraId="72307F13">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_Toc10878 </w:instrText>
      </w:r>
      <w:r>
        <w:rPr>
          <w:color w:val="000000" w:themeColor="text1"/>
          <w:highlight w:val="none"/>
        </w:rPr>
        <w:fldChar w:fldCharType="separate"/>
      </w:r>
      <w:r>
        <w:rPr>
          <w:rFonts w:hint="eastAsia"/>
          <w:color w:val="000000" w:themeColor="text1"/>
          <w:highlight w:val="none"/>
        </w:rPr>
        <w:t>7</w:t>
      </w:r>
      <w:r>
        <w:rPr>
          <w:color w:val="000000" w:themeColor="text1"/>
          <w:highlight w:val="none"/>
        </w:rPr>
        <w:t>.3环境空气</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_Toc10878 \h </w:instrText>
      </w:r>
      <w:r>
        <w:rPr>
          <w:color w:val="000000" w:themeColor="text1"/>
          <w:highlight w:val="none"/>
        </w:rPr>
        <w:fldChar w:fldCharType="separate"/>
      </w:r>
      <w:r>
        <w:rPr>
          <w:color w:val="000000" w:themeColor="text1"/>
          <w:highlight w:val="none"/>
        </w:rPr>
        <w:t>180</w:t>
      </w:r>
      <w:r>
        <w:rPr>
          <w:color w:val="000000" w:themeColor="text1"/>
          <w:highlight w:val="none"/>
        </w:rPr>
        <w:fldChar w:fldCharType="end"/>
      </w:r>
      <w:r>
        <w:rPr>
          <w:color w:val="000000" w:themeColor="text1"/>
          <w:highlight w:val="none"/>
        </w:rPr>
        <w:fldChar w:fldCharType="end"/>
      </w:r>
    </w:p>
    <w:p w14:paraId="7B0A2DCA">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_Toc15364 </w:instrText>
      </w:r>
      <w:r>
        <w:rPr>
          <w:color w:val="000000" w:themeColor="text1"/>
          <w:highlight w:val="none"/>
        </w:rPr>
        <w:fldChar w:fldCharType="separate"/>
      </w:r>
      <w:r>
        <w:rPr>
          <w:rFonts w:hint="eastAsia"/>
          <w:color w:val="000000" w:themeColor="text1"/>
          <w:highlight w:val="none"/>
        </w:rPr>
        <w:t>7</w:t>
      </w:r>
      <w:r>
        <w:rPr>
          <w:color w:val="000000" w:themeColor="text1"/>
          <w:highlight w:val="none"/>
        </w:rPr>
        <w:t>.4地表水</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_Toc15364 \h </w:instrText>
      </w:r>
      <w:r>
        <w:rPr>
          <w:color w:val="000000" w:themeColor="text1"/>
          <w:highlight w:val="none"/>
        </w:rPr>
        <w:fldChar w:fldCharType="separate"/>
      </w:r>
      <w:r>
        <w:rPr>
          <w:color w:val="000000" w:themeColor="text1"/>
          <w:highlight w:val="none"/>
        </w:rPr>
        <w:t>182</w:t>
      </w:r>
      <w:r>
        <w:rPr>
          <w:color w:val="000000" w:themeColor="text1"/>
          <w:highlight w:val="none"/>
        </w:rPr>
        <w:fldChar w:fldCharType="end"/>
      </w:r>
      <w:r>
        <w:rPr>
          <w:color w:val="000000" w:themeColor="text1"/>
          <w:highlight w:val="none"/>
        </w:rPr>
        <w:fldChar w:fldCharType="end"/>
      </w:r>
    </w:p>
    <w:p w14:paraId="31E2AD4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_Toc4290 </w:instrText>
      </w:r>
      <w:r>
        <w:rPr>
          <w:color w:val="000000" w:themeColor="text1"/>
          <w:highlight w:val="none"/>
        </w:rPr>
        <w:fldChar w:fldCharType="separate"/>
      </w:r>
      <w:r>
        <w:rPr>
          <w:rFonts w:hint="eastAsia"/>
          <w:color w:val="000000" w:themeColor="text1"/>
          <w:highlight w:val="none"/>
        </w:rPr>
        <w:t>7</w:t>
      </w:r>
      <w:r>
        <w:rPr>
          <w:color w:val="000000" w:themeColor="text1"/>
          <w:highlight w:val="none"/>
        </w:rPr>
        <w:t>.5固体废物</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_Toc4290 \h </w:instrText>
      </w:r>
      <w:r>
        <w:rPr>
          <w:color w:val="000000" w:themeColor="text1"/>
          <w:highlight w:val="none"/>
        </w:rPr>
        <w:fldChar w:fldCharType="separate"/>
      </w:r>
      <w:r>
        <w:rPr>
          <w:color w:val="000000" w:themeColor="text1"/>
          <w:highlight w:val="none"/>
        </w:rPr>
        <w:t>185</w:t>
      </w:r>
      <w:r>
        <w:rPr>
          <w:color w:val="000000" w:themeColor="text1"/>
          <w:highlight w:val="none"/>
        </w:rPr>
        <w:fldChar w:fldCharType="end"/>
      </w:r>
      <w:r>
        <w:rPr>
          <w:color w:val="000000" w:themeColor="text1"/>
          <w:highlight w:val="none"/>
        </w:rPr>
        <w:fldChar w:fldCharType="end"/>
      </w:r>
    </w:p>
    <w:p w14:paraId="052EECCA">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_Toc32710 </w:instrText>
      </w:r>
      <w:r>
        <w:rPr>
          <w:color w:val="000000" w:themeColor="text1"/>
          <w:highlight w:val="none"/>
        </w:rPr>
        <w:fldChar w:fldCharType="separate"/>
      </w:r>
      <w:r>
        <w:rPr>
          <w:color w:val="000000" w:themeColor="text1"/>
          <w:highlight w:val="none"/>
        </w:rPr>
        <w:t>7.</w:t>
      </w:r>
      <w:r>
        <w:rPr>
          <w:rFonts w:hint="eastAsia"/>
          <w:color w:val="000000" w:themeColor="text1"/>
          <w:highlight w:val="none"/>
          <w:lang w:val="en-US" w:eastAsia="zh-CN"/>
        </w:rPr>
        <w:t>6</w:t>
      </w:r>
      <w:r>
        <w:rPr>
          <w:rFonts w:hint="eastAsia"/>
          <w:color w:val="000000" w:themeColor="text1"/>
          <w:highlight w:val="none"/>
        </w:rPr>
        <w:t>水土流失防治方案</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_Toc32710 \h </w:instrText>
      </w:r>
      <w:r>
        <w:rPr>
          <w:color w:val="000000" w:themeColor="text1"/>
          <w:highlight w:val="none"/>
        </w:rPr>
        <w:fldChar w:fldCharType="separate"/>
      </w:r>
      <w:r>
        <w:rPr>
          <w:color w:val="000000" w:themeColor="text1"/>
          <w:highlight w:val="none"/>
        </w:rPr>
        <w:t>186</w:t>
      </w:r>
      <w:r>
        <w:rPr>
          <w:color w:val="000000" w:themeColor="text1"/>
          <w:highlight w:val="none"/>
        </w:rPr>
        <w:fldChar w:fldCharType="end"/>
      </w:r>
      <w:r>
        <w:rPr>
          <w:color w:val="000000" w:themeColor="text1"/>
          <w:highlight w:val="none"/>
        </w:rPr>
        <w:fldChar w:fldCharType="end"/>
      </w:r>
    </w:p>
    <w:p w14:paraId="72F05DD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_Toc3951 </w:instrText>
      </w:r>
      <w:r>
        <w:rPr>
          <w:color w:val="000000" w:themeColor="text1"/>
          <w:highlight w:val="none"/>
        </w:rPr>
        <w:fldChar w:fldCharType="separate"/>
      </w:r>
      <w:r>
        <w:rPr>
          <w:rFonts w:hint="eastAsia"/>
          <w:color w:val="000000" w:themeColor="text1"/>
          <w:highlight w:val="none"/>
        </w:rPr>
        <w:t>7</w:t>
      </w:r>
      <w:r>
        <w:rPr>
          <w:color w:val="000000" w:themeColor="text1"/>
          <w:highlight w:val="none"/>
        </w:rPr>
        <w:t>.</w:t>
      </w:r>
      <w:r>
        <w:rPr>
          <w:rFonts w:hint="eastAsia"/>
          <w:color w:val="000000" w:themeColor="text1"/>
          <w:highlight w:val="none"/>
          <w:lang w:val="en-US" w:eastAsia="zh-CN"/>
        </w:rPr>
        <w:t>7</w:t>
      </w:r>
      <w:r>
        <w:rPr>
          <w:rFonts w:hint="eastAsia" w:ascii="宋体" w:hAnsi="宋体" w:cs="宋体"/>
          <w:color w:val="000000" w:themeColor="text1"/>
          <w:szCs w:val="28"/>
          <w:highlight w:val="none"/>
        </w:rPr>
        <w:t>黑土地保护措施</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_Toc3951 \h </w:instrText>
      </w:r>
      <w:r>
        <w:rPr>
          <w:color w:val="000000" w:themeColor="text1"/>
          <w:highlight w:val="none"/>
        </w:rPr>
        <w:fldChar w:fldCharType="separate"/>
      </w:r>
      <w:r>
        <w:rPr>
          <w:color w:val="000000" w:themeColor="text1"/>
          <w:highlight w:val="none"/>
        </w:rPr>
        <w:t>189</w:t>
      </w:r>
      <w:r>
        <w:rPr>
          <w:color w:val="000000" w:themeColor="text1"/>
          <w:highlight w:val="none"/>
        </w:rPr>
        <w:fldChar w:fldCharType="end"/>
      </w:r>
      <w:r>
        <w:rPr>
          <w:color w:val="000000" w:themeColor="text1"/>
          <w:highlight w:val="none"/>
        </w:rPr>
        <w:fldChar w:fldCharType="end"/>
      </w:r>
    </w:p>
    <w:p w14:paraId="4FAE493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_Toc7429 </w:instrText>
      </w:r>
      <w:r>
        <w:rPr>
          <w:color w:val="000000" w:themeColor="text1"/>
          <w:highlight w:val="none"/>
        </w:rPr>
        <w:fldChar w:fldCharType="separate"/>
      </w:r>
      <w:r>
        <w:rPr>
          <w:rFonts w:hint="eastAsia"/>
          <w:color w:val="000000" w:themeColor="text1"/>
          <w:highlight w:val="none"/>
        </w:rPr>
        <w:t>7.</w:t>
      </w:r>
      <w:r>
        <w:rPr>
          <w:rFonts w:hint="eastAsia"/>
          <w:color w:val="000000" w:themeColor="text1"/>
          <w:highlight w:val="none"/>
          <w:lang w:val="en-US" w:eastAsia="zh-CN"/>
        </w:rPr>
        <w:t>8</w:t>
      </w:r>
      <w:r>
        <w:rPr>
          <w:color w:val="000000" w:themeColor="text1"/>
          <w:highlight w:val="none"/>
        </w:rPr>
        <w:t>环境保护投资估算</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_Toc7429 \h </w:instrText>
      </w:r>
      <w:r>
        <w:rPr>
          <w:color w:val="000000" w:themeColor="text1"/>
          <w:highlight w:val="none"/>
        </w:rPr>
        <w:fldChar w:fldCharType="separate"/>
      </w:r>
      <w:r>
        <w:rPr>
          <w:color w:val="000000" w:themeColor="text1"/>
          <w:highlight w:val="none"/>
        </w:rPr>
        <w:t>189</w:t>
      </w:r>
      <w:r>
        <w:rPr>
          <w:color w:val="000000" w:themeColor="text1"/>
          <w:highlight w:val="none"/>
        </w:rPr>
        <w:fldChar w:fldCharType="end"/>
      </w:r>
      <w:r>
        <w:rPr>
          <w:color w:val="000000" w:themeColor="text1"/>
          <w:highlight w:val="none"/>
        </w:rPr>
        <w:fldChar w:fldCharType="end"/>
      </w:r>
    </w:p>
    <w:p w14:paraId="28E2FEB6">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_Toc1664 </w:instrText>
      </w:r>
      <w:r>
        <w:rPr>
          <w:color w:val="000000" w:themeColor="text1"/>
          <w:highlight w:val="none"/>
        </w:rPr>
        <w:fldChar w:fldCharType="separate"/>
      </w:r>
      <w:r>
        <w:rPr>
          <w:rFonts w:hint="eastAsia"/>
          <w:color w:val="000000" w:themeColor="text1"/>
          <w:highlight w:val="none"/>
          <w:lang w:val="en-US" w:eastAsia="zh-CN"/>
        </w:rPr>
        <w:t>8</w:t>
      </w:r>
      <w:r>
        <w:rPr>
          <w:color w:val="000000" w:themeColor="text1"/>
          <w:highlight w:val="none"/>
        </w:rPr>
        <w:t>环境影响经济损益分析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_Toc1664 \h </w:instrText>
      </w:r>
      <w:r>
        <w:rPr>
          <w:color w:val="000000" w:themeColor="text1"/>
          <w:highlight w:val="none"/>
        </w:rPr>
        <w:fldChar w:fldCharType="separate"/>
      </w:r>
      <w:r>
        <w:rPr>
          <w:color w:val="000000" w:themeColor="text1"/>
          <w:highlight w:val="none"/>
        </w:rPr>
        <w:t>191</w:t>
      </w:r>
      <w:r>
        <w:rPr>
          <w:color w:val="000000" w:themeColor="text1"/>
          <w:highlight w:val="none"/>
        </w:rPr>
        <w:fldChar w:fldCharType="end"/>
      </w:r>
      <w:r>
        <w:rPr>
          <w:color w:val="000000" w:themeColor="text1"/>
          <w:highlight w:val="none"/>
        </w:rPr>
        <w:fldChar w:fldCharType="end"/>
      </w:r>
    </w:p>
    <w:p w14:paraId="391ABF6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_Toc31627 </w:instrText>
      </w:r>
      <w:r>
        <w:rPr>
          <w:color w:val="000000" w:themeColor="text1"/>
          <w:highlight w:val="none"/>
        </w:rPr>
        <w:fldChar w:fldCharType="separate"/>
      </w:r>
      <w:r>
        <w:rPr>
          <w:rFonts w:hint="eastAsia"/>
          <w:color w:val="000000" w:themeColor="text1"/>
          <w:highlight w:val="none"/>
          <w:lang w:val="en-US" w:eastAsia="zh-CN"/>
        </w:rPr>
        <w:t>8</w:t>
      </w:r>
      <w:r>
        <w:rPr>
          <w:color w:val="000000" w:themeColor="text1"/>
          <w:highlight w:val="none"/>
        </w:rPr>
        <w:t>.1直接环境经济效益结论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_Toc31627 \h </w:instrText>
      </w:r>
      <w:r>
        <w:rPr>
          <w:color w:val="000000" w:themeColor="text1"/>
          <w:highlight w:val="none"/>
        </w:rPr>
        <w:fldChar w:fldCharType="separate"/>
      </w:r>
      <w:r>
        <w:rPr>
          <w:color w:val="000000" w:themeColor="text1"/>
          <w:highlight w:val="none"/>
        </w:rPr>
        <w:t>191</w:t>
      </w:r>
      <w:r>
        <w:rPr>
          <w:color w:val="000000" w:themeColor="text1"/>
          <w:highlight w:val="none"/>
        </w:rPr>
        <w:fldChar w:fldCharType="end"/>
      </w:r>
      <w:r>
        <w:rPr>
          <w:color w:val="000000" w:themeColor="text1"/>
          <w:highlight w:val="none"/>
        </w:rPr>
        <w:fldChar w:fldCharType="end"/>
      </w:r>
    </w:p>
    <w:p w14:paraId="0680CB09">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_Toc3943 </w:instrText>
      </w:r>
      <w:r>
        <w:rPr>
          <w:color w:val="000000" w:themeColor="text1"/>
          <w:highlight w:val="none"/>
        </w:rPr>
        <w:fldChar w:fldCharType="separate"/>
      </w:r>
      <w:r>
        <w:rPr>
          <w:rFonts w:hint="eastAsia"/>
          <w:color w:val="000000" w:themeColor="text1"/>
          <w:highlight w:val="none"/>
          <w:lang w:val="en-US" w:eastAsia="zh-CN"/>
        </w:rPr>
        <w:t>8</w:t>
      </w:r>
      <w:r>
        <w:rPr>
          <w:color w:val="000000" w:themeColor="text1"/>
          <w:highlight w:val="none"/>
        </w:rPr>
        <w:t>.2间接环境经济效益分析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_Toc3943 \h </w:instrText>
      </w:r>
      <w:r>
        <w:rPr>
          <w:color w:val="000000" w:themeColor="text1"/>
          <w:highlight w:val="none"/>
        </w:rPr>
        <w:fldChar w:fldCharType="separate"/>
      </w:r>
      <w:r>
        <w:rPr>
          <w:color w:val="000000" w:themeColor="text1"/>
          <w:highlight w:val="none"/>
        </w:rPr>
        <w:t>191</w:t>
      </w:r>
      <w:r>
        <w:rPr>
          <w:color w:val="000000" w:themeColor="text1"/>
          <w:highlight w:val="none"/>
        </w:rPr>
        <w:fldChar w:fldCharType="end"/>
      </w:r>
      <w:r>
        <w:rPr>
          <w:color w:val="000000" w:themeColor="text1"/>
          <w:highlight w:val="none"/>
        </w:rPr>
        <w:fldChar w:fldCharType="end"/>
      </w:r>
    </w:p>
    <w:p w14:paraId="1B32DCAD">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_Toc9351 </w:instrText>
      </w:r>
      <w:r>
        <w:rPr>
          <w:color w:val="000000" w:themeColor="text1"/>
          <w:highlight w:val="none"/>
        </w:rPr>
        <w:fldChar w:fldCharType="separate"/>
      </w:r>
      <w:r>
        <w:rPr>
          <w:rFonts w:hint="eastAsia"/>
          <w:color w:val="000000" w:themeColor="text1"/>
          <w:highlight w:val="none"/>
          <w:lang w:val="en-US" w:eastAsia="zh-CN"/>
        </w:rPr>
        <w:t>8</w:t>
      </w:r>
      <w:r>
        <w:rPr>
          <w:color w:val="000000" w:themeColor="text1"/>
          <w:highlight w:val="none"/>
        </w:rPr>
        <w:t>.3结论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_Toc9351 \h </w:instrText>
      </w:r>
      <w:r>
        <w:rPr>
          <w:color w:val="000000" w:themeColor="text1"/>
          <w:highlight w:val="none"/>
        </w:rPr>
        <w:fldChar w:fldCharType="separate"/>
      </w:r>
      <w:r>
        <w:rPr>
          <w:color w:val="000000" w:themeColor="text1"/>
          <w:highlight w:val="none"/>
        </w:rPr>
        <w:t>192</w:t>
      </w:r>
      <w:r>
        <w:rPr>
          <w:color w:val="000000" w:themeColor="text1"/>
          <w:highlight w:val="none"/>
        </w:rPr>
        <w:fldChar w:fldCharType="end"/>
      </w:r>
      <w:r>
        <w:rPr>
          <w:color w:val="000000" w:themeColor="text1"/>
          <w:highlight w:val="none"/>
        </w:rPr>
        <w:fldChar w:fldCharType="end"/>
      </w:r>
    </w:p>
    <w:p w14:paraId="2568568D">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_Toc13821 </w:instrText>
      </w:r>
      <w:r>
        <w:rPr>
          <w:color w:val="000000" w:themeColor="text1"/>
          <w:highlight w:val="none"/>
        </w:rPr>
        <w:fldChar w:fldCharType="separate"/>
      </w:r>
      <w:r>
        <w:rPr>
          <w:rFonts w:hint="eastAsia"/>
          <w:color w:val="000000" w:themeColor="text1"/>
          <w:highlight w:val="none"/>
          <w:lang w:val="en-US" w:eastAsia="zh-CN"/>
        </w:rPr>
        <w:t>9</w:t>
      </w:r>
      <w:r>
        <w:rPr>
          <w:color w:val="000000" w:themeColor="text1"/>
          <w:highlight w:val="none"/>
        </w:rPr>
        <w:t>环境管理与监测计划</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_Toc13821 \h </w:instrText>
      </w:r>
      <w:r>
        <w:rPr>
          <w:color w:val="000000" w:themeColor="text1"/>
          <w:highlight w:val="none"/>
        </w:rPr>
        <w:fldChar w:fldCharType="separate"/>
      </w:r>
      <w:r>
        <w:rPr>
          <w:color w:val="000000" w:themeColor="text1"/>
          <w:highlight w:val="none"/>
        </w:rPr>
        <w:t>193</w:t>
      </w:r>
      <w:r>
        <w:rPr>
          <w:color w:val="000000" w:themeColor="text1"/>
          <w:highlight w:val="none"/>
        </w:rPr>
        <w:fldChar w:fldCharType="end"/>
      </w:r>
      <w:r>
        <w:rPr>
          <w:color w:val="000000" w:themeColor="text1"/>
          <w:highlight w:val="none"/>
        </w:rPr>
        <w:fldChar w:fldCharType="end"/>
      </w:r>
    </w:p>
    <w:p w14:paraId="444F3ED5">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_Toc1613 </w:instrText>
      </w:r>
      <w:r>
        <w:rPr>
          <w:color w:val="000000" w:themeColor="text1"/>
          <w:highlight w:val="none"/>
        </w:rPr>
        <w:fldChar w:fldCharType="separate"/>
      </w:r>
      <w:r>
        <w:rPr>
          <w:rFonts w:hint="eastAsia"/>
          <w:color w:val="000000" w:themeColor="text1"/>
          <w:highlight w:val="none"/>
          <w:lang w:val="en-US" w:eastAsia="zh-CN"/>
        </w:rPr>
        <w:t>9</w:t>
      </w:r>
      <w:r>
        <w:rPr>
          <w:color w:val="000000" w:themeColor="text1"/>
          <w:highlight w:val="none"/>
        </w:rPr>
        <w:t>.1环境保护管理</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_Toc1613 \h </w:instrText>
      </w:r>
      <w:r>
        <w:rPr>
          <w:color w:val="000000" w:themeColor="text1"/>
          <w:highlight w:val="none"/>
        </w:rPr>
        <w:fldChar w:fldCharType="separate"/>
      </w:r>
      <w:r>
        <w:rPr>
          <w:color w:val="000000" w:themeColor="text1"/>
          <w:highlight w:val="none"/>
        </w:rPr>
        <w:t>193</w:t>
      </w:r>
      <w:r>
        <w:rPr>
          <w:color w:val="000000" w:themeColor="text1"/>
          <w:highlight w:val="none"/>
        </w:rPr>
        <w:fldChar w:fldCharType="end"/>
      </w:r>
      <w:r>
        <w:rPr>
          <w:color w:val="000000" w:themeColor="text1"/>
          <w:highlight w:val="none"/>
        </w:rPr>
        <w:fldChar w:fldCharType="end"/>
      </w:r>
    </w:p>
    <w:p w14:paraId="46B7AAD4">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_Toc25009 </w:instrText>
      </w:r>
      <w:r>
        <w:rPr>
          <w:color w:val="000000" w:themeColor="text1"/>
          <w:highlight w:val="none"/>
        </w:rPr>
        <w:fldChar w:fldCharType="separate"/>
      </w:r>
      <w:r>
        <w:rPr>
          <w:rFonts w:hint="eastAsia"/>
          <w:color w:val="000000" w:themeColor="text1"/>
          <w:highlight w:val="none"/>
          <w:lang w:val="en-US" w:eastAsia="zh-CN"/>
        </w:rPr>
        <w:t>9</w:t>
      </w:r>
      <w:r>
        <w:rPr>
          <w:color w:val="000000" w:themeColor="text1"/>
          <w:highlight w:val="none"/>
        </w:rPr>
        <w:t>.2环境监测计划</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_Toc25009 \h </w:instrText>
      </w:r>
      <w:r>
        <w:rPr>
          <w:color w:val="000000" w:themeColor="text1"/>
          <w:highlight w:val="none"/>
        </w:rPr>
        <w:fldChar w:fldCharType="separate"/>
      </w:r>
      <w:r>
        <w:rPr>
          <w:color w:val="000000" w:themeColor="text1"/>
          <w:highlight w:val="none"/>
        </w:rPr>
        <w:t>196</w:t>
      </w:r>
      <w:r>
        <w:rPr>
          <w:color w:val="000000" w:themeColor="text1"/>
          <w:highlight w:val="none"/>
        </w:rPr>
        <w:fldChar w:fldCharType="end"/>
      </w:r>
      <w:r>
        <w:rPr>
          <w:color w:val="000000" w:themeColor="text1"/>
          <w:highlight w:val="none"/>
        </w:rPr>
        <w:fldChar w:fldCharType="end"/>
      </w:r>
    </w:p>
    <w:p w14:paraId="7B18725C">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_Toc6969 </w:instrText>
      </w:r>
      <w:r>
        <w:rPr>
          <w:color w:val="000000" w:themeColor="text1"/>
          <w:highlight w:val="none"/>
        </w:rPr>
        <w:fldChar w:fldCharType="separate"/>
      </w:r>
      <w:r>
        <w:rPr>
          <w:rFonts w:hint="eastAsia"/>
          <w:color w:val="000000" w:themeColor="text1"/>
          <w:highlight w:val="none"/>
          <w:lang w:val="en-US" w:eastAsia="zh-CN"/>
        </w:rPr>
        <w:t>9</w:t>
      </w:r>
      <w:r>
        <w:rPr>
          <w:color w:val="000000" w:themeColor="text1"/>
          <w:highlight w:val="none"/>
        </w:rPr>
        <w:t>.3污染物排放清单</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_Toc6969 \h </w:instrText>
      </w:r>
      <w:r>
        <w:rPr>
          <w:color w:val="000000" w:themeColor="text1"/>
          <w:highlight w:val="none"/>
        </w:rPr>
        <w:fldChar w:fldCharType="separate"/>
      </w:r>
      <w:r>
        <w:rPr>
          <w:color w:val="000000" w:themeColor="text1"/>
          <w:highlight w:val="none"/>
        </w:rPr>
        <w:t>196</w:t>
      </w:r>
      <w:r>
        <w:rPr>
          <w:color w:val="000000" w:themeColor="text1"/>
          <w:highlight w:val="none"/>
        </w:rPr>
        <w:fldChar w:fldCharType="end"/>
      </w:r>
      <w:r>
        <w:rPr>
          <w:color w:val="000000" w:themeColor="text1"/>
          <w:highlight w:val="none"/>
        </w:rPr>
        <w:fldChar w:fldCharType="end"/>
      </w:r>
    </w:p>
    <w:p w14:paraId="4F4FA483">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_Toc14712 </w:instrText>
      </w:r>
      <w:r>
        <w:rPr>
          <w:color w:val="000000" w:themeColor="text1"/>
          <w:highlight w:val="none"/>
        </w:rPr>
        <w:fldChar w:fldCharType="separate"/>
      </w:r>
      <w:r>
        <w:rPr>
          <w:rFonts w:hint="eastAsia"/>
          <w:color w:val="000000" w:themeColor="text1"/>
          <w:highlight w:val="none"/>
          <w:lang w:val="en-US" w:eastAsia="zh-CN"/>
        </w:rPr>
        <w:t>9</w:t>
      </w:r>
      <w:r>
        <w:rPr>
          <w:color w:val="000000" w:themeColor="text1"/>
          <w:highlight w:val="none"/>
        </w:rPr>
        <w:t>.4环保设施竣工验收计划</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_Toc14712 \h </w:instrText>
      </w:r>
      <w:r>
        <w:rPr>
          <w:color w:val="000000" w:themeColor="text1"/>
          <w:highlight w:val="none"/>
        </w:rPr>
        <w:fldChar w:fldCharType="separate"/>
      </w:r>
      <w:r>
        <w:rPr>
          <w:color w:val="000000" w:themeColor="text1"/>
          <w:highlight w:val="none"/>
        </w:rPr>
        <w:t>198</w:t>
      </w:r>
      <w:r>
        <w:rPr>
          <w:color w:val="000000" w:themeColor="text1"/>
          <w:highlight w:val="none"/>
        </w:rPr>
        <w:fldChar w:fldCharType="end"/>
      </w:r>
      <w:r>
        <w:rPr>
          <w:color w:val="000000" w:themeColor="text1"/>
          <w:highlight w:val="none"/>
        </w:rPr>
        <w:fldChar w:fldCharType="end"/>
      </w:r>
    </w:p>
    <w:p w14:paraId="6ED741A7">
      <w:pPr>
        <w:pStyle w:val="25"/>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_Toc24597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rFonts w:hint="eastAsia"/>
          <w:color w:val="000000" w:themeColor="text1"/>
          <w:highlight w:val="none"/>
        </w:rPr>
        <w:t xml:space="preserve"> </w:t>
      </w:r>
      <w:r>
        <w:rPr>
          <w:color w:val="000000" w:themeColor="text1"/>
          <w:highlight w:val="none"/>
        </w:rPr>
        <w:t>评价结论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_Toc24597 \h </w:instrText>
      </w:r>
      <w:r>
        <w:rPr>
          <w:color w:val="000000" w:themeColor="text1"/>
          <w:highlight w:val="none"/>
        </w:rPr>
        <w:fldChar w:fldCharType="separate"/>
      </w:r>
      <w:r>
        <w:rPr>
          <w:color w:val="000000" w:themeColor="text1"/>
          <w:highlight w:val="none"/>
        </w:rPr>
        <w:t>200</w:t>
      </w:r>
      <w:r>
        <w:rPr>
          <w:color w:val="000000" w:themeColor="text1"/>
          <w:highlight w:val="none"/>
        </w:rPr>
        <w:fldChar w:fldCharType="end"/>
      </w:r>
      <w:r>
        <w:rPr>
          <w:color w:val="000000" w:themeColor="text1"/>
          <w:highlight w:val="none"/>
        </w:rPr>
        <w:fldChar w:fldCharType="end"/>
      </w:r>
    </w:p>
    <w:p w14:paraId="5E70068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_Toc28496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.1工程概况</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_Toc28496 \h </w:instrText>
      </w:r>
      <w:r>
        <w:rPr>
          <w:color w:val="000000" w:themeColor="text1"/>
          <w:highlight w:val="none"/>
        </w:rPr>
        <w:fldChar w:fldCharType="separate"/>
      </w:r>
      <w:r>
        <w:rPr>
          <w:color w:val="000000" w:themeColor="text1"/>
          <w:highlight w:val="none"/>
        </w:rPr>
        <w:t>200</w:t>
      </w:r>
      <w:r>
        <w:rPr>
          <w:color w:val="000000" w:themeColor="text1"/>
          <w:highlight w:val="none"/>
        </w:rPr>
        <w:fldChar w:fldCharType="end"/>
      </w:r>
      <w:r>
        <w:rPr>
          <w:color w:val="000000" w:themeColor="text1"/>
          <w:highlight w:val="none"/>
        </w:rPr>
        <w:fldChar w:fldCharType="end"/>
      </w:r>
    </w:p>
    <w:p w14:paraId="4EE2B202">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_Toc5031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.2产业政策</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_Toc5031 \h </w:instrText>
      </w:r>
      <w:r>
        <w:rPr>
          <w:color w:val="000000" w:themeColor="text1"/>
          <w:highlight w:val="none"/>
        </w:rPr>
        <w:fldChar w:fldCharType="separate"/>
      </w:r>
      <w:r>
        <w:rPr>
          <w:color w:val="000000" w:themeColor="text1"/>
          <w:highlight w:val="none"/>
        </w:rPr>
        <w:t>200</w:t>
      </w:r>
      <w:r>
        <w:rPr>
          <w:color w:val="000000" w:themeColor="text1"/>
          <w:highlight w:val="none"/>
        </w:rPr>
        <w:fldChar w:fldCharType="end"/>
      </w:r>
      <w:r>
        <w:rPr>
          <w:color w:val="000000" w:themeColor="text1"/>
          <w:highlight w:val="none"/>
        </w:rPr>
        <w:fldChar w:fldCharType="end"/>
      </w:r>
    </w:p>
    <w:p w14:paraId="50670527">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_Toc21948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.3环境质量现状</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_Toc21948 \h </w:instrText>
      </w:r>
      <w:r>
        <w:rPr>
          <w:color w:val="000000" w:themeColor="text1"/>
          <w:highlight w:val="none"/>
        </w:rPr>
        <w:fldChar w:fldCharType="separate"/>
      </w:r>
      <w:r>
        <w:rPr>
          <w:color w:val="000000" w:themeColor="text1"/>
          <w:highlight w:val="none"/>
        </w:rPr>
        <w:t>200</w:t>
      </w:r>
      <w:r>
        <w:rPr>
          <w:color w:val="000000" w:themeColor="text1"/>
          <w:highlight w:val="none"/>
        </w:rPr>
        <w:fldChar w:fldCharType="end"/>
      </w:r>
      <w:r>
        <w:rPr>
          <w:color w:val="000000" w:themeColor="text1"/>
          <w:highlight w:val="none"/>
        </w:rPr>
        <w:fldChar w:fldCharType="end"/>
      </w:r>
    </w:p>
    <w:p w14:paraId="3A4E6E57">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_Toc21153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.4环境影响及环境保护措施结论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_Toc21153 \h </w:instrText>
      </w:r>
      <w:r>
        <w:rPr>
          <w:color w:val="000000" w:themeColor="text1"/>
          <w:highlight w:val="none"/>
        </w:rPr>
        <w:fldChar w:fldCharType="separate"/>
      </w:r>
      <w:r>
        <w:rPr>
          <w:color w:val="000000" w:themeColor="text1"/>
          <w:highlight w:val="none"/>
        </w:rPr>
        <w:t>201</w:t>
      </w:r>
      <w:r>
        <w:rPr>
          <w:color w:val="000000" w:themeColor="text1"/>
          <w:highlight w:val="none"/>
        </w:rPr>
        <w:fldChar w:fldCharType="end"/>
      </w:r>
      <w:r>
        <w:rPr>
          <w:color w:val="000000" w:themeColor="text1"/>
          <w:highlight w:val="none"/>
        </w:rPr>
        <w:fldChar w:fldCharType="end"/>
      </w:r>
    </w:p>
    <w:p w14:paraId="53F1A8FD">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_Toc24885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.5环境风险评价</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_Toc24885 \h </w:instrText>
      </w:r>
      <w:r>
        <w:rPr>
          <w:color w:val="000000" w:themeColor="text1"/>
          <w:highlight w:val="none"/>
        </w:rPr>
        <w:fldChar w:fldCharType="separate"/>
      </w:r>
      <w:r>
        <w:rPr>
          <w:color w:val="000000" w:themeColor="text1"/>
          <w:highlight w:val="none"/>
        </w:rPr>
        <w:t>206</w:t>
      </w:r>
      <w:r>
        <w:rPr>
          <w:color w:val="000000" w:themeColor="text1"/>
          <w:highlight w:val="none"/>
        </w:rPr>
        <w:fldChar w:fldCharType="end"/>
      </w:r>
      <w:r>
        <w:rPr>
          <w:color w:val="000000" w:themeColor="text1"/>
          <w:highlight w:val="none"/>
        </w:rPr>
        <w:fldChar w:fldCharType="end"/>
      </w:r>
    </w:p>
    <w:p w14:paraId="7D9E257F">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_Toc31134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.6环境影响经济损益分析</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_Toc31134 \h </w:instrText>
      </w:r>
      <w:r>
        <w:rPr>
          <w:color w:val="000000" w:themeColor="text1"/>
          <w:highlight w:val="none"/>
        </w:rPr>
        <w:fldChar w:fldCharType="separate"/>
      </w:r>
      <w:r>
        <w:rPr>
          <w:color w:val="000000" w:themeColor="text1"/>
          <w:highlight w:val="none"/>
        </w:rPr>
        <w:t>206</w:t>
      </w:r>
      <w:r>
        <w:rPr>
          <w:color w:val="000000" w:themeColor="text1"/>
          <w:highlight w:val="none"/>
        </w:rPr>
        <w:fldChar w:fldCharType="end"/>
      </w:r>
      <w:r>
        <w:rPr>
          <w:color w:val="000000" w:themeColor="text1"/>
          <w:highlight w:val="none"/>
        </w:rPr>
        <w:fldChar w:fldCharType="end"/>
      </w:r>
    </w:p>
    <w:p w14:paraId="2ED43BB3">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_Toc10280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.7公众意见采纳情况</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_Toc10280 \h </w:instrText>
      </w:r>
      <w:r>
        <w:rPr>
          <w:color w:val="000000" w:themeColor="text1"/>
          <w:highlight w:val="none"/>
        </w:rPr>
        <w:fldChar w:fldCharType="separate"/>
      </w:r>
      <w:r>
        <w:rPr>
          <w:color w:val="000000" w:themeColor="text1"/>
          <w:highlight w:val="none"/>
        </w:rPr>
        <w:t>206</w:t>
      </w:r>
      <w:r>
        <w:rPr>
          <w:color w:val="000000" w:themeColor="text1"/>
          <w:highlight w:val="none"/>
        </w:rPr>
        <w:fldChar w:fldCharType="end"/>
      </w:r>
      <w:r>
        <w:rPr>
          <w:color w:val="000000" w:themeColor="text1"/>
          <w:highlight w:val="none"/>
        </w:rPr>
        <w:fldChar w:fldCharType="end"/>
      </w:r>
    </w:p>
    <w:p w14:paraId="62C594AE">
      <w:pPr>
        <w:pStyle w:val="9"/>
        <w:tabs>
          <w:tab w:val="right" w:leader="dot" w:pos="8312"/>
        </w:tabs>
        <w:rPr>
          <w:color w:val="000000" w:themeColor="text1"/>
          <w:highlight w:val="none"/>
        </w:rPr>
      </w:pPr>
      <w:r>
        <w:rPr>
          <w:color w:val="000000" w:themeColor="text1"/>
          <w:highlight w:val="none"/>
        </w:rPr>
        <w:fldChar w:fldCharType="begin"/>
      </w:r>
      <w:r>
        <w:rPr>
          <w:color w:val="000000" w:themeColor="text1"/>
          <w:highlight w:val="none"/>
        </w:rPr>
        <w:instrText xml:space="preserve"> HYPERLINK \l _Toc10410 </w:instrText>
      </w:r>
      <w:r>
        <w:rPr>
          <w:color w:val="000000" w:themeColor="text1"/>
          <w:highlight w:val="none"/>
        </w:rPr>
        <w:fldChar w:fldCharType="separate"/>
      </w: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.8结论</w:t>
      </w:r>
      <w:r>
        <w:rPr>
          <w:color w:val="000000" w:themeColor="text1"/>
          <w:highlight w:val="none"/>
        </w:rPr>
        <w:tab/>
      </w:r>
      <w:r>
        <w:rPr>
          <w:color w:val="000000" w:themeColor="text1"/>
          <w:highlight w:val="none"/>
        </w:rPr>
        <w:fldChar w:fldCharType="begin"/>
      </w:r>
      <w:r>
        <w:rPr>
          <w:color w:val="000000" w:themeColor="text1"/>
          <w:highlight w:val="none"/>
        </w:rPr>
        <w:instrText xml:space="preserve"> PAGEREF _Toc10410 \h </w:instrText>
      </w:r>
      <w:r>
        <w:rPr>
          <w:color w:val="000000" w:themeColor="text1"/>
          <w:highlight w:val="none"/>
        </w:rPr>
        <w:fldChar w:fldCharType="separate"/>
      </w:r>
      <w:r>
        <w:rPr>
          <w:color w:val="000000" w:themeColor="text1"/>
          <w:highlight w:val="none"/>
        </w:rPr>
        <w:t>207</w:t>
      </w:r>
      <w:r>
        <w:rPr>
          <w:color w:val="000000" w:themeColor="text1"/>
          <w:highlight w:val="none"/>
        </w:rPr>
        <w:fldChar w:fldCharType="end"/>
      </w:r>
      <w:r>
        <w:rPr>
          <w:color w:val="000000" w:themeColor="text1"/>
          <w:highlight w:val="none"/>
        </w:rPr>
        <w:fldChar w:fldCharType="end"/>
      </w:r>
    </w:p>
    <w:p w14:paraId="0DC02AA1">
      <w:pPr>
        <w:spacing w:line="360" w:lineRule="auto"/>
        <w:ind w:left="0" w:leftChars="0" w:firstLine="0" w:firstLineChars="0"/>
        <w:jc w:val="center"/>
        <w:rPr>
          <w:color w:val="000000" w:themeColor="text1"/>
          <w:highlight w:val="none"/>
        </w:rPr>
      </w:pPr>
      <w:r>
        <w:rPr>
          <w:color w:val="000000" w:themeColor="text1"/>
          <w:highlight w:val="none"/>
        </w:rPr>
        <w:fldChar w:fldCharType="end"/>
      </w:r>
    </w:p>
    <w:p w14:paraId="48CFD043">
      <w:pPr>
        <w:spacing w:line="360" w:lineRule="auto"/>
        <w:ind w:firstLine="0" w:firstLineChars="0"/>
        <w:outlineLvl w:val="0"/>
        <w:rPr>
          <w:b/>
          <w:color w:val="000000" w:themeColor="text1"/>
          <w:highlight w:val="none"/>
        </w:rPr>
      </w:pPr>
      <w:bookmarkStart w:id="3" w:name="_Toc32763"/>
      <w:bookmarkStart w:id="4" w:name="_Toc106276714"/>
      <w:bookmarkStart w:id="5" w:name="_Toc102910877"/>
      <w:bookmarkStart w:id="6" w:name="_Toc18877"/>
      <w:bookmarkStart w:id="7" w:name="_Toc6547"/>
      <w:bookmarkStart w:id="8" w:name="_Toc106465844"/>
      <w:bookmarkStart w:id="9" w:name="_Toc13171"/>
      <w:r>
        <w:rPr>
          <w:b/>
          <w:color w:val="000000" w:themeColor="text1"/>
          <w:highlight w:val="none"/>
        </w:rPr>
        <w:t>附表</w:t>
      </w:r>
      <w:bookmarkEnd w:id="3"/>
      <w:bookmarkEnd w:id="4"/>
      <w:bookmarkEnd w:id="5"/>
      <w:bookmarkEnd w:id="6"/>
      <w:bookmarkEnd w:id="7"/>
      <w:bookmarkEnd w:id="8"/>
      <w:bookmarkEnd w:id="9"/>
    </w:p>
    <w:p w14:paraId="1A248380">
      <w:pPr>
        <w:spacing w:line="360" w:lineRule="auto"/>
        <w:ind w:firstLine="240" w:firstLineChars="100"/>
        <w:outlineLvl w:val="0"/>
        <w:rPr>
          <w:color w:val="000000" w:themeColor="text1"/>
          <w:highlight w:val="none"/>
        </w:rPr>
      </w:pPr>
      <w:bookmarkStart w:id="10" w:name="_Toc106276715"/>
      <w:bookmarkStart w:id="11" w:name="_Toc102910878"/>
      <w:bookmarkStart w:id="12" w:name="_Toc21020"/>
      <w:bookmarkStart w:id="13" w:name="_Toc106465845"/>
      <w:bookmarkStart w:id="14" w:name="_Toc16498"/>
      <w:bookmarkStart w:id="15" w:name="_Toc31919"/>
      <w:bookmarkStart w:id="16" w:name="_Toc27863"/>
      <w:r>
        <w:rPr>
          <w:color w:val="000000" w:themeColor="text1"/>
          <w:highlight w:val="none"/>
        </w:rPr>
        <w:t>附表1</w:t>
      </w:r>
      <w:r>
        <w:rPr>
          <w:rFonts w:hint="eastAsia"/>
          <w:color w:val="000000" w:themeColor="text1"/>
          <w:highlight w:val="none"/>
          <w:lang w:val="en-US" w:eastAsia="zh-CN"/>
        </w:rPr>
        <w:t xml:space="preserve"> 建设项目大气环境影响评价自查表</w:t>
      </w:r>
      <w:bookmarkEnd w:id="10"/>
      <w:bookmarkEnd w:id="11"/>
      <w:bookmarkEnd w:id="12"/>
      <w:bookmarkEnd w:id="13"/>
      <w:bookmarkEnd w:id="14"/>
      <w:bookmarkEnd w:id="15"/>
      <w:bookmarkEnd w:id="16"/>
    </w:p>
    <w:p w14:paraId="6B34C288">
      <w:pPr>
        <w:spacing w:line="360" w:lineRule="auto"/>
        <w:ind w:firstLine="240" w:firstLineChars="100"/>
        <w:outlineLvl w:val="0"/>
        <w:rPr>
          <w:color w:val="000000" w:themeColor="text1"/>
          <w:highlight w:val="none"/>
        </w:rPr>
      </w:pPr>
      <w:bookmarkStart w:id="17" w:name="_Toc12135"/>
      <w:bookmarkStart w:id="18" w:name="_Toc17713"/>
      <w:bookmarkStart w:id="19" w:name="_Toc29179"/>
      <w:bookmarkStart w:id="20" w:name="_Toc22621"/>
      <w:bookmarkStart w:id="21" w:name="_Toc106276716"/>
      <w:bookmarkStart w:id="22" w:name="_Toc106465846"/>
      <w:bookmarkStart w:id="23" w:name="_Toc102910879"/>
      <w:r>
        <w:rPr>
          <w:color w:val="000000" w:themeColor="text1"/>
          <w:highlight w:val="none"/>
        </w:rPr>
        <w:t>附表2</w:t>
      </w:r>
      <w:r>
        <w:rPr>
          <w:rFonts w:hint="eastAsia"/>
          <w:color w:val="000000" w:themeColor="text1"/>
          <w:highlight w:val="none"/>
          <w:lang w:val="en-US" w:eastAsia="zh-CN"/>
        </w:rPr>
        <w:t xml:space="preserve"> </w:t>
      </w:r>
      <w:r>
        <w:rPr>
          <w:color w:val="000000" w:themeColor="text1"/>
          <w:highlight w:val="none"/>
        </w:rPr>
        <w:t>地表水环境影响评价自查表</w:t>
      </w:r>
      <w:bookmarkEnd w:id="17"/>
      <w:bookmarkEnd w:id="18"/>
      <w:bookmarkEnd w:id="19"/>
      <w:bookmarkEnd w:id="20"/>
      <w:bookmarkEnd w:id="21"/>
      <w:bookmarkEnd w:id="22"/>
      <w:bookmarkEnd w:id="23"/>
    </w:p>
    <w:p w14:paraId="0551079C">
      <w:pPr>
        <w:spacing w:line="360" w:lineRule="auto"/>
        <w:ind w:firstLine="240" w:firstLineChars="100"/>
        <w:outlineLvl w:val="0"/>
        <w:rPr>
          <w:color w:val="000000" w:themeColor="text1"/>
          <w:highlight w:val="none"/>
        </w:rPr>
      </w:pPr>
      <w:bookmarkStart w:id="24" w:name="_Toc106276717"/>
      <w:bookmarkStart w:id="25" w:name="_Toc106465847"/>
      <w:bookmarkStart w:id="26" w:name="_Toc102910880"/>
      <w:bookmarkStart w:id="27" w:name="_Toc31757"/>
      <w:bookmarkStart w:id="28" w:name="_Toc24213"/>
      <w:bookmarkStart w:id="29" w:name="_Toc20953"/>
      <w:bookmarkStart w:id="30" w:name="_Toc14864"/>
      <w:r>
        <w:rPr>
          <w:color w:val="000000" w:themeColor="text1"/>
          <w:highlight w:val="none"/>
        </w:rPr>
        <w:t>附表3</w:t>
      </w:r>
      <w:r>
        <w:rPr>
          <w:rFonts w:hint="eastAsia"/>
          <w:color w:val="000000" w:themeColor="text1"/>
          <w:highlight w:val="none"/>
          <w:lang w:val="en-US" w:eastAsia="zh-CN"/>
        </w:rPr>
        <w:t xml:space="preserve"> 声环境影响评价自查表</w:t>
      </w:r>
      <w:bookmarkEnd w:id="24"/>
      <w:bookmarkEnd w:id="25"/>
      <w:bookmarkEnd w:id="26"/>
      <w:bookmarkEnd w:id="27"/>
      <w:bookmarkEnd w:id="28"/>
      <w:bookmarkEnd w:id="29"/>
      <w:bookmarkEnd w:id="30"/>
    </w:p>
    <w:p w14:paraId="217FA618">
      <w:pPr>
        <w:spacing w:line="360" w:lineRule="auto"/>
        <w:ind w:firstLine="240" w:firstLineChars="100"/>
        <w:outlineLvl w:val="0"/>
        <w:rPr>
          <w:color w:val="000000" w:themeColor="text1"/>
          <w:highlight w:val="none"/>
        </w:rPr>
      </w:pPr>
      <w:bookmarkStart w:id="31" w:name="_Toc26594"/>
      <w:bookmarkStart w:id="32" w:name="_Toc8284"/>
      <w:bookmarkStart w:id="33" w:name="_Toc102910881"/>
      <w:bookmarkStart w:id="34" w:name="_Toc106465848"/>
      <w:bookmarkStart w:id="35" w:name="_Toc23417"/>
      <w:bookmarkStart w:id="36" w:name="_Toc106276718"/>
      <w:bookmarkStart w:id="37" w:name="_Toc24888"/>
      <w:r>
        <w:rPr>
          <w:color w:val="000000" w:themeColor="text1"/>
          <w:highlight w:val="none"/>
        </w:rPr>
        <w:t>附表4</w:t>
      </w:r>
      <w:r>
        <w:rPr>
          <w:rFonts w:hint="eastAsia"/>
          <w:color w:val="000000" w:themeColor="text1"/>
          <w:highlight w:val="none"/>
          <w:lang w:val="en-US" w:eastAsia="zh-CN"/>
        </w:rPr>
        <w:t xml:space="preserve"> 生态环境影响评价自查表</w:t>
      </w:r>
      <w:bookmarkEnd w:id="31"/>
      <w:bookmarkEnd w:id="32"/>
      <w:bookmarkEnd w:id="33"/>
      <w:bookmarkEnd w:id="34"/>
      <w:bookmarkEnd w:id="35"/>
      <w:bookmarkEnd w:id="36"/>
      <w:bookmarkEnd w:id="37"/>
    </w:p>
    <w:p w14:paraId="5378DB6C">
      <w:pPr>
        <w:spacing w:line="360" w:lineRule="auto"/>
        <w:ind w:firstLine="240" w:firstLineChars="100"/>
        <w:outlineLvl w:val="0"/>
        <w:rPr>
          <w:color w:val="000000" w:themeColor="text1"/>
          <w:highlight w:val="none"/>
        </w:rPr>
      </w:pPr>
      <w:bookmarkStart w:id="38" w:name="_Toc106465849"/>
      <w:bookmarkStart w:id="39" w:name="_Toc102910882"/>
      <w:bookmarkStart w:id="40" w:name="_Toc106276719"/>
      <w:bookmarkStart w:id="41" w:name="_Toc21562"/>
      <w:bookmarkStart w:id="42" w:name="_Toc15650"/>
      <w:bookmarkStart w:id="43" w:name="_Toc3009"/>
      <w:bookmarkStart w:id="44" w:name="_Toc7112"/>
      <w:r>
        <w:rPr>
          <w:color w:val="000000" w:themeColor="text1"/>
          <w:highlight w:val="none"/>
        </w:rPr>
        <w:t>附表5</w:t>
      </w:r>
      <w:bookmarkEnd w:id="38"/>
      <w:bookmarkEnd w:id="39"/>
      <w:bookmarkEnd w:id="40"/>
      <w:r>
        <w:rPr>
          <w:rFonts w:hint="eastAsia"/>
          <w:color w:val="000000" w:themeColor="text1"/>
          <w:highlight w:val="none"/>
          <w:lang w:val="en-US" w:eastAsia="zh-CN"/>
        </w:rPr>
        <w:t xml:space="preserve"> </w:t>
      </w:r>
      <w:r>
        <w:rPr>
          <w:color w:val="000000" w:themeColor="text1"/>
          <w:highlight w:val="none"/>
        </w:rPr>
        <w:t>环境风险评价自查表</w:t>
      </w:r>
      <w:bookmarkEnd w:id="41"/>
      <w:bookmarkEnd w:id="42"/>
      <w:bookmarkEnd w:id="43"/>
      <w:bookmarkEnd w:id="44"/>
    </w:p>
    <w:p w14:paraId="6BE656AB">
      <w:pPr>
        <w:spacing w:line="360" w:lineRule="auto"/>
        <w:ind w:firstLine="0" w:firstLineChars="0"/>
        <w:rPr>
          <w:b/>
          <w:color w:val="000000" w:themeColor="text1"/>
          <w:highlight w:val="none"/>
        </w:rPr>
      </w:pPr>
      <w:r>
        <w:rPr>
          <w:b/>
          <w:color w:val="000000" w:themeColor="text1"/>
          <w:highlight w:val="none"/>
        </w:rPr>
        <w:t>附图</w:t>
      </w:r>
    </w:p>
    <w:p w14:paraId="4FEA7879">
      <w:pPr>
        <w:spacing w:line="360" w:lineRule="auto"/>
        <w:ind w:firstLine="240" w:firstLineChars="100"/>
        <w:rPr>
          <w:rFonts w:hint="eastAsia"/>
          <w:color w:val="000000" w:themeColor="text1"/>
          <w:highlight w:val="none"/>
        </w:rPr>
      </w:pPr>
      <w:r>
        <w:rPr>
          <w:rFonts w:hint="eastAsia"/>
          <w:color w:val="000000" w:themeColor="text1"/>
          <w:highlight w:val="none"/>
        </w:rPr>
        <w:t>附图1 项目地理位置图</w:t>
      </w:r>
    </w:p>
    <w:p w14:paraId="17158A1D">
      <w:pPr>
        <w:spacing w:line="360" w:lineRule="auto"/>
        <w:ind w:firstLine="240" w:firstLineChars="100"/>
        <w:rPr>
          <w:rFonts w:hint="eastAsia"/>
          <w:color w:val="000000" w:themeColor="text1"/>
          <w:highlight w:val="none"/>
        </w:rPr>
      </w:pPr>
      <w:r>
        <w:rPr>
          <w:rFonts w:hint="eastAsia"/>
          <w:color w:val="000000" w:themeColor="text1"/>
          <w:highlight w:val="none"/>
        </w:rPr>
        <w:t>附图2 线路平、纵面断缩图</w:t>
      </w:r>
    </w:p>
    <w:p w14:paraId="6A5C4974">
      <w:pPr>
        <w:spacing w:line="360" w:lineRule="auto"/>
        <w:ind w:firstLine="240" w:firstLineChars="100"/>
        <w:rPr>
          <w:rFonts w:hint="eastAsia"/>
          <w:color w:val="000000" w:themeColor="text1"/>
          <w:highlight w:val="none"/>
        </w:rPr>
      </w:pPr>
      <w:r>
        <w:rPr>
          <w:rFonts w:hint="eastAsia"/>
          <w:color w:val="000000" w:themeColor="text1"/>
          <w:highlight w:val="none"/>
        </w:rPr>
        <w:t>附图3 线路平面图</w:t>
      </w:r>
    </w:p>
    <w:p w14:paraId="4CEBCA9A">
      <w:pPr>
        <w:spacing w:line="360" w:lineRule="auto"/>
        <w:ind w:firstLine="240" w:firstLineChars="100"/>
        <w:rPr>
          <w:rFonts w:hint="eastAsia"/>
          <w:color w:val="000000" w:themeColor="text1"/>
          <w:highlight w:val="none"/>
        </w:rPr>
      </w:pPr>
      <w:r>
        <w:rPr>
          <w:rFonts w:hint="eastAsia"/>
          <w:color w:val="000000" w:themeColor="text1"/>
          <w:highlight w:val="none"/>
        </w:rPr>
        <w:t>附图4 典型生态保护措施平面布置示意图</w:t>
      </w:r>
    </w:p>
    <w:p w14:paraId="793A6D7A">
      <w:pPr>
        <w:spacing w:line="360" w:lineRule="auto"/>
        <w:ind w:firstLine="240" w:firstLineChars="100"/>
        <w:rPr>
          <w:rFonts w:hint="eastAsia"/>
          <w:color w:val="000000" w:themeColor="text1"/>
          <w:highlight w:val="none"/>
        </w:rPr>
      </w:pPr>
      <w:r>
        <w:rPr>
          <w:rFonts w:hint="eastAsia"/>
          <w:color w:val="000000" w:themeColor="text1"/>
          <w:highlight w:val="none"/>
        </w:rPr>
        <w:t>附图5 临时工程施工布置图</w:t>
      </w:r>
    </w:p>
    <w:p w14:paraId="1EEF39D5">
      <w:pPr>
        <w:spacing w:line="360" w:lineRule="auto"/>
        <w:ind w:firstLine="240" w:firstLineChars="100"/>
        <w:rPr>
          <w:rFonts w:hint="eastAsia"/>
          <w:color w:val="000000" w:themeColor="text1"/>
          <w:highlight w:val="none"/>
        </w:rPr>
      </w:pPr>
      <w:r>
        <w:rPr>
          <w:rFonts w:hint="eastAsia"/>
          <w:color w:val="000000" w:themeColor="text1"/>
          <w:highlight w:val="none"/>
        </w:rPr>
        <w:t>附图6 土地利用现状图</w:t>
      </w:r>
    </w:p>
    <w:p w14:paraId="3FEB09BF">
      <w:pPr>
        <w:spacing w:line="360" w:lineRule="auto"/>
        <w:ind w:firstLine="240" w:firstLineChars="100"/>
        <w:rPr>
          <w:rFonts w:hint="eastAsia"/>
          <w:color w:val="000000" w:themeColor="text1"/>
          <w:highlight w:val="none"/>
        </w:rPr>
      </w:pPr>
      <w:r>
        <w:rPr>
          <w:rFonts w:hint="eastAsia"/>
          <w:color w:val="000000" w:themeColor="text1"/>
          <w:highlight w:val="none"/>
        </w:rPr>
        <w:t>附图7 植被类型图</w:t>
      </w:r>
    </w:p>
    <w:p w14:paraId="041BB0A5">
      <w:pPr>
        <w:spacing w:line="360" w:lineRule="auto"/>
        <w:ind w:firstLine="240" w:firstLineChars="100"/>
        <w:rPr>
          <w:rFonts w:hint="default"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rPr>
        <w:t>附图</w:t>
      </w:r>
      <w:r>
        <w:rPr>
          <w:rFonts w:hint="eastAsia" w:ascii="Times New Roman" w:hAnsi="Times New Roman" w:eastAsia="宋体" w:cs="Times New Roman"/>
          <w:color w:val="000000" w:themeColor="text1"/>
          <w:highlight w:val="none"/>
          <w:lang w:val="en-US" w:eastAsia="zh-CN"/>
        </w:rPr>
        <w:t>8 项目区水系图</w:t>
      </w:r>
    </w:p>
    <w:p w14:paraId="79E2F329">
      <w:pPr>
        <w:spacing w:line="360" w:lineRule="auto"/>
        <w:ind w:firstLine="240" w:firstLineChars="100"/>
        <w:rPr>
          <w:rFonts w:hint="eastAsia" w:ascii="Times New Roman" w:hAnsi="Times New Roman" w:eastAsia="宋体" w:cs="Times New Roman"/>
          <w:color w:val="000000" w:themeColor="text1"/>
          <w:highlight w:val="none"/>
        </w:rPr>
      </w:pPr>
    </w:p>
    <w:p w14:paraId="53B41487">
      <w:pPr>
        <w:spacing w:line="360" w:lineRule="auto"/>
        <w:ind w:firstLine="0" w:firstLineChars="0"/>
        <w:outlineLvl w:val="0"/>
        <w:rPr>
          <w:b/>
          <w:bCs/>
          <w:color w:val="000000" w:themeColor="text1"/>
          <w:highlight w:val="none"/>
        </w:rPr>
      </w:pPr>
      <w:bookmarkStart w:id="45" w:name="_Toc23731"/>
      <w:bookmarkStart w:id="46" w:name="_Toc13590"/>
      <w:bookmarkStart w:id="47" w:name="_Toc106276720"/>
      <w:bookmarkStart w:id="48" w:name="_Toc102910883"/>
      <w:bookmarkStart w:id="49" w:name="_Toc26085"/>
      <w:bookmarkStart w:id="50" w:name="_Toc106465850"/>
      <w:bookmarkStart w:id="51" w:name="_Toc2992"/>
      <w:r>
        <w:rPr>
          <w:b/>
          <w:bCs/>
          <w:color w:val="000000" w:themeColor="text1"/>
          <w:highlight w:val="none"/>
        </w:rPr>
        <w:t>附件</w:t>
      </w:r>
      <w:bookmarkEnd w:id="45"/>
      <w:bookmarkEnd w:id="46"/>
      <w:bookmarkEnd w:id="47"/>
      <w:bookmarkEnd w:id="48"/>
      <w:bookmarkEnd w:id="49"/>
      <w:bookmarkEnd w:id="50"/>
      <w:bookmarkEnd w:id="51"/>
    </w:p>
    <w:p w14:paraId="0A302F86">
      <w:pPr>
        <w:spacing w:line="360" w:lineRule="auto"/>
        <w:ind w:firstLine="240" w:firstLineChars="100"/>
        <w:rPr>
          <w:rFonts w:hint="eastAsia"/>
          <w:color w:val="000000" w:themeColor="text1"/>
          <w:highlight w:val="none"/>
        </w:rPr>
      </w:pPr>
      <w:r>
        <w:rPr>
          <w:rFonts w:hint="eastAsia"/>
          <w:color w:val="000000" w:themeColor="text1"/>
          <w:highlight w:val="none"/>
        </w:rPr>
        <w:t>附件1 立项文件</w:t>
      </w:r>
    </w:p>
    <w:p w14:paraId="04F7EE33">
      <w:pPr>
        <w:spacing w:line="360" w:lineRule="auto"/>
        <w:ind w:firstLine="240" w:firstLineChars="100"/>
        <w:rPr>
          <w:rFonts w:hint="eastAsia"/>
          <w:color w:val="000000" w:themeColor="text1"/>
          <w:highlight w:val="none"/>
        </w:rPr>
      </w:pPr>
      <w:r>
        <w:rPr>
          <w:rFonts w:hint="eastAsia"/>
          <w:color w:val="000000" w:themeColor="text1"/>
          <w:highlight w:val="none"/>
        </w:rPr>
        <w:t>附件2 关于建设用地预审意见的函</w:t>
      </w:r>
    </w:p>
    <w:p w14:paraId="42190ED5">
      <w:pPr>
        <w:spacing w:line="360" w:lineRule="auto"/>
        <w:ind w:firstLine="240" w:firstLineChars="100"/>
        <w:rPr>
          <w:rFonts w:hint="eastAsia"/>
          <w:color w:val="000000" w:themeColor="text1"/>
          <w:highlight w:val="none"/>
        </w:rPr>
      </w:pPr>
      <w:r>
        <w:rPr>
          <w:rFonts w:hint="eastAsia"/>
          <w:color w:val="000000" w:themeColor="text1"/>
          <w:highlight w:val="none"/>
        </w:rPr>
        <w:t>附件3 建设项目土地预审与选址意见书</w:t>
      </w:r>
    </w:p>
    <w:p w14:paraId="03AF8ADF">
      <w:pPr>
        <w:spacing w:line="360" w:lineRule="auto"/>
        <w:ind w:firstLine="240" w:firstLineChars="100"/>
        <w:rPr>
          <w:color w:val="000000" w:themeColor="text1"/>
          <w:highlight w:val="none"/>
        </w:rPr>
      </w:pPr>
      <w:r>
        <w:rPr>
          <w:rFonts w:hint="eastAsia"/>
          <w:color w:val="000000" w:themeColor="text1"/>
          <w:highlight w:val="none"/>
        </w:rPr>
        <w:t>附件4 检测报告</w:t>
      </w:r>
    </w:p>
    <w:p w14:paraId="6CAE7769">
      <w:pPr>
        <w:spacing w:line="360" w:lineRule="auto"/>
        <w:ind w:firstLine="240" w:firstLineChars="100"/>
        <w:rPr>
          <w:rFonts w:hint="eastAsia"/>
          <w:color w:val="000000" w:themeColor="text1"/>
          <w:highlight w:val="none"/>
        </w:rPr>
      </w:pPr>
      <w:r>
        <w:rPr>
          <w:rFonts w:hint="eastAsia"/>
          <w:color w:val="000000" w:themeColor="text1"/>
          <w:highlight w:val="none"/>
        </w:rPr>
        <w:t>附件5 生态环境分区管控分析报告</w:t>
      </w:r>
    </w:p>
    <w:p w14:paraId="3FADF6E2">
      <w:pPr>
        <w:spacing w:line="360" w:lineRule="auto"/>
        <w:ind w:firstLine="240" w:firstLineChars="100"/>
        <w:rPr>
          <w:rFonts w:hint="eastAsia"/>
          <w:color w:val="000000" w:themeColor="text1"/>
          <w:highlight w:val="none"/>
        </w:rPr>
      </w:pPr>
      <w:r>
        <w:rPr>
          <w:rFonts w:hint="eastAsia"/>
          <w:color w:val="000000" w:themeColor="text1"/>
          <w:highlight w:val="none"/>
        </w:rPr>
        <w:t>附件6 中国铁路哈尔滨局集团有限公司关于鹤岗市新建机场连接线工程跨越鹤北线铁路的复函</w:t>
      </w:r>
    </w:p>
    <w:p w14:paraId="4A83F2BD">
      <w:pPr>
        <w:spacing w:line="360" w:lineRule="auto"/>
        <w:ind w:firstLine="240" w:firstLineChars="100"/>
        <w:rPr>
          <w:color w:val="000000" w:themeColor="text1"/>
          <w:highlight w:val="none"/>
        </w:rPr>
      </w:pPr>
      <w:r>
        <w:rPr>
          <w:rFonts w:hint="eastAsia"/>
          <w:color w:val="000000" w:themeColor="text1"/>
          <w:highlight w:val="none"/>
        </w:rPr>
        <w:t>附件7 鹤岗市交通运输局关于新建黑龙江鹤岗机场场外配套工程机场进场路工程初步设计的批复</w:t>
      </w:r>
      <w:r>
        <w:rPr>
          <w:color w:val="000000" w:themeColor="text1"/>
          <w:highlight w:val="none"/>
        </w:rPr>
        <w:t xml:space="preserve"> </w:t>
      </w:r>
    </w:p>
    <w:p w14:paraId="6F0CABC8">
      <w:pPr>
        <w:spacing w:line="360" w:lineRule="auto"/>
        <w:ind w:firstLine="240" w:firstLineChars="100"/>
        <w:rPr>
          <w:rFonts w:hint="eastAsia"/>
          <w:color w:val="000000" w:themeColor="text1"/>
          <w:highlight w:val="none"/>
        </w:rPr>
      </w:pPr>
      <w:r>
        <w:rPr>
          <w:rFonts w:hint="eastAsia"/>
          <w:color w:val="000000" w:themeColor="text1"/>
          <w:highlight w:val="none"/>
        </w:rPr>
        <w:t>附件8 外购材料意向书</w:t>
      </w:r>
    </w:p>
    <w:p w14:paraId="322C48E7">
      <w:pPr>
        <w:spacing w:line="360" w:lineRule="auto"/>
        <w:ind w:firstLine="240" w:firstLineChars="100"/>
        <w:rPr>
          <w:color w:val="000000" w:themeColor="text1"/>
          <w:highlight w:val="none"/>
        </w:rPr>
      </w:pPr>
      <w:r>
        <w:rPr>
          <w:rFonts w:hint="eastAsia"/>
          <w:color w:val="000000" w:themeColor="text1"/>
          <w:highlight w:val="none"/>
        </w:rPr>
        <w:t>附件9 弃土去向意见书</w:t>
      </w:r>
    </w:p>
    <w:p w14:paraId="332EB362">
      <w:pPr>
        <w:spacing w:line="360" w:lineRule="auto"/>
        <w:ind w:firstLine="240" w:firstLineChars="100"/>
        <w:rPr>
          <w:color w:val="000000" w:themeColor="text1"/>
          <w:highlight w:val="none"/>
        </w:rPr>
      </w:pPr>
    </w:p>
    <w:p w14:paraId="4A9E2362">
      <w:pPr>
        <w:spacing w:line="360" w:lineRule="auto"/>
        <w:ind w:firstLine="240" w:firstLineChars="100"/>
        <w:rPr>
          <w:color w:val="000000" w:themeColor="text1"/>
          <w:highlight w:val="none"/>
        </w:rPr>
        <w:sectPr>
          <w:headerReference r:id="rId11" w:type="default"/>
          <w:footerReference r:id="rId12" w:type="default"/>
          <w:pgSz w:w="11906" w:h="16838"/>
          <w:pgMar w:top="1440" w:right="1797" w:bottom="1440" w:left="1797" w:header="794" w:footer="1021" w:gutter="0"/>
          <w:pgBorders>
            <w:top w:val="none" w:sz="0" w:space="0"/>
            <w:left w:val="none" w:sz="0" w:space="0"/>
            <w:bottom w:val="none" w:sz="0" w:space="0"/>
            <w:right w:val="none" w:sz="0" w:space="0"/>
          </w:pgBorders>
          <w:pgNumType w:fmt="upperRoman" w:start="1"/>
          <w:cols w:space="720" w:num="1"/>
          <w:docGrid w:linePitch="312" w:charSpace="45420"/>
        </w:sectPr>
      </w:pPr>
    </w:p>
    <w:p w14:paraId="310B8AC0">
      <w:pPr>
        <w:pStyle w:val="2"/>
        <w:pageBreakBefore w:val="0"/>
        <w:wordWrap/>
        <w:topLinePunct w:val="0"/>
        <w:bidi w:val="0"/>
        <w:spacing w:line="360" w:lineRule="auto"/>
        <w:ind w:left="0"/>
        <w:jc w:val="center"/>
        <w:rPr>
          <w:color w:val="000000" w:themeColor="text1"/>
          <w:highlight w:val="none"/>
        </w:rPr>
      </w:pPr>
      <w:bookmarkStart w:id="52" w:name="_Toc30390"/>
      <w:bookmarkStart w:id="53" w:name="_Toc24356"/>
      <w:r>
        <w:rPr>
          <w:rFonts w:hint="eastAsia"/>
          <w:color w:val="000000" w:themeColor="text1"/>
          <w:highlight w:val="none"/>
        </w:rPr>
        <w:t xml:space="preserve">1 </w:t>
      </w:r>
      <w:r>
        <w:rPr>
          <w:color w:val="000000" w:themeColor="text1"/>
          <w:highlight w:val="none"/>
        </w:rPr>
        <w:t>概述</w:t>
      </w:r>
      <w:bookmarkEnd w:id="52"/>
      <w:bookmarkEnd w:id="53"/>
    </w:p>
    <w:p w14:paraId="06F48DA1">
      <w:pPr>
        <w:pStyle w:val="3"/>
        <w:pageBreakBefore w:val="0"/>
        <w:wordWrap/>
        <w:topLinePunct w:val="0"/>
        <w:bidi w:val="0"/>
        <w:spacing w:before="12" w:after="120" w:line="360" w:lineRule="auto"/>
        <w:rPr>
          <w:color w:val="000000" w:themeColor="text1"/>
          <w:highlight w:val="none"/>
        </w:rPr>
      </w:pPr>
      <w:bookmarkStart w:id="54" w:name="_Toc6148"/>
      <w:bookmarkStart w:id="55" w:name="_Toc27883"/>
      <w:bookmarkStart w:id="56" w:name="_Toc451873531"/>
      <w:bookmarkStart w:id="57" w:name="_Toc29710"/>
      <w:bookmarkStart w:id="58" w:name="_Toc348953396"/>
      <w:bookmarkStart w:id="59" w:name="_Toc4499"/>
      <w:r>
        <w:rPr>
          <w:rFonts w:hint="eastAsia"/>
          <w:color w:val="000000" w:themeColor="text1"/>
          <w:highlight w:val="none"/>
        </w:rPr>
        <w:t>1.1</w:t>
      </w:r>
      <w:r>
        <w:rPr>
          <w:color w:val="000000" w:themeColor="text1"/>
          <w:highlight w:val="none"/>
        </w:rPr>
        <w:t>任务由来</w:t>
      </w:r>
      <w:bookmarkEnd w:id="54"/>
      <w:bookmarkEnd w:id="55"/>
      <w:bookmarkEnd w:id="56"/>
      <w:bookmarkEnd w:id="57"/>
      <w:bookmarkEnd w:id="58"/>
      <w:bookmarkEnd w:id="59"/>
    </w:p>
    <w:p w14:paraId="082DCBB6">
      <w:pPr>
        <w:pageBreakBefore w:val="0"/>
        <w:wordWrap/>
        <w:topLinePunct w:val="0"/>
        <w:bidi w:val="0"/>
        <w:spacing w:line="360" w:lineRule="auto"/>
        <w:jc w:val="left"/>
        <w:rPr>
          <w:rFonts w:hint="eastAsia"/>
          <w:color w:val="000000" w:themeColor="text1"/>
          <w:highlight w:val="none"/>
        </w:rPr>
      </w:pPr>
      <w:bookmarkStart w:id="60" w:name="_Hlk82694006"/>
      <w:r>
        <w:rPr>
          <w:rFonts w:hint="eastAsia"/>
          <w:color w:val="000000" w:themeColor="text1"/>
          <w:highlight w:val="none"/>
          <w:lang w:val="en-US" w:eastAsia="zh-CN"/>
        </w:rPr>
        <w:t>近几年，鹤岗市呈现出经济发展止跌向好的态势，发展后劲明显增强、民生持续改善、社会安定和谐、各项事业稳步发展。但交通基础设施相对落后，鹤岗距省城哈尔滨公路距离589公里。只有铁路和公路两种对外交通方式。</w:t>
      </w:r>
    </w:p>
    <w:p w14:paraId="75DE3BD3">
      <w:pPr>
        <w:pageBreakBefore w:val="0"/>
        <w:wordWrap/>
        <w:topLinePunct w:val="0"/>
        <w:bidi w:val="0"/>
        <w:spacing w:line="360" w:lineRule="auto"/>
        <w:jc w:val="left"/>
        <w:rPr>
          <w:rFonts w:hint="eastAsia"/>
          <w:color w:val="000000" w:themeColor="text1"/>
          <w:highlight w:val="none"/>
        </w:rPr>
      </w:pPr>
      <w:r>
        <w:rPr>
          <w:rFonts w:hint="eastAsia"/>
          <w:color w:val="000000" w:themeColor="text1"/>
          <w:highlight w:val="none"/>
          <w:lang w:val="en-US" w:eastAsia="zh-CN"/>
        </w:rPr>
        <w:t>鹤岗市社会经济的高速发展对航空运输提出了迫切的要求。黑龙江省委、省政府高瞻远瞩，从振兴东北老工业基地和资源型城市转型的战略高度，着眼于鹤岗市资源的综合开发和经济的长远发展，批准提出鹤岗机场项目的建设，主要服务于发展鹤岗市（含萝北、绥滨）、宝泉岭农管局等地区经济，拉动鹤岗煤炭、石墨工业区的建设，改善鹤岗周边各市县的交通和投资环境，方便该地区公、商务出行，兼顾发展通用航空事业。</w:t>
      </w:r>
    </w:p>
    <w:p w14:paraId="5E792481">
      <w:pPr>
        <w:pageBreakBefore w:val="0"/>
        <w:wordWrap/>
        <w:topLinePunct w:val="0"/>
        <w:bidi w:val="0"/>
        <w:spacing w:line="360" w:lineRule="auto"/>
        <w:jc w:val="left"/>
        <w:rPr>
          <w:rFonts w:hint="eastAsia"/>
          <w:color w:val="000000" w:themeColor="text1"/>
          <w:highlight w:val="none"/>
          <w:lang w:val="en-US" w:eastAsia="zh-CN"/>
        </w:rPr>
      </w:pPr>
      <w:r>
        <w:rPr>
          <w:rFonts w:hint="eastAsia"/>
          <w:color w:val="000000" w:themeColor="text1"/>
          <w:highlight w:val="none"/>
          <w:lang w:val="en-US" w:eastAsia="zh-CN"/>
        </w:rPr>
        <w:t>为配合黑龙江省鹤岗机场建设，现结合机场周边国、省道路网规划，拟修建一条机场</w:t>
      </w:r>
      <w:r>
        <w:rPr>
          <w:rFonts w:hint="eastAsia" w:ascii="Times New Roman" w:hAnsi="Times New Roman" w:eastAsia="宋体"/>
          <w:snapToGrid/>
          <w:color w:val="000000" w:themeColor="text1"/>
          <w:spacing w:val="0"/>
          <w:kern w:val="2"/>
          <w:highlight w:val="none"/>
        </w:rPr>
        <w:t>进场路</w:t>
      </w:r>
      <w:r>
        <w:rPr>
          <w:rFonts w:hint="eastAsia"/>
          <w:color w:val="000000" w:themeColor="text1"/>
          <w:highlight w:val="none"/>
          <w:lang w:val="en-US" w:eastAsia="zh-CN"/>
        </w:rPr>
        <w:t>，主要功能为连接鹤岗机场与鹤名公路，以保证各方交通均可快速、顺利的抵达鹤岗机场。</w:t>
      </w:r>
    </w:p>
    <w:p w14:paraId="2CA7710E">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color w:val="000000" w:themeColor="text1"/>
          <w:highlight w:val="none"/>
          <w:lang w:val="en-US" w:eastAsia="zh-CN"/>
        </w:rPr>
      </w:pPr>
      <w:r>
        <w:rPr>
          <w:rFonts w:hint="eastAsia"/>
          <w:color w:val="000000" w:themeColor="text1"/>
          <w:highlight w:val="none"/>
          <w:lang w:val="en-US" w:eastAsia="zh-CN"/>
        </w:rPr>
        <w:t>本工程是新建鹤岗机场的进场路，起点为G332，终点为鹤岗机场，本工程西距鹤岗市区18km，东距宝泉岭6km，是连接鹤岗市、宝泉岭和机场的重要通道。本项目的建设对完善鹤岗航空机场交通环境，改善招商投资环境，发展鹤岗旅游业，促进地方经济发展有着重大意义。</w:t>
      </w:r>
    </w:p>
    <w:p w14:paraId="4DF52B9C">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color w:val="000000" w:themeColor="text1"/>
          <w:highlight w:val="none"/>
          <w:lang w:val="en-US" w:eastAsia="zh-CN"/>
        </w:rPr>
      </w:pPr>
      <w:r>
        <w:rPr>
          <w:rFonts w:hint="eastAsia"/>
          <w:color w:val="000000" w:themeColor="text1"/>
          <w:highlight w:val="none"/>
          <w:lang w:val="en-US" w:eastAsia="zh-CN"/>
        </w:rPr>
        <w:t>本项目为</w:t>
      </w:r>
      <w:r>
        <w:rPr>
          <w:rFonts w:hint="eastAsia"/>
          <w:color w:val="000000" w:themeColor="text1"/>
          <w:sz w:val="24"/>
          <w:szCs w:val="24"/>
          <w:highlight w:val="none"/>
          <w:lang w:val="en-US" w:eastAsia="zh-CN"/>
        </w:rPr>
        <w:t>新建黑龙江鹤岗机场场外配套工程（机场进场路建设工程）项目</w:t>
      </w:r>
      <w:r>
        <w:rPr>
          <w:rFonts w:hint="eastAsia"/>
          <w:color w:val="000000" w:themeColor="text1"/>
          <w:highlight w:val="none"/>
          <w:lang w:val="en-US" w:eastAsia="zh-CN"/>
        </w:rPr>
        <w:t>，道路长度约6.541km，其中新建机场进场路主线长度6.323km，起点位于G332国道鹤名公路（桩号K87+167）与现状土路交口处，终点接至机场主入口，设计速度60km/h，路基宽度为12.0m，路面宽度10.5m，沥青混凝土路面，为二级公路标准。设置连接线一条，起点位于进场路K6+220.802处，终点与机场规划消防建筑场坪入口相接，全长0.218km，设计速度60km/h，路基宽度为12.0m，路面宽度10.5m，沥青混凝土路面，为二级公路标准。</w:t>
      </w:r>
    </w:p>
    <w:bookmarkEnd w:id="60"/>
    <w:p w14:paraId="1094190D">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color w:val="000000" w:themeColor="text1"/>
          <w:highlight w:val="none"/>
          <w:vertAlign w:val="baseline"/>
          <w:lang w:val="en-US"/>
        </w:rPr>
      </w:pPr>
      <w:r>
        <w:rPr>
          <w:rFonts w:hint="eastAsia"/>
          <w:color w:val="000000" w:themeColor="text1"/>
          <w:highlight w:val="none"/>
          <w:lang w:val="en-US" w:eastAsia="zh-CN"/>
        </w:rPr>
        <w:t>根据鹤岗市</w:t>
      </w:r>
      <w:r>
        <w:rPr>
          <w:rFonts w:hint="eastAsia"/>
          <w:color w:val="000000" w:themeColor="text1"/>
          <w:highlight w:val="none"/>
        </w:rPr>
        <w:t>自然资源</w:t>
      </w:r>
      <w:r>
        <w:rPr>
          <w:rFonts w:hint="eastAsia"/>
          <w:color w:val="000000" w:themeColor="text1"/>
          <w:highlight w:val="none"/>
          <w:lang w:val="en-US" w:eastAsia="zh-CN"/>
        </w:rPr>
        <w:t>局2023年12月5日出具的《建设项目用地预审与选址意见书》（用字第230400202300016号），项目名称为新建黑龙江鹤岗机场场外配套工程项目，建设规模为机场进场路长度6517.0m，消防通道长度820.5m；其中机场进场路拟用地面积146965.9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。根据</w:t>
      </w:r>
      <w:r>
        <w:rPr>
          <w:rFonts w:hint="eastAsia"/>
          <w:color w:val="000000" w:themeColor="text1"/>
          <w:highlight w:val="none"/>
        </w:rPr>
        <w:t>《自然资源部办公厅关于新建黑龙江鹤岗机场项目建设用地预审意见的函</w:t>
      </w:r>
      <w:r>
        <w:rPr>
          <w:rFonts w:hint="eastAsia"/>
          <w:color w:val="000000" w:themeColor="text1"/>
          <w:highlight w:val="none"/>
          <w:lang w:eastAsia="zh-CN"/>
        </w:rPr>
        <w:t>》</w:t>
      </w:r>
      <w:r>
        <w:rPr>
          <w:rFonts w:hint="eastAsia"/>
          <w:color w:val="000000" w:themeColor="text1"/>
          <w:highlight w:val="none"/>
        </w:rPr>
        <w:t>（自然资办函〔202</w:t>
      </w:r>
      <w:r>
        <w:rPr>
          <w:rFonts w:hint="eastAsia"/>
          <w:color w:val="000000" w:themeColor="text1"/>
          <w:highlight w:val="none"/>
          <w:lang w:val="en-US" w:eastAsia="zh-CN"/>
        </w:rPr>
        <w:t>3</w:t>
      </w:r>
      <w:r>
        <w:rPr>
          <w:rFonts w:hint="eastAsia"/>
          <w:color w:val="000000" w:themeColor="text1"/>
          <w:highlight w:val="none"/>
        </w:rPr>
        <w:t>〕1655号）</w:t>
      </w:r>
      <w:r>
        <w:rPr>
          <w:rFonts w:hint="eastAsia"/>
          <w:color w:val="000000" w:themeColor="text1"/>
          <w:highlight w:val="none"/>
          <w:lang w:val="en-US" w:eastAsia="zh-CN"/>
        </w:rPr>
        <w:t>及机场环评</w:t>
      </w:r>
      <w:r>
        <w:rPr>
          <w:rFonts w:hint="eastAsia"/>
          <w:color w:val="000000" w:themeColor="text1"/>
          <w:highlight w:val="none"/>
          <w:lang w:eastAsia="zh-CN"/>
        </w:rPr>
        <w:t>，</w:t>
      </w:r>
      <w:r>
        <w:rPr>
          <w:rFonts w:hint="eastAsia"/>
          <w:color w:val="000000" w:themeColor="text1"/>
          <w:highlight w:val="none"/>
          <w:lang w:val="en-US" w:eastAsia="zh-CN"/>
        </w:rPr>
        <w:t>新建黑龙江鹤岗机场项目共占用永久基本农田31.64公顷，其中进场道路占用永久基本农田9.9014公顷</w:t>
      </w:r>
      <w:r>
        <w:rPr>
          <w:rFonts w:hint="eastAsia"/>
          <w:color w:val="000000" w:themeColor="text1"/>
          <w:highlight w:val="none"/>
          <w:lang w:eastAsia="zh-CN"/>
        </w:rPr>
        <w:t>。</w:t>
      </w:r>
      <w:r>
        <w:rPr>
          <w:rFonts w:hint="eastAsia"/>
          <w:color w:val="000000" w:themeColor="text1"/>
          <w:highlight w:val="none"/>
          <w:lang w:val="en-US" w:eastAsia="zh-CN"/>
        </w:rPr>
        <w:t>根据后续设计，将本项目建设内容按实际情况进行了调整，于2025年3月6日进行备案（项目代码：2503-230406-04-01-696953），项目名称调整为新建黑龙江鹤岗机场场外配套工程（机场进场路建设工程）项目；初步设计于2025年3月3日取得批复，建设规模及内容为线路长度约6.541km（其中新建机场进场路主线长度6.323km，连接线全长0.218km），不包含消防道路；拟用地面积179925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。在项目施工图设计过程中，根据实际情况，核算出用地面积约为191083m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其中永久基本农田120213m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），项目新增永久基本农田21199m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，征占手续正在办理中。</w:t>
      </w:r>
    </w:p>
    <w:p w14:paraId="7E889016">
      <w:pPr>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rPr>
      </w:pPr>
      <w:r>
        <w:rPr>
          <w:color w:val="000000" w:themeColor="text1"/>
          <w:highlight w:val="none"/>
        </w:rPr>
        <w:t>根据《中华人民共和国环境保护法》和《中华人民共和国环境影响评价法》的有关要求，</w:t>
      </w:r>
      <w:r>
        <w:rPr>
          <w:rFonts w:hint="eastAsia"/>
          <w:color w:val="000000" w:themeColor="text1"/>
          <w:highlight w:val="none"/>
          <w:lang w:val="en-US" w:eastAsia="zh-CN"/>
        </w:rPr>
        <w:t>鹤岗宝泉机场建设有限公司</w:t>
      </w:r>
      <w:r>
        <w:rPr>
          <w:color w:val="000000" w:themeColor="text1"/>
          <w:highlight w:val="none"/>
        </w:rPr>
        <w:t>委托</w:t>
      </w:r>
      <w:r>
        <w:rPr>
          <w:rFonts w:hint="eastAsia" w:cs="Times New Roman"/>
          <w:color w:val="000000" w:themeColor="text1"/>
          <w:sz w:val="24"/>
          <w:szCs w:val="24"/>
          <w:highlight w:val="none"/>
          <w:lang w:val="en-US" w:eastAsia="zh-CN"/>
        </w:rPr>
        <w:t>天津华北工程管理有限公司</w:t>
      </w:r>
      <w:r>
        <w:rPr>
          <w:color w:val="000000" w:themeColor="text1"/>
          <w:highlight w:val="none"/>
        </w:rPr>
        <w:t>承担</w:t>
      </w:r>
      <w:r>
        <w:rPr>
          <w:rFonts w:hint="eastAsia"/>
          <w:color w:val="000000" w:themeColor="text1"/>
          <w:sz w:val="24"/>
          <w:szCs w:val="24"/>
          <w:highlight w:val="none"/>
          <w:lang w:val="en-US" w:eastAsia="zh-CN"/>
        </w:rPr>
        <w:t>新建黑龙江鹤岗机场场外配套工程（机场进场路建设工程）项目</w:t>
      </w:r>
      <w:r>
        <w:rPr>
          <w:color w:val="000000" w:themeColor="text1"/>
          <w:highlight w:val="none"/>
        </w:rPr>
        <w:t>的环境影响评价工作。接受委托后，项目组展开细致现场工作，包括收集资料、现场调研、现状监测、数据处理、预测分析等，编制完成了《</w:t>
      </w:r>
      <w:r>
        <w:rPr>
          <w:rFonts w:hint="eastAsia"/>
          <w:color w:val="000000" w:themeColor="text1"/>
          <w:sz w:val="24"/>
          <w:szCs w:val="24"/>
          <w:highlight w:val="none"/>
          <w:lang w:val="en-US" w:eastAsia="zh-CN"/>
        </w:rPr>
        <w:t>新建黑龙江鹤岗机场场外配套工程（机场进场路建设工程）项目</w:t>
      </w:r>
      <w:r>
        <w:rPr>
          <w:color w:val="000000" w:themeColor="text1"/>
          <w:highlight w:val="none"/>
        </w:rPr>
        <w:t>环境影响报告书》，现提交主管部门审查。</w:t>
      </w:r>
    </w:p>
    <w:p w14:paraId="394E70B9">
      <w:pPr>
        <w:pStyle w:val="3"/>
        <w:pageBreakBefore w:val="0"/>
        <w:wordWrap/>
        <w:topLinePunct w:val="0"/>
        <w:bidi w:val="0"/>
        <w:spacing w:before="12" w:after="120" w:line="360" w:lineRule="auto"/>
        <w:rPr>
          <w:color w:val="000000" w:themeColor="text1"/>
          <w:highlight w:val="none"/>
        </w:rPr>
      </w:pPr>
      <w:bookmarkStart w:id="61" w:name="_Toc16431"/>
      <w:bookmarkStart w:id="62" w:name="_Toc451873532"/>
      <w:bookmarkStart w:id="63" w:name="_Toc348953397"/>
      <w:bookmarkStart w:id="64" w:name="_Toc14466"/>
      <w:bookmarkStart w:id="65" w:name="_Toc23207"/>
      <w:bookmarkStart w:id="66" w:name="_Toc12013"/>
      <w:r>
        <w:rPr>
          <w:rFonts w:hint="eastAsia"/>
          <w:color w:val="000000" w:themeColor="text1"/>
          <w:highlight w:val="none"/>
        </w:rPr>
        <w:t>1.2</w:t>
      </w:r>
      <w:r>
        <w:rPr>
          <w:color w:val="000000" w:themeColor="text1"/>
          <w:highlight w:val="none"/>
        </w:rPr>
        <w:t>项目特点</w:t>
      </w:r>
      <w:bookmarkEnd w:id="61"/>
      <w:bookmarkEnd w:id="62"/>
      <w:bookmarkEnd w:id="63"/>
      <w:bookmarkEnd w:id="64"/>
      <w:bookmarkEnd w:id="65"/>
      <w:bookmarkEnd w:id="66"/>
    </w:p>
    <w:p w14:paraId="7F550098">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color w:val="000000" w:themeColor="text1"/>
          <w:highlight w:val="none"/>
          <w:lang w:val="en-US"/>
        </w:rPr>
      </w:pPr>
      <w:bookmarkStart w:id="67" w:name="_Toc28142"/>
      <w:bookmarkStart w:id="68" w:name="_Toc518574350"/>
      <w:bookmarkStart w:id="69" w:name="_Toc9623"/>
      <w:bookmarkStart w:id="70" w:name="_Toc491064026"/>
      <w:bookmarkStart w:id="71" w:name="_Toc348953398"/>
      <w:bookmarkStart w:id="72" w:name="_Toc451873533"/>
      <w:r>
        <w:rPr>
          <w:color w:val="000000" w:themeColor="text1"/>
          <w:highlight w:val="none"/>
        </w:rPr>
        <w:t>（1）本项目为新建</w:t>
      </w:r>
      <w:r>
        <w:rPr>
          <w:rFonts w:hint="eastAsia"/>
          <w:color w:val="000000" w:themeColor="text1"/>
          <w:highlight w:val="none"/>
          <w:lang w:val="en-US" w:eastAsia="zh-CN"/>
        </w:rPr>
        <w:t>等级</w:t>
      </w:r>
      <w:r>
        <w:rPr>
          <w:color w:val="000000" w:themeColor="text1"/>
          <w:highlight w:val="none"/>
        </w:rPr>
        <w:t>公路工程，属于E4812公路工程建筑</w:t>
      </w:r>
      <w:r>
        <w:rPr>
          <w:rFonts w:hint="eastAsia"/>
          <w:color w:val="000000" w:themeColor="text1"/>
          <w:highlight w:val="none"/>
        </w:rPr>
        <w:t>。</w:t>
      </w:r>
      <w:r>
        <w:rPr>
          <w:rFonts w:hint="eastAsia" w:ascii="Times New Roman" w:hAnsi="宋体"/>
          <w:color w:val="000000" w:themeColor="text1"/>
          <w:sz w:val="24"/>
          <w:szCs w:val="24"/>
          <w:highlight w:val="none"/>
          <w:lang w:val="en-US" w:eastAsia="zh-CN"/>
        </w:rPr>
        <w:t>新建机场</w:t>
      </w:r>
      <w:r>
        <w:rPr>
          <w:rFonts w:hint="eastAsia"/>
          <w:color w:val="000000" w:themeColor="text1"/>
          <w:highlight w:val="none"/>
          <w:lang w:val="en-US" w:eastAsia="zh-CN"/>
        </w:rPr>
        <w:t>进场路道路长度约6.541km，其中新建机场进场路主线长度6.323km，起点位于G332国道鹤名公路（桩号K87+167）与现状土路交口处，终点接至机场主入口，设计速度60km/h，路基宽度为12.0m，路面宽度10.5m，沥青混凝土路面，为二级公路标准。设置连接线一条，起点位于进场路K6+220.802处，终点与机场规划消防建筑场坪入口相接，全长0.218km，设计速度60km/h，路基宽度为12.0m，路面宽度10.5m，沥青混凝土路面，为二级公路标准。</w:t>
      </w:r>
      <w:r>
        <w:rPr>
          <w:rFonts w:hint="eastAsia" w:ascii="Times New Roman" w:hAnsi="宋体"/>
          <w:color w:val="000000" w:themeColor="text1"/>
          <w:sz w:val="24"/>
          <w:szCs w:val="24"/>
          <w:highlight w:val="none"/>
          <w:lang w:val="en-US" w:eastAsia="zh-CN"/>
        </w:rPr>
        <w:t>设</w:t>
      </w:r>
      <w:r>
        <w:rPr>
          <w:rFonts w:hint="eastAsia" w:hAnsi="宋体"/>
          <w:color w:val="000000" w:themeColor="text1"/>
          <w:sz w:val="24"/>
          <w:szCs w:val="24"/>
          <w:highlight w:val="none"/>
          <w:lang w:val="en-US" w:eastAsia="zh-CN"/>
        </w:rPr>
        <w:t>大桥、</w:t>
      </w:r>
      <w:r>
        <w:rPr>
          <w:rFonts w:hint="eastAsia" w:ascii="Times New Roman" w:hAnsi="宋体"/>
          <w:color w:val="000000" w:themeColor="text1"/>
          <w:sz w:val="24"/>
          <w:szCs w:val="24"/>
          <w:highlight w:val="none"/>
          <w:lang w:val="en-US" w:eastAsia="zh-CN"/>
        </w:rPr>
        <w:t>中桥、小桥各一座，不设养护区</w:t>
      </w:r>
      <w:r>
        <w:rPr>
          <w:rFonts w:hint="eastAsia" w:hAnsi="宋体"/>
          <w:color w:val="000000" w:themeColor="text1"/>
          <w:sz w:val="24"/>
          <w:szCs w:val="24"/>
          <w:highlight w:val="none"/>
          <w:lang w:val="en-US" w:eastAsia="zh-CN"/>
        </w:rPr>
        <w:t>、</w:t>
      </w:r>
      <w:r>
        <w:rPr>
          <w:rFonts w:hint="eastAsia" w:ascii="Times New Roman" w:hAnsi="宋体"/>
          <w:color w:val="000000" w:themeColor="text1"/>
          <w:sz w:val="24"/>
          <w:szCs w:val="24"/>
          <w:highlight w:val="none"/>
          <w:lang w:val="en-US" w:eastAsia="zh-CN"/>
        </w:rPr>
        <w:t>服务区</w:t>
      </w:r>
      <w:r>
        <w:rPr>
          <w:rFonts w:hint="eastAsia" w:hAnsi="宋体"/>
          <w:color w:val="000000" w:themeColor="text1"/>
          <w:sz w:val="24"/>
          <w:szCs w:val="24"/>
          <w:highlight w:val="none"/>
          <w:lang w:val="en-US" w:eastAsia="zh-CN"/>
        </w:rPr>
        <w:t>、收费站和加油站</w:t>
      </w:r>
      <w:r>
        <w:rPr>
          <w:rFonts w:hint="eastAsia" w:ascii="Times New Roman" w:hAnsi="宋体"/>
          <w:color w:val="000000" w:themeColor="text1"/>
          <w:sz w:val="24"/>
          <w:szCs w:val="24"/>
          <w:highlight w:val="none"/>
          <w:lang w:val="en-US" w:eastAsia="zh-CN"/>
        </w:rPr>
        <w:t>。</w:t>
      </w:r>
    </w:p>
    <w:p w14:paraId="4EE38C54">
      <w:pPr>
        <w:pageBreakBefore w:val="0"/>
        <w:widowControl/>
        <w:wordWrap/>
        <w:topLinePunct w:val="0"/>
        <w:bidi w:val="0"/>
        <w:spacing w:line="360" w:lineRule="auto"/>
        <w:jc w:val="left"/>
        <w:rPr>
          <w:rFonts w:hint="eastAsia"/>
          <w:color w:val="000000" w:themeColor="text1"/>
          <w:highlight w:val="none"/>
          <w:lang w:val="en-US" w:eastAsia="zh-CN"/>
        </w:rPr>
      </w:pPr>
      <w:r>
        <w:rPr>
          <w:color w:val="000000" w:themeColor="text1"/>
          <w:highlight w:val="none"/>
        </w:rPr>
        <w:t>（</w:t>
      </w:r>
      <w:r>
        <w:rPr>
          <w:rFonts w:hint="eastAsia"/>
          <w:color w:val="000000" w:themeColor="text1"/>
          <w:highlight w:val="none"/>
        </w:rPr>
        <w:t>2</w:t>
      </w:r>
      <w:r>
        <w:rPr>
          <w:color w:val="000000" w:themeColor="text1"/>
          <w:highlight w:val="none"/>
        </w:rPr>
        <w:t>）本项目为</w:t>
      </w:r>
      <w:r>
        <w:rPr>
          <w:rFonts w:hint="eastAsia"/>
          <w:color w:val="000000" w:themeColor="text1"/>
          <w:highlight w:val="none"/>
          <w:lang w:eastAsia="zh-CN"/>
        </w:rPr>
        <w:t>“</w:t>
      </w:r>
      <w:r>
        <w:rPr>
          <w:color w:val="000000" w:themeColor="text1"/>
          <w:highlight w:val="none"/>
        </w:rPr>
        <w:t>线形</w:t>
      </w:r>
      <w:r>
        <w:rPr>
          <w:rFonts w:hint="eastAsia"/>
          <w:color w:val="000000" w:themeColor="text1"/>
          <w:highlight w:val="none"/>
          <w:lang w:eastAsia="zh-CN"/>
        </w:rPr>
        <w:t>”</w:t>
      </w:r>
      <w:r>
        <w:rPr>
          <w:color w:val="000000" w:themeColor="text1"/>
          <w:highlight w:val="none"/>
        </w:rPr>
        <w:t>走向，一般环境影响特点</w:t>
      </w:r>
      <w:r>
        <w:rPr>
          <w:rFonts w:hint="eastAsia"/>
          <w:color w:val="000000" w:themeColor="text1"/>
          <w:highlight w:val="none"/>
        </w:rPr>
        <w:t>为</w:t>
      </w:r>
      <w:r>
        <w:rPr>
          <w:color w:val="000000" w:themeColor="text1"/>
          <w:highlight w:val="none"/>
        </w:rPr>
        <w:t>局部影响范围较窄、主要集中在线路两侧</w:t>
      </w:r>
      <w:r>
        <w:rPr>
          <w:rFonts w:hint="eastAsia"/>
          <w:color w:val="000000" w:themeColor="text1"/>
          <w:highlight w:val="none"/>
        </w:rPr>
        <w:t>的特点</w:t>
      </w:r>
      <w:r>
        <w:rPr>
          <w:color w:val="000000" w:themeColor="text1"/>
          <w:highlight w:val="none"/>
        </w:rPr>
        <w:t>。</w:t>
      </w:r>
      <w:r>
        <w:rPr>
          <w:rFonts w:hint="eastAsia"/>
          <w:color w:val="000000" w:themeColor="text1"/>
          <w:highlight w:val="none"/>
          <w:lang w:val="en-US" w:eastAsia="zh-CN"/>
        </w:rPr>
        <w:t>项目所在区域地貌属鹤岗东部平原地区，区段地势平坦开阔，根据现场勘查，路线沿线以农业生态系统为主，分布有少量林地和村庄。</w:t>
      </w:r>
    </w:p>
    <w:p w14:paraId="4DDD24EE">
      <w:pPr>
        <w:pageBreakBefore w:val="0"/>
        <w:widowControl/>
        <w:wordWrap/>
        <w:topLinePunct w:val="0"/>
        <w:bidi w:val="0"/>
        <w:spacing w:line="360" w:lineRule="auto"/>
        <w:jc w:val="left"/>
        <w:rPr>
          <w:rFonts w:hint="default"/>
          <w:color w:val="000000" w:themeColor="text1"/>
          <w:highlight w:val="none"/>
          <w:lang w:val="en-US" w:eastAsia="zh-CN"/>
        </w:rPr>
      </w:pPr>
      <w:r>
        <w:rPr>
          <w:rFonts w:hint="eastAsia" w:ascii="宋体" w:hAnsi="宋体" w:eastAsia="宋体" w:cs="宋体"/>
          <w:color w:val="000000" w:themeColor="text1"/>
          <w:highlight w:val="none"/>
          <w:lang w:val="en-US" w:eastAsia="zh-CN"/>
        </w:rPr>
        <w:t>①</w:t>
      </w:r>
      <w:r>
        <w:rPr>
          <w:rFonts w:hint="eastAsia"/>
          <w:color w:val="000000" w:themeColor="text1"/>
          <w:highlight w:val="none"/>
          <w:lang w:val="en-US" w:eastAsia="zh-CN"/>
        </w:rPr>
        <w:t>本项目不涉及国家公园、自然保护区、风景名胜区、世界文化和自然遗产地、海洋特别保护区、饮用水水源保护区，不涉及生态保护红线管控范围、基本草原、自然公园（森林公园、地质公园、海洋公园等）、重要湿地、天然林，重点保护野生动物栖息地，重点保护野生植物生长繁殖地，重要水生生物的自然产卵场、索饵场、越冬场和洄游通道，天然渔场，沙化土地封禁保护区、封闭及半封闭海域；不涉及以居住、医疗卫生、文化教育、科研、行政办公为主要功能的区域，以及文物保护单位。本项目涉及的生态环境敏感区主要为东北漫川漫岗省级水土流失重点治理区和鹤岗市水土流失重点预防区以及永久基本农田。</w:t>
      </w:r>
    </w:p>
    <w:p w14:paraId="3CC8BB59">
      <w:pPr>
        <w:pageBreakBefore w:val="0"/>
        <w:widowControl/>
        <w:wordWrap/>
        <w:topLinePunct w:val="0"/>
        <w:bidi w:val="0"/>
        <w:spacing w:line="360" w:lineRule="auto"/>
        <w:jc w:val="left"/>
        <w:rPr>
          <w:rFonts w:hint="eastAsia"/>
          <w:color w:val="000000" w:themeColor="text1"/>
          <w:highlight w:val="none"/>
          <w:lang w:val="en-US" w:eastAsia="zh-CN"/>
        </w:rPr>
      </w:pPr>
      <w:r>
        <w:rPr>
          <w:rFonts w:hint="eastAsia" w:ascii="宋体" w:hAnsi="宋体" w:eastAsia="宋体" w:cs="宋体"/>
          <w:color w:val="000000" w:themeColor="text1"/>
          <w:highlight w:val="none"/>
          <w:lang w:val="en-US" w:eastAsia="zh-CN"/>
        </w:rPr>
        <w:t>②</w:t>
      </w:r>
      <w:r>
        <w:rPr>
          <w:rFonts w:hint="eastAsia"/>
          <w:color w:val="000000" w:themeColor="text1"/>
          <w:highlight w:val="none"/>
          <w:lang w:val="en-US" w:eastAsia="zh-CN"/>
        </w:rPr>
        <w:t>地表水环境保护目标</w:t>
      </w:r>
    </w:p>
    <w:p w14:paraId="3B605FF4">
      <w:pPr>
        <w:pageBreakBefore w:val="0"/>
        <w:widowControl/>
        <w:wordWrap/>
        <w:topLinePunct w:val="0"/>
        <w:bidi w:val="0"/>
        <w:spacing w:line="360" w:lineRule="auto"/>
        <w:jc w:val="left"/>
        <w:rPr>
          <w:rFonts w:hint="eastAsia"/>
          <w:color w:val="000000" w:themeColor="text1"/>
          <w:highlight w:val="none"/>
          <w:lang w:val="en-US" w:eastAsia="zh-CN"/>
        </w:rPr>
      </w:pPr>
      <w:r>
        <w:rPr>
          <w:rFonts w:hint="eastAsia"/>
          <w:color w:val="000000" w:themeColor="text1"/>
          <w:highlight w:val="none"/>
          <w:lang w:val="en-US" w:eastAsia="zh-CN"/>
        </w:rPr>
        <w:t>本项目涉及水体主要为</w:t>
      </w:r>
      <w:r>
        <w:rPr>
          <w:rFonts w:hint="default"/>
          <w:color w:val="000000" w:themeColor="text1"/>
          <w:highlight w:val="none"/>
          <w:lang w:val="en-US" w:eastAsia="zh-CN"/>
        </w:rPr>
        <w:t>路北一支干渠</w:t>
      </w:r>
      <w:r>
        <w:rPr>
          <w:rFonts w:hint="eastAsia"/>
          <w:color w:val="000000" w:themeColor="text1"/>
          <w:highlight w:val="none"/>
          <w:lang w:val="en-US" w:eastAsia="zh-CN"/>
        </w:rPr>
        <w:t>和朝鲜河，</w:t>
      </w:r>
      <w:r>
        <w:rPr>
          <w:rFonts w:hint="default"/>
          <w:color w:val="000000" w:themeColor="text1"/>
          <w:highlight w:val="none"/>
          <w:lang w:val="en-US" w:eastAsia="zh-CN"/>
        </w:rPr>
        <w:t>路北一支干渠</w:t>
      </w:r>
      <w:r>
        <w:rPr>
          <w:rFonts w:hint="eastAsia"/>
          <w:color w:val="000000" w:themeColor="text1"/>
          <w:highlight w:val="none"/>
          <w:lang w:val="en-US" w:eastAsia="zh-CN"/>
        </w:rPr>
        <w:t>用于农田灌溉，均未划分水功能区，朝鲜河最终汇入梧桐河，梧桐河地表水体功能区划</w:t>
      </w:r>
      <w:r>
        <w:rPr>
          <w:rFonts w:hint="default" w:ascii="Times New Roman" w:hAnsi="Times New Roman" w:cs="Times New Roman"/>
          <w:color w:val="000000" w:themeColor="text1"/>
          <w:highlight w:val="none"/>
          <w:lang w:val="en-US" w:eastAsia="zh-CN"/>
        </w:rPr>
        <w:t>为</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类水体，</w:t>
      </w:r>
      <w:r>
        <w:rPr>
          <w:rFonts w:hint="eastAsia" w:cs="Times New Roman"/>
          <w:color w:val="000000" w:themeColor="text1"/>
          <w:highlight w:val="none"/>
          <w:lang w:val="en-US" w:eastAsia="zh-CN"/>
        </w:rPr>
        <w:t>因此朝鲜河执行</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ascii="Times New Roman" w:hAnsi="Times New Roman" w:cs="Times New Roman"/>
          <w:color w:val="000000" w:themeColor="text1"/>
          <w:highlight w:val="none"/>
          <w:lang w:val="en-US" w:eastAsia="zh-CN"/>
        </w:rPr>
        <w:t>标准。</w:t>
      </w:r>
      <w:r>
        <w:rPr>
          <w:rFonts w:hint="default" w:ascii="Times New Roman" w:hAnsi="Times New Roman" w:cs="Times New Roman"/>
          <w:color w:val="000000" w:themeColor="text1"/>
          <w:highlight w:val="none"/>
          <w:lang w:val="en-US" w:eastAsia="zh-CN"/>
        </w:rPr>
        <w:t>根据地表水现状调查，本项目桥梁跨越河段水质现状</w:t>
      </w:r>
      <w:r>
        <w:rPr>
          <w:rFonts w:hint="eastAsia" w:cs="Times New Roman"/>
          <w:color w:val="000000" w:themeColor="text1"/>
          <w:highlight w:val="none"/>
          <w:lang w:val="en-US" w:eastAsia="zh-CN"/>
        </w:rPr>
        <w:t>目标为</w:t>
      </w:r>
      <w:r>
        <w:rPr>
          <w:rFonts w:hint="default" w:ascii="Times New Roman" w:hAnsi="Times New Roman" w:cs="Times New Roman"/>
          <w:color w:val="000000" w:themeColor="text1"/>
          <w:highlight w:val="none"/>
          <w:lang w:val="en-US" w:eastAsia="zh-CN"/>
        </w:rPr>
        <w:t>《</w:t>
      </w:r>
      <w:r>
        <w:rPr>
          <w:rFonts w:hint="eastAsia"/>
          <w:color w:val="000000" w:themeColor="text1"/>
          <w:highlight w:val="none"/>
          <w:lang w:val="en-US" w:eastAsia="zh-CN"/>
        </w:rPr>
        <w:t>地表水环境质量标准》（GB3838-2002）</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color w:val="000000" w:themeColor="text1"/>
          <w:highlight w:val="none"/>
          <w:lang w:val="en-US" w:eastAsia="zh-CN"/>
        </w:rPr>
        <w:t>标准。</w:t>
      </w:r>
    </w:p>
    <w:p w14:paraId="2B8B93CC">
      <w:pPr>
        <w:pageBreakBefore w:val="0"/>
        <w:widowControl/>
        <w:wordWrap/>
        <w:topLinePunct w:val="0"/>
        <w:bidi w:val="0"/>
        <w:spacing w:line="360" w:lineRule="auto"/>
        <w:jc w:val="left"/>
        <w:rPr>
          <w:rFonts w:hint="eastAsia"/>
          <w:color w:val="000000" w:themeColor="text1"/>
          <w:highlight w:val="none"/>
          <w:lang w:val="en-US" w:eastAsia="zh-CN"/>
        </w:rPr>
      </w:pPr>
      <w:r>
        <w:rPr>
          <w:rFonts w:hint="eastAsia" w:ascii="宋体" w:hAnsi="宋体" w:eastAsia="宋体" w:cs="宋体"/>
          <w:color w:val="000000" w:themeColor="text1"/>
          <w:highlight w:val="none"/>
          <w:lang w:val="en-US" w:eastAsia="zh-CN"/>
        </w:rPr>
        <w:t>③</w:t>
      </w:r>
      <w:r>
        <w:rPr>
          <w:rFonts w:hint="eastAsia"/>
          <w:color w:val="000000" w:themeColor="text1"/>
          <w:highlight w:val="none"/>
          <w:lang w:val="en-US" w:eastAsia="zh-CN"/>
        </w:rPr>
        <w:t>生态环境、声环境保护目标、环境空气保护目标</w:t>
      </w:r>
    </w:p>
    <w:p w14:paraId="6DE9BC84">
      <w:pPr>
        <w:pageBreakBefore w:val="0"/>
        <w:widowControl/>
        <w:wordWrap/>
        <w:topLinePunct w:val="0"/>
        <w:bidi w:val="0"/>
        <w:spacing w:line="360" w:lineRule="auto"/>
        <w:jc w:val="left"/>
        <w:rPr>
          <w:rFonts w:hint="eastAsia"/>
          <w:color w:val="000000" w:themeColor="text1"/>
          <w:highlight w:val="none"/>
          <w:lang w:val="en-US" w:eastAsia="zh-CN"/>
        </w:rPr>
      </w:pPr>
      <w:r>
        <w:rPr>
          <w:rFonts w:hint="eastAsia"/>
          <w:color w:val="000000" w:themeColor="text1"/>
          <w:highlight w:val="none"/>
          <w:lang w:val="en-US" w:eastAsia="zh-CN"/>
        </w:rPr>
        <w:t>项目线路中心线向两侧外延300m范围内涉及的生态环境敏感区主要为东北漫川漫岗省级水土流失重点治理区和鹤岗市水土流失重点预防区以及永久基本农田。项目线路中心线两侧200m范围内无声环境及大气环境敏感目标。</w:t>
      </w:r>
    </w:p>
    <w:p w14:paraId="598C59C4">
      <w:pPr>
        <w:pageBreakBefore w:val="0"/>
        <w:widowControl/>
        <w:numPr>
          <w:ilvl w:val="0"/>
          <w:numId w:val="0"/>
        </w:numPr>
        <w:wordWrap/>
        <w:topLinePunct w:val="0"/>
        <w:bidi w:val="0"/>
        <w:spacing w:line="360" w:lineRule="auto"/>
        <w:ind w:firstLine="480" w:firstLineChars="200"/>
        <w:jc w:val="left"/>
        <w:rPr>
          <w:rFonts w:hint="eastAsia"/>
          <w:color w:val="000000" w:themeColor="text1"/>
          <w:highlight w:val="none"/>
          <w:lang w:val="en-US" w:eastAsia="zh-CN"/>
        </w:rPr>
      </w:pPr>
      <w:r>
        <w:rPr>
          <w:rFonts w:hint="eastAsia" w:ascii="Times New Roman" w:hAnsi="Times New Roman" w:eastAsia="宋体" w:cs="Times New Roman"/>
          <w:color w:val="000000" w:themeColor="text1"/>
          <w:kern w:val="2"/>
          <w:sz w:val="24"/>
          <w:szCs w:val="24"/>
          <w:highlight w:val="none"/>
          <w:lang w:val="en-US" w:eastAsia="zh-CN" w:bidi="ar-SA"/>
        </w:rPr>
        <w:t>（3）</w:t>
      </w:r>
      <w:r>
        <w:rPr>
          <w:rFonts w:hint="eastAsia"/>
          <w:color w:val="000000" w:themeColor="text1"/>
          <w:highlight w:val="none"/>
          <w:lang w:val="en-US" w:eastAsia="zh-CN"/>
        </w:rPr>
        <w:t>本项目共设置</w:t>
      </w:r>
      <w:r>
        <w:rPr>
          <w:rFonts w:hint="eastAsia" w:ascii="Times New Roman" w:hAnsi="宋体"/>
          <w:color w:val="000000" w:themeColor="text1"/>
          <w:sz w:val="24"/>
          <w:szCs w:val="24"/>
          <w:highlight w:val="none"/>
          <w:lang w:val="en-US" w:eastAsia="zh-CN"/>
        </w:rPr>
        <w:t>跨沟渠桥（</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）一座</w:t>
      </w:r>
      <w:r>
        <w:rPr>
          <w:rFonts w:hint="eastAsia"/>
          <w:color w:val="000000" w:themeColor="text1"/>
          <w:highlight w:val="none"/>
          <w:lang w:eastAsia="zh-CN"/>
        </w:rPr>
        <w:t>（</w:t>
      </w:r>
      <w:r>
        <w:rPr>
          <w:rFonts w:hint="eastAsia"/>
          <w:color w:val="000000" w:themeColor="text1"/>
          <w:highlight w:val="none"/>
          <w:lang w:val="en-US" w:eastAsia="zh-CN"/>
        </w:rPr>
        <w:t>无</w:t>
      </w:r>
      <w:r>
        <w:rPr>
          <w:color w:val="000000" w:themeColor="text1"/>
          <w:highlight w:val="none"/>
        </w:rPr>
        <w:t>涉水桥墩</w:t>
      </w:r>
      <w:r>
        <w:rPr>
          <w:rFonts w:hint="eastAsia"/>
          <w:color w:val="000000" w:themeColor="text1"/>
          <w:highlight w:val="none"/>
          <w:lang w:eastAsia="zh-CN"/>
        </w:rPr>
        <w:t>）</w:t>
      </w:r>
      <w:r>
        <w:rPr>
          <w:rFonts w:hint="eastAsia" w:ascii="Times New Roman" w:hAnsi="宋体"/>
          <w:color w:val="000000" w:themeColor="text1"/>
          <w:sz w:val="24"/>
          <w:szCs w:val="24"/>
          <w:highlight w:val="none"/>
          <w:lang w:val="en-US" w:eastAsia="zh-CN"/>
        </w:rPr>
        <w:t>、跨铁路大桥（</w:t>
      </w:r>
      <w:r>
        <w:rPr>
          <w:rFonts w:hint="eastAsia"/>
          <w:color w:val="000000" w:themeColor="text1"/>
          <w:highlight w:val="none"/>
          <w:lang w:val="en-US" w:eastAsia="zh-CN"/>
        </w:rPr>
        <w:t>7×30m小箱梁桥</w:t>
      </w:r>
      <w:r>
        <w:rPr>
          <w:rFonts w:hint="eastAsia" w:ascii="Times New Roman" w:hAnsi="宋体"/>
          <w:color w:val="000000" w:themeColor="text1"/>
          <w:sz w:val="24"/>
          <w:szCs w:val="24"/>
          <w:highlight w:val="none"/>
          <w:lang w:val="en-US" w:eastAsia="zh-CN"/>
        </w:rPr>
        <w:t>）一座</w:t>
      </w:r>
      <w:r>
        <w:rPr>
          <w:rFonts w:hint="eastAsia"/>
          <w:color w:val="000000" w:themeColor="text1"/>
          <w:highlight w:val="none"/>
          <w:lang w:eastAsia="zh-CN"/>
        </w:rPr>
        <w:t>（</w:t>
      </w:r>
      <w:r>
        <w:rPr>
          <w:rFonts w:hint="eastAsia"/>
          <w:color w:val="000000" w:themeColor="text1"/>
          <w:highlight w:val="none"/>
          <w:lang w:val="en-US" w:eastAsia="zh-CN"/>
        </w:rPr>
        <w:t>无</w:t>
      </w:r>
      <w:r>
        <w:rPr>
          <w:color w:val="000000" w:themeColor="text1"/>
          <w:highlight w:val="none"/>
        </w:rPr>
        <w:t>涉水桥墩</w:t>
      </w:r>
      <w:r>
        <w:rPr>
          <w:rFonts w:hint="eastAsia"/>
          <w:color w:val="000000" w:themeColor="text1"/>
          <w:highlight w:val="none"/>
          <w:lang w:eastAsia="zh-CN"/>
        </w:rPr>
        <w:t>）（中国铁路哈尔滨局集团有限公司关于鹤岗市新建机场连接线工程跨越鹤北线铁路的复函</w:t>
      </w:r>
      <w:r>
        <w:rPr>
          <w:rFonts w:hint="eastAsia"/>
          <w:color w:val="000000" w:themeColor="text1"/>
          <w:highlight w:val="none"/>
          <w:lang w:val="en-US" w:eastAsia="zh-CN"/>
        </w:rPr>
        <w:t>见附件6</w:t>
      </w:r>
      <w:r>
        <w:rPr>
          <w:rFonts w:hint="eastAsia"/>
          <w:color w:val="000000" w:themeColor="text1"/>
          <w:highlight w:val="none"/>
          <w:lang w:eastAsia="zh-CN"/>
        </w:rPr>
        <w:t>）</w:t>
      </w:r>
      <w:r>
        <w:rPr>
          <w:rFonts w:hint="eastAsia" w:hAnsi="宋体"/>
          <w:color w:val="000000" w:themeColor="text1"/>
          <w:sz w:val="24"/>
          <w:szCs w:val="24"/>
          <w:highlight w:val="none"/>
          <w:lang w:val="en-US" w:eastAsia="zh-CN"/>
        </w:rPr>
        <w:t>、</w:t>
      </w:r>
      <w:r>
        <w:rPr>
          <w:rFonts w:hint="eastAsia" w:ascii="Times New Roman" w:hAnsi="宋体"/>
          <w:color w:val="000000" w:themeColor="text1"/>
          <w:sz w:val="24"/>
          <w:szCs w:val="24"/>
          <w:highlight w:val="none"/>
          <w:lang w:val="en-US" w:eastAsia="zh-CN"/>
        </w:rPr>
        <w:t>跨朝鲜河桥（</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）一座</w:t>
      </w:r>
      <w:r>
        <w:rPr>
          <w:rFonts w:hint="eastAsia"/>
          <w:color w:val="000000" w:themeColor="text1"/>
          <w:highlight w:val="none"/>
          <w:lang w:eastAsia="zh-CN"/>
        </w:rPr>
        <w:t>（</w:t>
      </w:r>
      <w:r>
        <w:rPr>
          <w:color w:val="000000" w:themeColor="text1"/>
          <w:highlight w:val="none"/>
        </w:rPr>
        <w:t>有涉水桥墩</w:t>
      </w:r>
      <w:r>
        <w:rPr>
          <w:rFonts w:hint="eastAsia"/>
          <w:color w:val="000000" w:themeColor="text1"/>
          <w:highlight w:val="none"/>
          <w:lang w:eastAsia="zh-CN"/>
        </w:rPr>
        <w:t>）</w:t>
      </w:r>
      <w:r>
        <w:rPr>
          <w:rFonts w:hint="eastAsia"/>
          <w:color w:val="000000" w:themeColor="text1"/>
          <w:highlight w:val="none"/>
          <w:lang w:val="en-US" w:eastAsia="zh-CN"/>
        </w:rPr>
        <w:t>，12道涵洞。涉水桥涵施工对水生生态会产生一定影响，本项目不涉及重要水生生物的自然产卵场、索饵场、越冬场和洄游通道，天然渔场；本项目道路基层水泥混凝土、面层沥青混凝土均由拌合站供给，沿线桥梁预制件均来源于自建桥梁预制场地。</w:t>
      </w:r>
    </w:p>
    <w:p w14:paraId="1811AD08">
      <w:pPr>
        <w:pageBreakBefore w:val="0"/>
        <w:widowControl/>
        <w:numPr>
          <w:ilvl w:val="0"/>
          <w:numId w:val="0"/>
        </w:numPr>
        <w:wordWrap/>
        <w:topLinePunct w:val="0"/>
        <w:bidi w:val="0"/>
        <w:spacing w:line="360" w:lineRule="auto"/>
        <w:ind w:firstLine="480" w:firstLineChars="200"/>
        <w:jc w:val="left"/>
        <w:rPr>
          <w:rFonts w:hint="eastAsia"/>
          <w:color w:val="000000" w:themeColor="text1"/>
          <w:highlight w:val="none"/>
          <w:lang w:val="en-US" w:eastAsia="zh-CN"/>
        </w:rPr>
      </w:pPr>
      <w:r>
        <w:rPr>
          <w:rFonts w:hint="eastAsia"/>
          <w:color w:val="000000" w:themeColor="text1"/>
          <w:highlight w:val="none"/>
          <w:lang w:val="en-US" w:eastAsia="zh-CN"/>
        </w:rPr>
        <w:t>（4）本项目永久占地共19.1083hm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，其中水田0.6573hm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，（所占耕地均为永久基本农田，合计12.0213hm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color w:val="000000" w:themeColor="text1"/>
          <w:highlight w:val="none"/>
        </w:rPr>
        <w:t>本项目临时占地包括</w:t>
      </w:r>
      <w:r>
        <w:rPr>
          <w:rFonts w:hint="eastAsia"/>
          <w:color w:val="000000" w:themeColor="text1"/>
          <w:highlight w:val="none"/>
          <w:lang w:val="en-US" w:eastAsia="zh-CN"/>
        </w:rPr>
        <w:t>综合站场、施工便道、表土临时堆土场及弃渣场等，临时占地4.37hm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highlight w:val="none"/>
        </w:rPr>
        <w:t>。</w:t>
      </w:r>
    </w:p>
    <w:p w14:paraId="04929A33">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firstLine="480" w:firstLineChars="200"/>
        <w:jc w:val="left"/>
        <w:textAlignment w:val="auto"/>
        <w:rPr>
          <w:rFonts w:hint="eastAsia"/>
          <w:color w:val="000000" w:themeColor="text1"/>
          <w:highlight w:val="none"/>
          <w:lang w:val="en-US" w:eastAsia="zh-CN"/>
        </w:rPr>
      </w:pPr>
      <w:r>
        <w:rPr>
          <w:rFonts w:hint="eastAsia"/>
          <w:color w:val="000000" w:themeColor="text1"/>
          <w:highlight w:val="none"/>
          <w:lang w:val="en-US" w:eastAsia="zh-CN"/>
        </w:rPr>
        <w:t>（5）本工程是新建鹤岗机场的进场路，主要功能为连接鹤岗机场与鹤名公路，以保证各方交通均可快速、顺利的抵达鹤岗机场，同时也为沿线村镇的生活生产提供便捷的交通。</w:t>
      </w:r>
    </w:p>
    <w:p w14:paraId="3D61C534">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firstLine="480" w:firstLineChars="200"/>
        <w:jc w:val="left"/>
        <w:textAlignment w:val="auto"/>
        <w:rPr>
          <w:rFonts w:hint="eastAsia"/>
          <w:color w:val="000000" w:themeColor="text1"/>
          <w:highlight w:val="none"/>
          <w:lang w:val="en-US" w:eastAsia="zh-CN"/>
        </w:rPr>
      </w:pPr>
      <w:r>
        <w:rPr>
          <w:rFonts w:hint="eastAsia"/>
          <w:color w:val="000000" w:themeColor="text1"/>
          <w:highlight w:val="none"/>
          <w:lang w:val="en-US" w:eastAsia="zh-CN"/>
        </w:rPr>
        <w:t>本项目属于生态影响型项目，对环境的影响主要体现在施工期，重点关注道路施工对生态环境造成的影响；运行期主要为交通噪声对沿线的影响。</w:t>
      </w:r>
    </w:p>
    <w:bookmarkEnd w:id="67"/>
    <w:bookmarkEnd w:id="68"/>
    <w:bookmarkEnd w:id="69"/>
    <w:bookmarkEnd w:id="70"/>
    <w:p w14:paraId="07E09CD9">
      <w:pPr>
        <w:pStyle w:val="3"/>
        <w:keepNext w:val="0"/>
        <w:keepLines w:val="0"/>
        <w:pageBreakBefore w:val="0"/>
        <w:kinsoku/>
        <w:wordWrap/>
        <w:overflowPunct/>
        <w:topLinePunct w:val="0"/>
        <w:autoSpaceDE/>
        <w:autoSpaceDN/>
        <w:bidi w:val="0"/>
        <w:adjustRightInd w:val="0"/>
        <w:snapToGrid w:val="0"/>
        <w:spacing w:line="360" w:lineRule="auto"/>
        <w:textAlignment w:val="auto"/>
        <w:rPr>
          <w:color w:val="000000" w:themeColor="text1"/>
          <w:highlight w:val="none"/>
        </w:rPr>
      </w:pPr>
      <w:bookmarkStart w:id="73" w:name="_Toc30150"/>
      <w:bookmarkStart w:id="74" w:name="_Toc11553"/>
      <w:bookmarkStart w:id="75" w:name="_Toc4889"/>
      <w:bookmarkStart w:id="76" w:name="_Toc16723"/>
      <w:r>
        <w:rPr>
          <w:rFonts w:hint="eastAsia"/>
          <w:color w:val="000000" w:themeColor="text1"/>
          <w:highlight w:val="none"/>
        </w:rPr>
        <w:t>1.3</w:t>
      </w:r>
      <w:r>
        <w:rPr>
          <w:color w:val="000000" w:themeColor="text1"/>
          <w:highlight w:val="none"/>
        </w:rPr>
        <w:t>关注的主要环境问题</w:t>
      </w:r>
      <w:bookmarkEnd w:id="71"/>
      <w:bookmarkEnd w:id="72"/>
      <w:bookmarkEnd w:id="73"/>
      <w:bookmarkEnd w:id="74"/>
      <w:bookmarkEnd w:id="75"/>
      <w:r>
        <w:rPr>
          <w:rFonts w:hint="eastAsia"/>
          <w:color w:val="000000" w:themeColor="text1"/>
          <w:highlight w:val="none"/>
        </w:rPr>
        <w:t>及评价重点</w:t>
      </w:r>
      <w:bookmarkEnd w:id="76"/>
    </w:p>
    <w:p w14:paraId="6B6FCC66">
      <w:pPr>
        <w:keepNext w:val="0"/>
        <w:keepLines w:val="0"/>
        <w:pageBreakBefore w:val="0"/>
        <w:kinsoku/>
        <w:wordWrap/>
        <w:overflowPunct/>
        <w:topLinePunct w:val="0"/>
        <w:autoSpaceDE/>
        <w:autoSpaceDN/>
        <w:bidi w:val="0"/>
        <w:adjustRightInd w:val="0"/>
        <w:snapToGrid w:val="0"/>
        <w:spacing w:line="360" w:lineRule="auto"/>
        <w:textAlignment w:val="auto"/>
        <w:rPr>
          <w:color w:val="000000" w:themeColor="text1"/>
          <w:highlight w:val="none"/>
        </w:rPr>
      </w:pPr>
      <w:bookmarkStart w:id="77" w:name="_Toc9397"/>
      <w:bookmarkStart w:id="78" w:name="_Toc348953399"/>
      <w:bookmarkStart w:id="79" w:name="_Toc14789"/>
      <w:bookmarkStart w:id="80" w:name="_Toc451873534"/>
      <w:bookmarkStart w:id="81" w:name="_Toc347"/>
      <w:r>
        <w:rPr>
          <w:color w:val="000000" w:themeColor="text1"/>
          <w:highlight w:val="none"/>
        </w:rPr>
        <w:t>根据本工程特点和项目所经地区的自然环境特征，本工程环境影响需要关注的主要环境问题</w:t>
      </w:r>
      <w:r>
        <w:rPr>
          <w:rFonts w:hint="eastAsia"/>
          <w:color w:val="000000" w:themeColor="text1"/>
          <w:highlight w:val="none"/>
        </w:rPr>
        <w:t>及评价重点</w:t>
      </w:r>
      <w:r>
        <w:rPr>
          <w:color w:val="000000" w:themeColor="text1"/>
          <w:highlight w:val="none"/>
        </w:rPr>
        <w:t>包括：</w:t>
      </w:r>
    </w:p>
    <w:p w14:paraId="5FDB8504">
      <w:pPr>
        <w:pageBreakBefore w:val="0"/>
        <w:wordWrap/>
        <w:topLinePunct w:val="0"/>
        <w:bidi w:val="0"/>
        <w:spacing w:line="360" w:lineRule="auto"/>
        <w:rPr>
          <w:color w:val="000000" w:themeColor="text1"/>
          <w:highlight w:val="none"/>
        </w:rPr>
      </w:pPr>
      <w:r>
        <w:rPr>
          <w:rFonts w:hint="eastAsia"/>
          <w:color w:val="000000" w:themeColor="text1"/>
          <w:highlight w:val="none"/>
        </w:rPr>
        <w:t>（1）生态环境：重点关注施工期永久占地及临时占地对林地、基本农田、植被破坏及野生动物等陆生生态影响</w:t>
      </w:r>
      <w:r>
        <w:rPr>
          <w:rFonts w:hint="eastAsia"/>
          <w:color w:val="000000" w:themeColor="text1"/>
          <w:highlight w:val="none"/>
          <w:lang w:eastAsia="zh-CN"/>
        </w:rPr>
        <w:t>。</w:t>
      </w:r>
      <w:r>
        <w:rPr>
          <w:rFonts w:hint="eastAsia"/>
          <w:color w:val="000000" w:themeColor="text1"/>
          <w:highlight w:val="none"/>
        </w:rPr>
        <w:t>工程占地造成地表植被破坏，路基开挖过程影响区域景观生态；桥涵工程扰动地表水体，对水生动物及生境产生影响；施工进行表土的剥离，进行填方、挖方，引起地形和地貌的变化。</w:t>
      </w:r>
    </w:p>
    <w:p w14:paraId="32084E56">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（2）环境空气：施工过程开挖、回填以及筑路材料装卸粉尘，运输沿途散落、运输起尘；施工过程中拌合站产生颗粒物及沥青烟对周边环境的影响。</w:t>
      </w:r>
      <w:r>
        <w:rPr>
          <w:rFonts w:hint="eastAsia"/>
          <w:color w:val="000000" w:themeColor="text1"/>
          <w:highlight w:val="none"/>
          <w:lang w:val="en-US" w:eastAsia="zh-CN"/>
        </w:rPr>
        <w:t>运营期通行车辆尾气对周边环境空气质量的影响。</w:t>
      </w:r>
    </w:p>
    <w:p w14:paraId="260082AF">
      <w:pPr>
        <w:pageBreakBefore w:val="0"/>
        <w:wordWrap/>
        <w:topLinePunct w:val="0"/>
        <w:bidi w:val="0"/>
        <w:spacing w:line="360" w:lineRule="auto"/>
        <w:rPr>
          <w:color w:val="000000" w:themeColor="text1"/>
          <w:highlight w:val="none"/>
        </w:rPr>
      </w:pPr>
      <w:r>
        <w:rPr>
          <w:rFonts w:hint="eastAsia"/>
          <w:color w:val="000000" w:themeColor="text1"/>
          <w:highlight w:val="none"/>
        </w:rPr>
        <w:t>（3）声环境：施工机械和运输车辆噪声对沿线居民生活及野生动物产生一定影响；</w:t>
      </w:r>
      <w:r>
        <w:rPr>
          <w:rFonts w:hint="eastAsia"/>
          <w:color w:val="000000" w:themeColor="text1"/>
          <w:highlight w:val="none"/>
          <w:lang w:val="en-US" w:eastAsia="zh-CN"/>
        </w:rPr>
        <w:t>运营期</w:t>
      </w:r>
      <w:r>
        <w:rPr>
          <w:rFonts w:hint="eastAsia"/>
          <w:color w:val="000000" w:themeColor="text1"/>
          <w:highlight w:val="none"/>
        </w:rPr>
        <w:t>交通噪声将对沿线居民产生一定影响。</w:t>
      </w:r>
    </w:p>
    <w:p w14:paraId="3F49D2C2">
      <w:pPr>
        <w:pageBreakBefore w:val="0"/>
        <w:wordWrap/>
        <w:topLinePunct w:val="0"/>
        <w:bidi w:val="0"/>
        <w:spacing w:line="360" w:lineRule="auto"/>
        <w:rPr>
          <w:color w:val="000000" w:themeColor="text1"/>
          <w:highlight w:val="none"/>
        </w:rPr>
      </w:pPr>
      <w:r>
        <w:rPr>
          <w:rFonts w:hint="eastAsia"/>
          <w:color w:val="000000" w:themeColor="text1"/>
          <w:highlight w:val="none"/>
        </w:rPr>
        <w:t>（4）水环境：施工期施工人员生活污水和施工废水对环境的影响，</w:t>
      </w:r>
      <w:r>
        <w:rPr>
          <w:rFonts w:hint="eastAsia"/>
          <w:color w:val="000000" w:themeColor="text1"/>
          <w:highlight w:val="none"/>
          <w:lang w:val="en-US" w:eastAsia="zh-CN"/>
        </w:rPr>
        <w:t>运营期环境风险事故</w:t>
      </w:r>
      <w:r>
        <w:rPr>
          <w:rFonts w:hint="eastAsia"/>
          <w:color w:val="000000" w:themeColor="text1"/>
          <w:highlight w:val="none"/>
        </w:rPr>
        <w:t>对地表水产生一定影响。</w:t>
      </w:r>
    </w:p>
    <w:p w14:paraId="5377FE5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（5）</w:t>
      </w:r>
      <w:r>
        <w:rPr>
          <w:color w:val="000000" w:themeColor="text1"/>
          <w:highlight w:val="none"/>
        </w:rPr>
        <w:t>固体废物</w:t>
      </w:r>
      <w:r>
        <w:rPr>
          <w:rFonts w:hint="eastAsia"/>
          <w:color w:val="000000" w:themeColor="text1"/>
          <w:highlight w:val="none"/>
        </w:rPr>
        <w:t>：</w:t>
      </w:r>
      <w:r>
        <w:rPr>
          <w:color w:val="000000" w:themeColor="text1"/>
          <w:highlight w:val="none"/>
        </w:rPr>
        <w:t>施工期</w:t>
      </w:r>
      <w:r>
        <w:rPr>
          <w:rFonts w:hint="eastAsia"/>
          <w:color w:val="000000" w:themeColor="text1"/>
          <w:highlight w:val="none"/>
        </w:rPr>
        <w:t>废弃建筑垃圾、废泥浆、钻渣、</w:t>
      </w:r>
      <w:r>
        <w:rPr>
          <w:color w:val="000000" w:themeColor="text1"/>
          <w:highlight w:val="none"/>
        </w:rPr>
        <w:t>施工人员生活垃圾</w:t>
      </w:r>
      <w:r>
        <w:rPr>
          <w:rFonts w:hint="eastAsia"/>
          <w:color w:val="000000" w:themeColor="text1"/>
          <w:highlight w:val="none"/>
        </w:rPr>
        <w:t>等</w:t>
      </w:r>
      <w:r>
        <w:rPr>
          <w:rFonts w:hint="eastAsia"/>
          <w:color w:val="000000" w:themeColor="text1"/>
          <w:highlight w:val="none"/>
          <w:lang w:val="en-US" w:eastAsia="zh-CN"/>
        </w:rPr>
        <w:t>对环境的影响；</w:t>
      </w:r>
    </w:p>
    <w:p w14:paraId="2AB9AECC">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（6）运营期环境风险主要是交通事故、桥梁坍塌等导致运输危险品车辆泄露、爆炸等隐患事故，主要为桥梁路段发生事故时危险品进入地表水体，造成地表水体污染。</w:t>
      </w:r>
    </w:p>
    <w:p w14:paraId="0270BD6B">
      <w:pPr>
        <w:pStyle w:val="3"/>
        <w:pageBreakBefore w:val="0"/>
        <w:wordWrap/>
        <w:topLinePunct w:val="0"/>
        <w:bidi w:val="0"/>
        <w:spacing w:before="12" w:after="120" w:line="360" w:lineRule="auto"/>
        <w:rPr>
          <w:color w:val="000000" w:themeColor="text1"/>
          <w:highlight w:val="none"/>
        </w:rPr>
      </w:pPr>
      <w:bookmarkStart w:id="82" w:name="_Toc15086"/>
      <w:r>
        <w:rPr>
          <w:rFonts w:hint="eastAsia"/>
          <w:color w:val="000000" w:themeColor="text1"/>
          <w:highlight w:val="none"/>
        </w:rPr>
        <w:t>1.4</w:t>
      </w:r>
      <w:r>
        <w:rPr>
          <w:color w:val="000000" w:themeColor="text1"/>
          <w:highlight w:val="none"/>
        </w:rPr>
        <w:t>环境影响评价的工作过程</w:t>
      </w:r>
      <w:bookmarkEnd w:id="77"/>
      <w:bookmarkEnd w:id="78"/>
      <w:bookmarkEnd w:id="79"/>
      <w:bookmarkEnd w:id="80"/>
      <w:bookmarkEnd w:id="81"/>
      <w:bookmarkEnd w:id="82"/>
    </w:p>
    <w:p w14:paraId="66ED0650">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根据《环境影响评价技术导则 公路建设项目》（HJ 1358-2024），环境影响评价工作开展前应分析项目选址选线与国家和地方有关生态环境法律法规、标准、政策、规范、国土空间规划等相关规划、生态环境分区管控以及规划环境影响评价要求的符合性，对不符合上述要求的应提出选址选线优化调整建议，环境影响评价工作一般分为三个阶段。</w:t>
      </w:r>
      <w:r>
        <w:rPr>
          <w:color w:val="000000" w:themeColor="text1"/>
          <w:highlight w:val="none"/>
        </w:rPr>
        <w:t>本项目环评影响评价工作见图1.</w:t>
      </w:r>
      <w:r>
        <w:rPr>
          <w:rFonts w:hint="eastAsia"/>
          <w:color w:val="000000" w:themeColor="text1"/>
          <w:highlight w:val="none"/>
          <w:lang w:val="en-US" w:eastAsia="zh-CN"/>
        </w:rPr>
        <w:t>4</w:t>
      </w:r>
      <w:r>
        <w:rPr>
          <w:color w:val="000000" w:themeColor="text1"/>
          <w:highlight w:val="none"/>
        </w:rPr>
        <w:t>-1。</w:t>
      </w:r>
    </w:p>
    <w:p w14:paraId="09AB9069">
      <w:pPr>
        <w:pageBreakBefore w:val="0"/>
        <w:wordWrap/>
        <w:topLinePunct w:val="0"/>
        <w:bidi w:val="0"/>
        <w:spacing w:line="360" w:lineRule="auto"/>
        <w:ind w:left="0" w:leftChars="0" w:firstLine="0" w:firstLineChars="0"/>
        <w:jc w:val="center"/>
        <w:rPr>
          <w:b/>
          <w:color w:val="000000" w:themeColor="text1"/>
          <w:highlight w:val="none"/>
        </w:rPr>
      </w:pPr>
      <w:r>
        <w:rPr>
          <w:b/>
          <w:color w:val="000000" w:themeColor="text1"/>
          <w:highlight w:val="none"/>
        </w:rPr>
        <w:drawing>
          <wp:inline distT="0" distB="0" distL="114300" distR="114300">
            <wp:extent cx="4819650" cy="5260975"/>
            <wp:effectExtent l="0" t="0" r="0" b="15875"/>
            <wp:docPr id="36" name="图片 36" descr="1742544470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42544470853"/>
                    <pic:cNvPicPr>
                      <a:picLocks noChangeAspect="1"/>
                    </pic:cNvPicPr>
                  </pic:nvPicPr>
                  <pic:blipFill>
                    <a:blip r:embed="rId20"/>
                    <a:stretch>
                      <a:fillRect/>
                    </a:stretch>
                  </pic:blipFill>
                  <pic:spPr>
                    <a:xfrm>
                      <a:off x="0" y="0"/>
                      <a:ext cx="4819650" cy="5260975"/>
                    </a:xfrm>
                    <a:prstGeom prst="rect">
                      <a:avLst/>
                    </a:prstGeom>
                  </pic:spPr>
                </pic:pic>
              </a:graphicData>
            </a:graphic>
          </wp:inline>
        </w:drawing>
      </w:r>
    </w:p>
    <w:p w14:paraId="02982C32">
      <w:pPr>
        <w:pageBreakBefore w:val="0"/>
        <w:wordWrap/>
        <w:topLinePunct w:val="0"/>
        <w:bidi w:val="0"/>
        <w:spacing w:line="360" w:lineRule="auto"/>
        <w:ind w:left="0" w:leftChars="0" w:firstLine="0" w:firstLineChars="0"/>
        <w:jc w:val="center"/>
        <w:rPr>
          <w:b/>
          <w:color w:val="000000" w:themeColor="text1"/>
          <w:highlight w:val="none"/>
        </w:rPr>
      </w:pPr>
      <w:r>
        <w:rPr>
          <w:b/>
          <w:color w:val="000000" w:themeColor="text1"/>
          <w:highlight w:val="none"/>
        </w:rPr>
        <w:t>图1.</w:t>
      </w:r>
      <w:r>
        <w:rPr>
          <w:rFonts w:hint="eastAsia"/>
          <w:b/>
          <w:color w:val="000000" w:themeColor="text1"/>
          <w:highlight w:val="none"/>
          <w:lang w:val="en-US" w:eastAsia="zh-CN"/>
        </w:rPr>
        <w:t>4</w:t>
      </w:r>
      <w:r>
        <w:rPr>
          <w:b/>
          <w:color w:val="000000" w:themeColor="text1"/>
          <w:highlight w:val="none"/>
        </w:rPr>
        <w:t xml:space="preserve">-1  </w:t>
      </w:r>
      <w:r>
        <w:rPr>
          <w:rFonts w:hint="eastAsia"/>
          <w:b/>
          <w:color w:val="000000" w:themeColor="text1"/>
          <w:highlight w:val="none"/>
          <w:lang w:val="en-US" w:eastAsia="zh-CN"/>
        </w:rPr>
        <w:t>公路建设项目环境影响评价工作程序图</w:t>
      </w:r>
    </w:p>
    <w:p w14:paraId="3D7EA5A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第一阶段：根据《中华人民共和国环境影响评价法》、《建设项目环境保护管理条例》和《建设项目环境影响评价分类管理名录（2021年版）》，本项目属于“五十二、交通运输业、管道运输业”中“等级公路”中“新建涉及环境敏感区的二级及以上等级公路”，本项目为新建二级公路涉及环境敏感区（</w:t>
      </w:r>
      <w:r>
        <w:rPr>
          <w:rFonts w:hint="eastAsia"/>
          <w:color w:val="000000" w:themeColor="text1"/>
          <w:highlight w:val="none"/>
        </w:rPr>
        <w:t>项目</w:t>
      </w:r>
      <w:r>
        <w:rPr>
          <w:rFonts w:hint="eastAsia"/>
          <w:color w:val="000000" w:themeColor="text1"/>
          <w:highlight w:val="none"/>
          <w:lang w:val="en-US" w:eastAsia="zh-CN"/>
        </w:rPr>
        <w:t>区</w:t>
      </w:r>
      <w:r>
        <w:rPr>
          <w:rFonts w:hint="eastAsia"/>
          <w:color w:val="000000" w:themeColor="text1"/>
          <w:highlight w:val="none"/>
        </w:rPr>
        <w:t>属于</w:t>
      </w:r>
      <w:r>
        <w:rPr>
          <w:rFonts w:hint="eastAsia"/>
          <w:color w:val="000000" w:themeColor="text1"/>
          <w:highlight w:val="none"/>
          <w:lang w:val="en-US" w:eastAsia="zh-CN"/>
        </w:rPr>
        <w:t>东北漫川漫岗省级水土流失重点治理区和鹤岗市水土流失重点预防区且占用永久基本农田），应编制“建设项目环境影响报告书”。评价单位接受委托后，在研究相关技术及其他有关文件基础上进行初步工程分析，开展了初步环境现状调查，进行了环境影响识别和评价因子筛选。明确了评价重点，确定了环境保护目标，进一步确定了评价工作等级、范围及评价标准，并制定出相应工作方案。</w:t>
      </w:r>
    </w:p>
    <w:p w14:paraId="32250CE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（2）</w:t>
      </w:r>
      <w:r>
        <w:rPr>
          <w:rFonts w:hint="eastAsia"/>
          <w:color w:val="000000" w:themeColor="text1"/>
          <w:highlight w:val="none"/>
          <w:lang w:val="en-US" w:eastAsia="zh-CN"/>
        </w:rPr>
        <w:t>第二阶段：根据第一阶段工作成果，对环境现状进行了分析及补充监测与评价，详细进行了工程分析。对各环境要素影响进行了预测与评价。同时，在评价报告编制过程中，建设单位作为公众参与调查主导单位，分别进行网站公示、报纸公示及张贴公告等内容，并编制了《新建黑龙江鹤岗机场场外配套工程（机场进场路建设工程）项目环境影响评价公众参与调查报告》。</w:t>
      </w:r>
    </w:p>
    <w:p w14:paraId="06611800">
      <w:pPr>
        <w:pageBreakBefore w:val="0"/>
        <w:wordWrap/>
        <w:topLinePunct w:val="0"/>
        <w:bidi w:val="0"/>
        <w:spacing w:line="360" w:lineRule="auto"/>
        <w:rPr>
          <w:color w:val="000000" w:themeColor="text1"/>
          <w:highlight w:val="none"/>
        </w:rPr>
      </w:pPr>
      <w:r>
        <w:rPr>
          <w:rFonts w:hint="eastAsia"/>
          <w:color w:val="000000" w:themeColor="text1"/>
          <w:highlight w:val="none"/>
        </w:rPr>
        <w:t>（3）</w:t>
      </w:r>
      <w:r>
        <w:rPr>
          <w:rFonts w:hint="eastAsia"/>
          <w:color w:val="000000" w:themeColor="text1"/>
          <w:highlight w:val="none"/>
          <w:lang w:val="en-US" w:eastAsia="zh-CN"/>
        </w:rPr>
        <w:t>第三阶段：按照《环境影响评价技术导则 公路建设项目》（HJ 1358-2024）等相关技术规范要求，编制完成了《新建黑龙江鹤岗机场场外配套工程（机场进场路建设工程）项目环境影响报告书》，并提出了环境保护措施，进行了经济技术可行性论证，给出了污染物排放清单及评价结论</w:t>
      </w:r>
      <w:r>
        <w:rPr>
          <w:rFonts w:hint="eastAsia"/>
          <w:color w:val="000000" w:themeColor="text1"/>
          <w:highlight w:val="none"/>
        </w:rPr>
        <w:t>。</w:t>
      </w:r>
      <w:r>
        <w:rPr>
          <w:rFonts w:hint="eastAsia"/>
          <w:color w:val="000000" w:themeColor="text1"/>
          <w:highlight w:val="none"/>
          <w:lang w:val="en-US" w:eastAsia="zh-CN"/>
        </w:rPr>
        <w:t>并上报生态环境主管部门审查。</w:t>
      </w:r>
    </w:p>
    <w:p w14:paraId="65D963D1">
      <w:pPr>
        <w:pStyle w:val="3"/>
        <w:pageBreakBefore w:val="0"/>
        <w:wordWrap/>
        <w:topLinePunct w:val="0"/>
        <w:bidi w:val="0"/>
        <w:spacing w:before="12" w:after="120" w:line="360" w:lineRule="auto"/>
        <w:rPr>
          <w:color w:val="000000" w:themeColor="text1"/>
          <w:highlight w:val="none"/>
        </w:rPr>
      </w:pPr>
      <w:bookmarkStart w:id="83" w:name="_Toc11887"/>
      <w:bookmarkStart w:id="84" w:name="_Toc11063"/>
      <w:r>
        <w:rPr>
          <w:rFonts w:hint="eastAsia"/>
          <w:color w:val="000000" w:themeColor="text1"/>
          <w:highlight w:val="none"/>
        </w:rPr>
        <w:t>1.5分析判定情况</w:t>
      </w:r>
      <w:bookmarkEnd w:id="83"/>
      <w:bookmarkEnd w:id="84"/>
    </w:p>
    <w:p w14:paraId="4A238160">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lang w:val="en-US" w:eastAsia="zh-CN"/>
        </w:rPr>
        <w:t>产业政策符合性</w:t>
      </w:r>
    </w:p>
    <w:p w14:paraId="0BEB8203">
      <w:pPr>
        <w:pageBreakBefore w:val="0"/>
        <w:wordWrap/>
        <w:topLinePunct w:val="0"/>
        <w:bidi w:val="0"/>
        <w:spacing w:line="360" w:lineRule="auto"/>
        <w:rPr>
          <w:color w:val="000000" w:themeColor="text1"/>
          <w:highlight w:val="none"/>
        </w:rPr>
      </w:pPr>
      <w:r>
        <w:rPr>
          <w:rFonts w:hint="eastAsia"/>
          <w:color w:val="000000" w:themeColor="text1"/>
          <w:highlight w:val="none"/>
        </w:rPr>
        <w:t>本项目属于《产业结构调整指导目录（</w:t>
      </w:r>
      <w:r>
        <w:rPr>
          <w:rFonts w:hint="eastAsia"/>
          <w:color w:val="000000" w:themeColor="text1"/>
          <w:highlight w:val="none"/>
          <w:lang w:val="en-US" w:eastAsia="zh-CN"/>
        </w:rPr>
        <w:t>2024</w:t>
      </w:r>
      <w:r>
        <w:rPr>
          <w:rFonts w:hint="eastAsia"/>
          <w:color w:val="000000" w:themeColor="text1"/>
          <w:highlight w:val="none"/>
        </w:rPr>
        <w:t>年）》中“二十四、公路及道路运输</w:t>
      </w:r>
      <w:r>
        <w:rPr>
          <w:rFonts w:hint="eastAsia"/>
          <w:color w:val="000000" w:themeColor="text1"/>
          <w:highlight w:val="none"/>
          <w:lang w:val="en-US" w:eastAsia="zh-CN"/>
        </w:rPr>
        <w:t>-</w:t>
      </w:r>
      <w:r>
        <w:rPr>
          <w:rFonts w:hint="eastAsia"/>
          <w:color w:val="000000" w:themeColor="text1"/>
          <w:highlight w:val="none"/>
        </w:rPr>
        <w:t>1．公路交通网络建设”</w:t>
      </w:r>
      <w:r>
        <w:rPr>
          <w:rFonts w:hint="eastAsia"/>
          <w:color w:val="000000" w:themeColor="text1"/>
          <w:highlight w:val="none"/>
          <w:lang w:val="en-US" w:eastAsia="zh-CN"/>
        </w:rPr>
        <w:t>和</w:t>
      </w:r>
      <w:r>
        <w:rPr>
          <w:rFonts w:hint="eastAsia"/>
          <w:color w:val="000000" w:themeColor="text1"/>
          <w:highlight w:val="none"/>
          <w:lang w:eastAsia="zh-CN"/>
        </w:rPr>
        <w:t>“</w:t>
      </w:r>
      <w:r>
        <w:rPr>
          <w:rFonts w:hint="eastAsia"/>
          <w:color w:val="000000" w:themeColor="text1"/>
          <w:highlight w:val="none"/>
          <w:lang w:val="en-US" w:eastAsia="zh-CN"/>
        </w:rPr>
        <w:t>二十六、航空运输</w:t>
      </w:r>
      <w:r>
        <w:rPr>
          <w:rFonts w:hint="eastAsia"/>
          <w:color w:val="000000" w:themeColor="text1"/>
          <w:highlight w:val="none"/>
        </w:rPr>
        <w:t>-1、</w:t>
      </w:r>
      <w:r>
        <w:rPr>
          <w:rFonts w:hint="eastAsia"/>
          <w:color w:val="000000" w:themeColor="text1"/>
          <w:highlight w:val="none"/>
          <w:lang w:val="en-US" w:eastAsia="zh-CN"/>
        </w:rPr>
        <w:t>机场及配套设施建设与运营</w:t>
      </w:r>
      <w:r>
        <w:rPr>
          <w:rFonts w:hint="eastAsia"/>
          <w:color w:val="000000" w:themeColor="text1"/>
          <w:highlight w:val="none"/>
          <w:lang w:eastAsia="zh-CN"/>
        </w:rPr>
        <w:t>”</w:t>
      </w:r>
      <w:r>
        <w:rPr>
          <w:rFonts w:hint="eastAsia"/>
          <w:color w:val="000000" w:themeColor="text1"/>
          <w:highlight w:val="none"/>
        </w:rPr>
        <w:t>，是国家鼓励类项目，符合国家产业政策。</w:t>
      </w:r>
    </w:p>
    <w:p w14:paraId="34F6D099">
      <w:pPr>
        <w:bidi w:val="0"/>
        <w:spacing w:line="360" w:lineRule="auto"/>
        <w:rPr>
          <w:color w:val="000000" w:themeColor="text1"/>
          <w:highlight w:val="none"/>
        </w:rPr>
      </w:pPr>
      <w:bookmarkStart w:id="85" w:name="_Toc29469"/>
      <w:bookmarkStart w:id="86" w:name="_Toc14431"/>
      <w:bookmarkStart w:id="87" w:name="_Toc15365"/>
      <w:bookmarkStart w:id="88" w:name="_Toc451873535"/>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color w:val="000000" w:themeColor="text1"/>
          <w:highlight w:val="none"/>
        </w:rPr>
        <w:t>与相关规划的符合性</w:t>
      </w:r>
    </w:p>
    <w:p w14:paraId="0F2E3EB9">
      <w:pPr>
        <w:bidi w:val="0"/>
        <w:spacing w:line="360" w:lineRule="auto"/>
        <w:rPr>
          <w:color w:val="000000" w:themeColor="text1"/>
          <w:highlight w:val="none"/>
        </w:rPr>
      </w:pPr>
      <w:r>
        <w:rPr>
          <w:rFonts w:hint="eastAsia"/>
          <w:color w:val="000000" w:themeColor="text1"/>
          <w:highlight w:val="none"/>
          <w:lang w:val="en-US" w:eastAsia="zh-CN"/>
        </w:rPr>
        <w:t>①</w:t>
      </w:r>
      <w:r>
        <w:rPr>
          <w:color w:val="000000" w:themeColor="text1"/>
          <w:highlight w:val="none"/>
        </w:rPr>
        <w:t>与</w:t>
      </w:r>
      <w:r>
        <w:rPr>
          <w:rFonts w:hint="eastAsia"/>
          <w:color w:val="000000" w:themeColor="text1"/>
          <w:highlight w:val="none"/>
        </w:rPr>
        <w:t>《</w:t>
      </w:r>
      <w:r>
        <w:rPr>
          <w:rFonts w:hint="eastAsia"/>
          <w:color w:val="000000" w:themeColor="text1"/>
          <w:highlight w:val="none"/>
          <w:lang w:val="en-US" w:eastAsia="zh-CN"/>
        </w:rPr>
        <w:t>“十四五”民用航空发展规划</w:t>
      </w:r>
      <w:r>
        <w:rPr>
          <w:rFonts w:hint="eastAsia"/>
          <w:color w:val="000000" w:themeColor="text1"/>
          <w:highlight w:val="none"/>
        </w:rPr>
        <w:t>》</w:t>
      </w:r>
      <w:r>
        <w:rPr>
          <w:color w:val="000000" w:themeColor="text1"/>
          <w:highlight w:val="none"/>
        </w:rPr>
        <w:t>符合性分析</w:t>
      </w:r>
    </w:p>
    <w:p w14:paraId="30CC3A9C">
      <w:pPr>
        <w:bidi w:val="0"/>
        <w:spacing w:line="360" w:lineRule="auto"/>
        <w:rPr>
          <w:rFonts w:hint="eastAsia"/>
          <w:color w:val="000000" w:themeColor="text1"/>
          <w:highlight w:val="none"/>
          <w:lang w:val="en-US" w:eastAsia="zh-CN"/>
        </w:rPr>
      </w:pPr>
      <w:r>
        <w:rPr>
          <w:rFonts w:hint="eastAsia"/>
          <w:color w:val="000000" w:themeColor="text1"/>
          <w:highlight w:val="none"/>
        </w:rPr>
        <w:t>根据中国民用航空局 国家发展和改革委员会 交通运输部关于印发《</w:t>
      </w:r>
      <w:r>
        <w:rPr>
          <w:rFonts w:hint="eastAsia"/>
          <w:color w:val="000000" w:themeColor="text1"/>
          <w:highlight w:val="none"/>
          <w:lang w:eastAsia="zh-CN"/>
        </w:rPr>
        <w:t>“</w:t>
      </w:r>
      <w:r>
        <w:rPr>
          <w:rFonts w:hint="eastAsia"/>
          <w:color w:val="000000" w:themeColor="text1"/>
          <w:highlight w:val="none"/>
        </w:rPr>
        <w:t>十四五</w:t>
      </w:r>
      <w:r>
        <w:rPr>
          <w:rFonts w:hint="eastAsia"/>
          <w:color w:val="000000" w:themeColor="text1"/>
          <w:highlight w:val="none"/>
          <w:lang w:eastAsia="zh-CN"/>
        </w:rPr>
        <w:t>”</w:t>
      </w:r>
      <w:r>
        <w:rPr>
          <w:rFonts w:hint="eastAsia"/>
          <w:color w:val="000000" w:themeColor="text1"/>
          <w:highlight w:val="none"/>
        </w:rPr>
        <w:t>民用航空发展规划》的通知</w:t>
      </w:r>
      <w:r>
        <w:rPr>
          <w:rFonts w:hint="eastAsia"/>
          <w:color w:val="000000" w:themeColor="text1"/>
          <w:highlight w:val="none"/>
          <w:lang w:eastAsia="zh-CN"/>
        </w:rPr>
        <w:t>（</w:t>
      </w:r>
      <w:r>
        <w:rPr>
          <w:rFonts w:hint="eastAsia"/>
          <w:color w:val="000000" w:themeColor="text1"/>
          <w:highlight w:val="none"/>
        </w:rPr>
        <w:t>民航发〔2021〕56号</w:t>
      </w:r>
      <w:r>
        <w:rPr>
          <w:rFonts w:hint="eastAsia"/>
          <w:color w:val="000000" w:themeColor="text1"/>
          <w:highlight w:val="none"/>
          <w:lang w:eastAsia="zh-CN"/>
        </w:rPr>
        <w:t>）“</w:t>
      </w:r>
      <w:r>
        <w:rPr>
          <w:rFonts w:hint="eastAsia"/>
          <w:color w:val="000000" w:themeColor="text1"/>
          <w:highlight w:val="none"/>
          <w:lang w:val="en-US" w:eastAsia="zh-CN"/>
        </w:rPr>
        <w:t>第十章 完善国家综合机场体系 第一节 加快机场基础设施建设：</w:t>
      </w:r>
      <w:r>
        <w:rPr>
          <w:rFonts w:hint="eastAsia" w:ascii="宋体" w:hAnsi="宋体" w:eastAsia="宋体" w:cs="宋体"/>
          <w:color w:val="000000" w:themeColor="text1"/>
          <w:highlight w:val="none"/>
          <w:lang w:val="en-US" w:eastAsia="zh-CN"/>
        </w:rPr>
        <w:t>①</w:t>
      </w:r>
      <w:r>
        <w:rPr>
          <w:rFonts w:hint="eastAsia"/>
          <w:color w:val="000000" w:themeColor="text1"/>
          <w:highlight w:val="none"/>
          <w:lang w:val="en-US" w:eastAsia="zh-CN"/>
        </w:rPr>
        <w:t>加快枢纽机场建设。加快北京、上海、广州、成都、深圳、昆明、西安、重庆、乌鲁木齐、哈尔滨等国际航空枢纽建设，建成成都天府机场，规划建设珠三角枢纽（广州新）机场，推进天津、沈阳、济南、兰州、南宁、贵阳、拉萨等区域枢纽机场扩能改造，实施厦门、呼和浩特、大连、南通等机场迁建。建成投用湖北鄂州专业性货运枢纽机场，优化完善北京、上海、广州、深圳和郑州等综合性枢纽机场货运设施。研究提出由综合性枢纽机场和专业性货运枢纽机场共同组成的航空货运枢纽规划布局。</w:t>
      </w:r>
      <w:r>
        <w:rPr>
          <w:rFonts w:hint="eastAsia" w:ascii="宋体" w:hAnsi="宋体" w:eastAsia="宋体" w:cs="宋体"/>
          <w:color w:val="000000" w:themeColor="text1"/>
          <w:highlight w:val="none"/>
          <w:lang w:val="en-US" w:eastAsia="zh-CN"/>
        </w:rPr>
        <w:t>②</w:t>
      </w:r>
      <w:r>
        <w:rPr>
          <w:rFonts w:hint="eastAsia"/>
          <w:color w:val="000000" w:themeColor="text1"/>
          <w:highlight w:val="none"/>
          <w:lang w:val="en-US" w:eastAsia="zh-CN"/>
        </w:rPr>
        <w:t>完善非枢纽机场布局。新建一批非枢纽机场，重点布局加密中西部地区和边境地区机场。加强新建机场前期论证，做好项目储备。坚持经济适用原则，实施一批非枢纽机场改扩建工程。加强支线机场通用航空保障能力，为国产支线飞机起降等配置相应设施，项目中要加强贯彻国防要求。”</w:t>
      </w:r>
    </w:p>
    <w:p w14:paraId="1AED1583">
      <w:pPr>
        <w:pStyle w:val="59"/>
        <w:pageBreakBefore w:val="0"/>
        <w:wordWrap/>
        <w:topLinePunct w:val="0"/>
        <w:bidi w:val="0"/>
        <w:spacing w:before="60" w:after="60" w:line="360" w:lineRule="auto"/>
        <w:ind w:firstLine="420"/>
        <w:rPr>
          <w:rFonts w:hAnsi="Times New Roman"/>
          <w:b/>
          <w:bCs/>
          <w:color w:val="000000" w:themeColor="text1"/>
          <w:kern w:val="0"/>
          <w:sz w:val="21"/>
          <w:szCs w:val="21"/>
          <w:highlight w:val="none"/>
        </w:rPr>
      </w:pPr>
      <w:r>
        <w:rPr>
          <w:rFonts w:hint="eastAsia" w:hAnsi="Times New Roman"/>
          <w:b/>
          <w:bCs/>
          <w:color w:val="000000" w:themeColor="text1"/>
          <w:kern w:val="0"/>
          <w:sz w:val="24"/>
          <w:szCs w:val="24"/>
          <w:highlight w:val="none"/>
        </w:rPr>
        <w:t>表</w:t>
      </w:r>
      <w:r>
        <w:rPr>
          <w:rFonts w:hint="eastAsia" w:hAnsi="Times New Roman"/>
          <w:b/>
          <w:bCs/>
          <w:color w:val="000000" w:themeColor="text1"/>
          <w:kern w:val="0"/>
          <w:sz w:val="24"/>
          <w:szCs w:val="24"/>
          <w:highlight w:val="none"/>
          <w:lang w:val="en-US" w:eastAsia="zh-CN"/>
        </w:rPr>
        <w:t>1.5</w:t>
      </w:r>
      <w:r>
        <w:rPr>
          <w:rFonts w:hAnsi="Times New Roman"/>
          <w:b/>
          <w:bCs/>
          <w:color w:val="000000" w:themeColor="text1"/>
          <w:kern w:val="0"/>
          <w:sz w:val="24"/>
          <w:szCs w:val="24"/>
          <w:highlight w:val="none"/>
        </w:rPr>
        <w:t xml:space="preserve">-1 </w:t>
      </w:r>
      <w:r>
        <w:rPr>
          <w:rFonts w:hint="eastAsia" w:hAnsi="Times New Roman"/>
          <w:b/>
          <w:bCs/>
          <w:color w:val="000000" w:themeColor="text1"/>
          <w:kern w:val="0"/>
          <w:sz w:val="24"/>
          <w:szCs w:val="24"/>
          <w:highlight w:val="none"/>
          <w:lang w:val="en-US" w:eastAsia="zh-CN"/>
        </w:rPr>
        <w:t xml:space="preserve"> “</w:t>
      </w:r>
      <w:r>
        <w:rPr>
          <w:rFonts w:hAnsi="Times New Roman"/>
          <w:b/>
          <w:bCs/>
          <w:color w:val="000000" w:themeColor="text1"/>
          <w:kern w:val="0"/>
          <w:sz w:val="24"/>
          <w:szCs w:val="24"/>
          <w:highlight w:val="none"/>
          <w:lang w:val="en-US" w:eastAsia="zh-CN"/>
        </w:rPr>
        <w:t>十四五</w:t>
      </w:r>
      <w:r>
        <w:rPr>
          <w:rFonts w:hint="eastAsia" w:hAnsi="Times New Roman"/>
          <w:b/>
          <w:bCs/>
          <w:color w:val="000000" w:themeColor="text1"/>
          <w:kern w:val="0"/>
          <w:sz w:val="24"/>
          <w:szCs w:val="24"/>
          <w:highlight w:val="none"/>
          <w:lang w:val="en-US" w:eastAsia="zh-CN"/>
        </w:rPr>
        <w:t>”</w:t>
      </w:r>
      <w:r>
        <w:rPr>
          <w:rFonts w:hint="default" w:hAnsi="Times New Roman"/>
          <w:b/>
          <w:bCs/>
          <w:color w:val="000000" w:themeColor="text1"/>
          <w:kern w:val="0"/>
          <w:sz w:val="24"/>
          <w:szCs w:val="24"/>
          <w:highlight w:val="none"/>
          <w:lang w:val="en-US" w:eastAsia="zh-CN"/>
        </w:rPr>
        <w:t>时期运输机场重点建设项目</w:t>
      </w:r>
    </w:p>
    <w:tbl>
      <w:tblPr>
        <w:tblStyle w:val="33"/>
        <w:tblpPr w:leftFromText="180" w:rightFromText="180" w:vertAnchor="text" w:tblpXSpec="center" w:tblpY="1"/>
        <w:tblOverlap w:val="never"/>
        <w:tblW w:w="5034"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114"/>
        <w:gridCol w:w="1760"/>
        <w:gridCol w:w="5495"/>
      </w:tblGrid>
      <w:tr w14:paraId="2ABB680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717" w:type="pct"/>
            <w:gridSpan w:val="2"/>
            <w:tcMar>
              <w:left w:w="0" w:type="dxa"/>
              <w:right w:w="0" w:type="dxa"/>
            </w:tcMar>
            <w:vAlign w:val="center"/>
          </w:tcPr>
          <w:p w14:paraId="19756E00">
            <w:pPr>
              <w:pStyle w:val="84"/>
              <w:pageBreakBefore w:val="0"/>
              <w:wordWrap/>
              <w:topLinePunct w:val="0"/>
              <w:bidi w:val="0"/>
              <w:spacing w:line="240" w:lineRule="auto"/>
              <w:rPr>
                <w:rFonts w:hAnsi="Times New Roman"/>
                <w:color w:val="000000" w:themeColor="text1"/>
                <w:highlight w:val="none"/>
              </w:rPr>
            </w:pPr>
            <w:r>
              <w:rPr>
                <w:rFonts w:hint="eastAsia" w:hAnsi="Times New Roman"/>
                <w:color w:val="000000" w:themeColor="text1"/>
                <w:highlight w:val="none"/>
                <w:lang w:val="en-US" w:eastAsia="zh-CN"/>
              </w:rPr>
              <w:t>性质</w:t>
            </w:r>
          </w:p>
        </w:tc>
        <w:tc>
          <w:tcPr>
            <w:tcW w:w="3282" w:type="pct"/>
            <w:tcMar>
              <w:left w:w="0" w:type="dxa"/>
              <w:right w:w="0" w:type="dxa"/>
            </w:tcMar>
            <w:vAlign w:val="center"/>
          </w:tcPr>
          <w:p w14:paraId="49D0542D">
            <w:pPr>
              <w:pStyle w:val="84"/>
              <w:pageBreakBefore w:val="0"/>
              <w:wordWrap/>
              <w:topLinePunct w:val="0"/>
              <w:bidi w:val="0"/>
              <w:spacing w:line="240" w:lineRule="auto"/>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机场名称</w:t>
            </w:r>
          </w:p>
        </w:tc>
      </w:tr>
      <w:tr w14:paraId="59AD352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restart"/>
            <w:tcMar>
              <w:left w:w="0" w:type="dxa"/>
              <w:right w:w="0" w:type="dxa"/>
            </w:tcMar>
            <w:vAlign w:val="center"/>
          </w:tcPr>
          <w:p w14:paraId="45A921B7">
            <w:pPr>
              <w:pStyle w:val="84"/>
              <w:pageBreakBefore w:val="0"/>
              <w:wordWrap/>
              <w:topLinePunct w:val="0"/>
              <w:bidi w:val="0"/>
              <w:spacing w:line="240" w:lineRule="auto"/>
              <w:rPr>
                <w:rFonts w:hint="eastAsia" w:hAnsi="Times New Roman"/>
                <w:color w:val="000000" w:themeColor="text1"/>
                <w:highlight w:val="none"/>
                <w:lang w:val="en-US" w:eastAsia="zh-CN"/>
              </w:rPr>
            </w:pPr>
            <w:r>
              <w:rPr>
                <w:rFonts w:hint="eastAsia" w:hAnsi="Times New Roman"/>
                <w:color w:val="000000" w:themeColor="text1"/>
                <w:highlight w:val="none"/>
                <w:lang w:val="en-US" w:eastAsia="zh-CN"/>
              </w:rPr>
              <w:t>续建</w:t>
            </w:r>
          </w:p>
          <w:p w14:paraId="0B8982B9">
            <w:pPr>
              <w:pStyle w:val="84"/>
              <w:pageBreakBefore w:val="0"/>
              <w:wordWrap/>
              <w:topLinePunct w:val="0"/>
              <w:bidi w:val="0"/>
              <w:spacing w:line="240" w:lineRule="auto"/>
              <w:rPr>
                <w:rFonts w:hint="default" w:hAnsi="Times New Roman"/>
                <w:color w:val="000000" w:themeColor="text1"/>
                <w:highlight w:val="none"/>
                <w:lang w:val="en-US" w:eastAsia="zh-CN"/>
              </w:rPr>
            </w:pPr>
            <w:r>
              <w:rPr>
                <w:rFonts w:hint="eastAsia" w:hAnsi="Times New Roman"/>
                <w:color w:val="000000" w:themeColor="text1"/>
                <w:highlight w:val="none"/>
                <w:lang w:val="en-US" w:eastAsia="zh-CN"/>
              </w:rPr>
              <w:t>（34个）</w:t>
            </w:r>
          </w:p>
        </w:tc>
        <w:tc>
          <w:tcPr>
            <w:tcW w:w="1050" w:type="pct"/>
            <w:tcMar>
              <w:left w:w="0" w:type="dxa"/>
              <w:right w:w="0" w:type="dxa"/>
            </w:tcMar>
            <w:vAlign w:val="center"/>
          </w:tcPr>
          <w:p w14:paraId="0834B9F0">
            <w:pPr>
              <w:pStyle w:val="84"/>
              <w:pageBreakBefore w:val="0"/>
              <w:wordWrap/>
              <w:topLinePunct w:val="0"/>
              <w:bidi w:val="0"/>
              <w:spacing w:line="240" w:lineRule="auto"/>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新建（16个）</w:t>
            </w:r>
          </w:p>
        </w:tc>
        <w:tc>
          <w:tcPr>
            <w:tcW w:w="3282" w:type="pct"/>
            <w:tcMar>
              <w:left w:w="0" w:type="dxa"/>
              <w:right w:w="0" w:type="dxa"/>
            </w:tcMar>
            <w:vAlign w:val="center"/>
          </w:tcPr>
          <w:p w14:paraId="0F2B4D74">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lang w:val="en-US" w:eastAsia="zh-CN"/>
              </w:rPr>
              <w:t>成都天府、</w:t>
            </w:r>
            <w:r>
              <w:rPr>
                <w:rFonts w:hint="default" w:hAnsi="Times New Roman"/>
                <w:color w:val="000000" w:themeColor="text1"/>
                <w:highlight w:val="none"/>
                <w:lang w:val="en-US" w:eastAsia="zh-CN"/>
              </w:rPr>
              <w:t>鄂州，邢台、绥芬河、丽水、芜宣、瑞金、菏泽、荆州、郴州、湘西、韶关、阆中、威宁、昭苏、塔什库尔干。</w:t>
            </w:r>
          </w:p>
        </w:tc>
      </w:tr>
      <w:tr w14:paraId="4EAD061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continue"/>
            <w:tcMar>
              <w:left w:w="0" w:type="dxa"/>
              <w:right w:w="0" w:type="dxa"/>
            </w:tcMar>
            <w:vAlign w:val="center"/>
          </w:tcPr>
          <w:p w14:paraId="3467838B">
            <w:pPr>
              <w:pStyle w:val="84"/>
              <w:pageBreakBefore w:val="0"/>
              <w:wordWrap/>
              <w:topLinePunct w:val="0"/>
              <w:bidi w:val="0"/>
              <w:spacing w:line="240" w:lineRule="auto"/>
              <w:rPr>
                <w:rFonts w:hAnsi="Times New Roman"/>
                <w:color w:val="000000" w:themeColor="text1"/>
                <w:highlight w:val="none"/>
              </w:rPr>
            </w:pPr>
          </w:p>
        </w:tc>
        <w:tc>
          <w:tcPr>
            <w:tcW w:w="1050" w:type="pct"/>
            <w:tcMar>
              <w:left w:w="0" w:type="dxa"/>
              <w:right w:w="0" w:type="dxa"/>
            </w:tcMar>
            <w:vAlign w:val="center"/>
          </w:tcPr>
          <w:p w14:paraId="43C5DD7E">
            <w:pPr>
              <w:pStyle w:val="84"/>
              <w:pageBreakBefore w:val="0"/>
              <w:wordWrap/>
              <w:topLinePunct w:val="0"/>
              <w:bidi w:val="0"/>
              <w:spacing w:line="240" w:lineRule="auto"/>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迁建（6个）</w:t>
            </w:r>
          </w:p>
        </w:tc>
        <w:tc>
          <w:tcPr>
            <w:tcW w:w="3282" w:type="pct"/>
            <w:tcMar>
              <w:left w:w="0" w:type="dxa"/>
              <w:right w:w="0" w:type="dxa"/>
            </w:tcMar>
            <w:vAlign w:val="center"/>
          </w:tcPr>
          <w:p w14:paraId="19423F49">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lang w:val="en-US" w:eastAsia="zh-CN"/>
              </w:rPr>
              <w:t>呼和浩</w:t>
            </w:r>
            <w:r>
              <w:rPr>
                <w:rFonts w:hint="default" w:hAnsi="Times New Roman"/>
                <w:color w:val="000000" w:themeColor="text1"/>
                <w:highlight w:val="none"/>
                <w:lang w:val="en-US" w:eastAsia="zh-CN"/>
              </w:rPr>
              <w:t>特</w:t>
            </w:r>
            <w:r>
              <w:rPr>
                <w:rFonts w:hAnsi="Times New Roman"/>
                <w:color w:val="000000" w:themeColor="text1"/>
                <w:highlight w:val="none"/>
                <w:lang w:val="en-US" w:eastAsia="zh-CN"/>
              </w:rPr>
              <w:t>、</w:t>
            </w:r>
            <w:r>
              <w:rPr>
                <w:rFonts w:hint="default" w:hAnsi="Times New Roman"/>
                <w:color w:val="000000" w:themeColor="text1"/>
                <w:highlight w:val="none"/>
                <w:lang w:val="en-US" w:eastAsia="zh-CN"/>
              </w:rPr>
              <w:t>青岛、湛江、连云港、达州、济宁。</w:t>
            </w:r>
          </w:p>
        </w:tc>
      </w:tr>
      <w:tr w14:paraId="6C3E76B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continue"/>
            <w:tcMar>
              <w:left w:w="0" w:type="dxa"/>
              <w:right w:w="0" w:type="dxa"/>
            </w:tcMar>
            <w:vAlign w:val="center"/>
          </w:tcPr>
          <w:p w14:paraId="4E14B373">
            <w:pPr>
              <w:pStyle w:val="84"/>
              <w:pageBreakBefore w:val="0"/>
              <w:wordWrap/>
              <w:topLinePunct w:val="0"/>
              <w:bidi w:val="0"/>
              <w:spacing w:line="240" w:lineRule="auto"/>
              <w:rPr>
                <w:rFonts w:hAnsi="Times New Roman"/>
                <w:color w:val="000000" w:themeColor="text1"/>
                <w:highlight w:val="none"/>
              </w:rPr>
            </w:pPr>
          </w:p>
        </w:tc>
        <w:tc>
          <w:tcPr>
            <w:tcW w:w="1050" w:type="pct"/>
            <w:tcMar>
              <w:left w:w="0" w:type="dxa"/>
              <w:right w:w="0" w:type="dxa"/>
            </w:tcMar>
            <w:vAlign w:val="center"/>
          </w:tcPr>
          <w:p w14:paraId="23D4881F">
            <w:pPr>
              <w:pStyle w:val="84"/>
              <w:pageBreakBefore w:val="0"/>
              <w:wordWrap/>
              <w:topLinePunct w:val="0"/>
              <w:bidi w:val="0"/>
              <w:spacing w:line="240" w:lineRule="auto"/>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改扩建（12个）</w:t>
            </w:r>
          </w:p>
        </w:tc>
        <w:tc>
          <w:tcPr>
            <w:tcW w:w="3282" w:type="pct"/>
            <w:tcMar>
              <w:left w:w="0" w:type="dxa"/>
              <w:right w:w="0" w:type="dxa"/>
            </w:tcMar>
            <w:vAlign w:val="center"/>
          </w:tcPr>
          <w:p w14:paraId="5EEF39A0">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lang w:val="en-US" w:eastAsia="zh-CN"/>
              </w:rPr>
              <w:t>杭州、</w:t>
            </w:r>
            <w:r>
              <w:rPr>
                <w:rFonts w:hint="default" w:hAnsi="Times New Roman"/>
                <w:color w:val="000000" w:themeColor="text1"/>
                <w:highlight w:val="none"/>
                <w:lang w:val="en-US" w:eastAsia="zh-CN"/>
              </w:rPr>
              <w:t>福州、烟台、广州、深圳、珠海、贵阳、丽江、西安、兰州、西宁、乌鲁木齐。</w:t>
            </w:r>
          </w:p>
        </w:tc>
      </w:tr>
      <w:tr w14:paraId="3B1049E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restart"/>
            <w:tcMar>
              <w:left w:w="0" w:type="dxa"/>
              <w:right w:w="0" w:type="dxa"/>
            </w:tcMar>
            <w:vAlign w:val="center"/>
          </w:tcPr>
          <w:p w14:paraId="02693354">
            <w:pPr>
              <w:pStyle w:val="84"/>
              <w:pageBreakBefore w:val="0"/>
              <w:wordWrap/>
              <w:topLinePunct w:val="0"/>
              <w:bidi w:val="0"/>
              <w:spacing w:line="240" w:lineRule="auto"/>
              <w:rPr>
                <w:rFonts w:hint="eastAsia" w:hAnsi="Times New Roman"/>
                <w:color w:val="000000" w:themeColor="text1"/>
                <w:highlight w:val="none"/>
                <w:lang w:val="en-US" w:eastAsia="zh-CN"/>
              </w:rPr>
            </w:pPr>
            <w:r>
              <w:rPr>
                <w:rFonts w:hint="eastAsia" w:hAnsi="Times New Roman"/>
                <w:color w:val="000000" w:themeColor="text1"/>
                <w:highlight w:val="none"/>
                <w:lang w:val="en-US" w:eastAsia="zh-CN"/>
              </w:rPr>
              <w:t>新开工</w:t>
            </w:r>
          </w:p>
          <w:p w14:paraId="3DC18D54">
            <w:pPr>
              <w:pStyle w:val="84"/>
              <w:pageBreakBefore w:val="0"/>
              <w:wordWrap/>
              <w:topLinePunct w:val="0"/>
              <w:bidi w:val="0"/>
              <w:spacing w:line="240" w:lineRule="auto"/>
              <w:rPr>
                <w:rFonts w:hint="default" w:hAnsi="Times New Roman"/>
                <w:color w:val="000000" w:themeColor="text1"/>
                <w:highlight w:val="none"/>
                <w:lang w:val="en-US" w:eastAsia="zh-CN"/>
              </w:rPr>
            </w:pPr>
            <w:r>
              <w:rPr>
                <w:rFonts w:hint="eastAsia" w:hAnsi="Times New Roman"/>
                <w:color w:val="000000" w:themeColor="text1"/>
                <w:highlight w:val="none"/>
                <w:lang w:val="en-US" w:eastAsia="zh-CN"/>
              </w:rPr>
              <w:t>（39个）</w:t>
            </w:r>
          </w:p>
        </w:tc>
        <w:tc>
          <w:tcPr>
            <w:tcW w:w="1050" w:type="pct"/>
            <w:tcMar>
              <w:left w:w="0" w:type="dxa"/>
              <w:right w:w="0" w:type="dxa"/>
            </w:tcMar>
            <w:vAlign w:val="center"/>
          </w:tcPr>
          <w:p w14:paraId="36899CFE">
            <w:pPr>
              <w:pStyle w:val="84"/>
              <w:pageBreakBefore w:val="0"/>
              <w:wordWrap/>
              <w:topLinePunct w:val="0"/>
              <w:bidi w:val="0"/>
              <w:spacing w:line="240" w:lineRule="auto"/>
              <w:ind w:firstLine="0" w:firstLineChars="0"/>
              <w:rPr>
                <w:rFonts w:hint="default" w:ascii="Times New Roman" w:hAnsi="Times New Roman" w:eastAsia="宋体" w:cs="Times New Roman"/>
                <w:color w:val="000000" w:themeColor="text1"/>
                <w:kern w:val="2"/>
                <w:sz w:val="21"/>
                <w:szCs w:val="24"/>
                <w:highlight w:val="none"/>
                <w:lang w:val="en-US" w:eastAsia="zh-CN" w:bidi="ar-SA"/>
              </w:rPr>
            </w:pPr>
            <w:r>
              <w:rPr>
                <w:rFonts w:hint="eastAsia" w:hAnsi="Times New Roman"/>
                <w:color w:val="000000" w:themeColor="text1"/>
                <w:highlight w:val="none"/>
                <w:lang w:val="en-US" w:eastAsia="zh-CN"/>
              </w:rPr>
              <w:t>新建（23个）</w:t>
            </w:r>
          </w:p>
        </w:tc>
        <w:tc>
          <w:tcPr>
            <w:tcW w:w="3282" w:type="pct"/>
            <w:tcMar>
              <w:left w:w="0" w:type="dxa"/>
              <w:right w:w="0" w:type="dxa"/>
            </w:tcMar>
            <w:vAlign w:val="center"/>
          </w:tcPr>
          <w:p w14:paraId="24FF17F2">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Ansi="Times New Roman"/>
                <w:color w:val="000000" w:themeColor="text1"/>
                <w:highlight w:val="none"/>
                <w:lang w:val="en-US" w:eastAsia="zh-CN"/>
              </w:rPr>
              <w:t>朔州、</w:t>
            </w:r>
            <w:r>
              <w:rPr>
                <w:rFonts w:hint="default" w:hAnsi="Times New Roman"/>
                <w:color w:val="000000" w:themeColor="text1"/>
                <w:highlight w:val="none"/>
                <w:lang w:val="en-US" w:eastAsia="zh-CN"/>
              </w:rPr>
              <w:t>嘉兴、亳州、蚌埠、枣庄、安阳、商丘、乐山、黔北（德江）、盘州、红河、隆子、定日、普兰、府谷、定边、宝鸡、共和、准东（奇台）、和静（巴音布鲁克）、巴里坤、阿拉尔、阿拉善左旗。</w:t>
            </w:r>
          </w:p>
        </w:tc>
      </w:tr>
      <w:tr w14:paraId="37EA0BC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continue"/>
            <w:tcMar>
              <w:left w:w="0" w:type="dxa"/>
              <w:right w:w="0" w:type="dxa"/>
            </w:tcMar>
            <w:vAlign w:val="center"/>
          </w:tcPr>
          <w:p w14:paraId="3F650903">
            <w:pPr>
              <w:pStyle w:val="84"/>
              <w:pageBreakBefore w:val="0"/>
              <w:wordWrap/>
              <w:topLinePunct w:val="0"/>
              <w:bidi w:val="0"/>
              <w:spacing w:line="240" w:lineRule="auto"/>
              <w:rPr>
                <w:rFonts w:hAnsi="Times New Roman"/>
                <w:color w:val="000000" w:themeColor="text1"/>
                <w:highlight w:val="none"/>
              </w:rPr>
            </w:pPr>
          </w:p>
        </w:tc>
        <w:tc>
          <w:tcPr>
            <w:tcW w:w="1050" w:type="pct"/>
            <w:tcMar>
              <w:left w:w="0" w:type="dxa"/>
              <w:right w:w="0" w:type="dxa"/>
            </w:tcMar>
            <w:vAlign w:val="center"/>
          </w:tcPr>
          <w:p w14:paraId="57E79783">
            <w:pPr>
              <w:pStyle w:val="84"/>
              <w:pageBreakBefore w:val="0"/>
              <w:wordWrap/>
              <w:topLinePunct w:val="0"/>
              <w:bidi w:val="0"/>
              <w:spacing w:line="240" w:lineRule="auto"/>
              <w:ind w:firstLine="0" w:firstLineChars="0"/>
              <w:rPr>
                <w:rFonts w:hint="default" w:ascii="Times New Roman" w:hAnsi="Times New Roman" w:eastAsia="宋体" w:cs="Times New Roman"/>
                <w:color w:val="000000" w:themeColor="text1"/>
                <w:kern w:val="2"/>
                <w:sz w:val="21"/>
                <w:szCs w:val="24"/>
                <w:highlight w:val="none"/>
                <w:lang w:val="en-US" w:eastAsia="zh-CN" w:bidi="ar-SA"/>
              </w:rPr>
            </w:pPr>
            <w:r>
              <w:rPr>
                <w:rFonts w:hint="eastAsia" w:hAnsi="Times New Roman"/>
                <w:color w:val="000000" w:themeColor="text1"/>
                <w:highlight w:val="none"/>
                <w:lang w:val="en-US" w:eastAsia="zh-CN"/>
              </w:rPr>
              <w:t>迁建（4个）</w:t>
            </w:r>
          </w:p>
        </w:tc>
        <w:tc>
          <w:tcPr>
            <w:tcW w:w="3282" w:type="pct"/>
            <w:tcMar>
              <w:left w:w="0" w:type="dxa"/>
              <w:right w:w="0" w:type="dxa"/>
            </w:tcMar>
            <w:vAlign w:val="center"/>
          </w:tcPr>
          <w:p w14:paraId="5D4B18E6">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Ansi="Times New Roman"/>
                <w:color w:val="000000" w:themeColor="text1"/>
                <w:highlight w:val="none"/>
                <w:lang w:val="en-US" w:eastAsia="zh-CN"/>
              </w:rPr>
              <w:t>厦门、</w:t>
            </w:r>
            <w:r>
              <w:rPr>
                <w:rFonts w:hint="default" w:hAnsi="Times New Roman"/>
                <w:color w:val="000000" w:themeColor="text1"/>
                <w:highlight w:val="none"/>
                <w:lang w:val="en-US" w:eastAsia="zh-CN"/>
              </w:rPr>
              <w:t>延吉、昭通、天水。</w:t>
            </w:r>
          </w:p>
        </w:tc>
      </w:tr>
      <w:tr w14:paraId="04EF2C7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continue"/>
            <w:tcMar>
              <w:left w:w="0" w:type="dxa"/>
              <w:right w:w="0" w:type="dxa"/>
            </w:tcMar>
            <w:vAlign w:val="center"/>
          </w:tcPr>
          <w:p w14:paraId="7EFA422E">
            <w:pPr>
              <w:pStyle w:val="84"/>
              <w:pageBreakBefore w:val="0"/>
              <w:wordWrap/>
              <w:topLinePunct w:val="0"/>
              <w:bidi w:val="0"/>
              <w:spacing w:line="240" w:lineRule="auto"/>
              <w:rPr>
                <w:rFonts w:hAnsi="Times New Roman"/>
                <w:color w:val="000000" w:themeColor="text1"/>
                <w:highlight w:val="none"/>
              </w:rPr>
            </w:pPr>
          </w:p>
        </w:tc>
        <w:tc>
          <w:tcPr>
            <w:tcW w:w="1050" w:type="pct"/>
            <w:tcMar>
              <w:left w:w="0" w:type="dxa"/>
              <w:right w:w="0" w:type="dxa"/>
            </w:tcMar>
            <w:vAlign w:val="center"/>
          </w:tcPr>
          <w:p w14:paraId="3C1AFA68">
            <w:pPr>
              <w:pStyle w:val="84"/>
              <w:pageBreakBefore w:val="0"/>
              <w:wordWrap/>
              <w:topLinePunct w:val="0"/>
              <w:bidi w:val="0"/>
              <w:spacing w:line="240" w:lineRule="auto"/>
              <w:ind w:firstLine="0" w:firstLineChars="0"/>
              <w:rPr>
                <w:rFonts w:hint="default" w:ascii="Times New Roman" w:hAnsi="Times New Roman" w:eastAsia="宋体" w:cs="Times New Roman"/>
                <w:color w:val="000000" w:themeColor="text1"/>
                <w:kern w:val="2"/>
                <w:sz w:val="21"/>
                <w:szCs w:val="24"/>
                <w:highlight w:val="none"/>
                <w:lang w:val="en-US" w:eastAsia="zh-CN" w:bidi="ar-SA"/>
              </w:rPr>
            </w:pPr>
            <w:r>
              <w:rPr>
                <w:rFonts w:hint="eastAsia" w:hAnsi="Times New Roman"/>
                <w:color w:val="000000" w:themeColor="text1"/>
                <w:highlight w:val="none"/>
                <w:lang w:val="en-US" w:eastAsia="zh-CN"/>
              </w:rPr>
              <w:t>改扩建（12个）</w:t>
            </w:r>
          </w:p>
        </w:tc>
        <w:tc>
          <w:tcPr>
            <w:tcW w:w="3282" w:type="pct"/>
            <w:tcMar>
              <w:left w:w="0" w:type="dxa"/>
              <w:right w:w="0" w:type="dxa"/>
            </w:tcMar>
            <w:vAlign w:val="center"/>
          </w:tcPr>
          <w:p w14:paraId="7E5362D5">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hAnsi="Times New Roman" w:eastAsia="宋体"/>
                <w:color w:val="000000" w:themeColor="text1"/>
                <w:highlight w:val="none"/>
                <w:lang w:val="en-US" w:eastAsia="zh-CN"/>
              </w:rPr>
            </w:pPr>
            <w:r>
              <w:rPr>
                <w:rFonts w:hint="eastAsia" w:hAnsi="Times New Roman" w:eastAsia="宋体"/>
                <w:color w:val="000000" w:themeColor="text1"/>
                <w:highlight w:val="none"/>
                <w:lang w:val="en-US" w:eastAsia="zh-CN"/>
              </w:rPr>
              <w:t>天津、太原、哈尔滨、沈阳、上海浦东、南昌、济南、长沙、南宁、重庆、昆明、拉萨。</w:t>
            </w:r>
          </w:p>
        </w:tc>
      </w:tr>
      <w:tr w14:paraId="4504EC8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restart"/>
            <w:tcMar>
              <w:left w:w="0" w:type="dxa"/>
              <w:right w:w="0" w:type="dxa"/>
            </w:tcMar>
            <w:vAlign w:val="center"/>
          </w:tcPr>
          <w:p w14:paraId="776EB2FD">
            <w:pPr>
              <w:pStyle w:val="84"/>
              <w:pageBreakBefore w:val="0"/>
              <w:wordWrap/>
              <w:topLinePunct w:val="0"/>
              <w:bidi w:val="0"/>
              <w:spacing w:line="240" w:lineRule="auto"/>
              <w:rPr>
                <w:rFonts w:hint="eastAsia" w:hAnsi="Times New Roman"/>
                <w:color w:val="000000" w:themeColor="text1"/>
                <w:highlight w:val="none"/>
                <w:lang w:val="en-US" w:eastAsia="zh-CN"/>
              </w:rPr>
            </w:pPr>
            <w:r>
              <w:rPr>
                <w:rFonts w:hint="eastAsia" w:hAnsi="Times New Roman"/>
                <w:color w:val="000000" w:themeColor="text1"/>
                <w:highlight w:val="none"/>
                <w:lang w:val="en-US" w:eastAsia="zh-CN"/>
              </w:rPr>
              <w:t>前期工作</w:t>
            </w:r>
          </w:p>
          <w:p w14:paraId="0431ECD3">
            <w:pPr>
              <w:pStyle w:val="84"/>
              <w:pageBreakBefore w:val="0"/>
              <w:wordWrap/>
              <w:topLinePunct w:val="0"/>
              <w:bidi w:val="0"/>
              <w:spacing w:line="240" w:lineRule="auto"/>
              <w:rPr>
                <w:rFonts w:hint="default" w:hAnsi="Times New Roman"/>
                <w:color w:val="000000" w:themeColor="text1"/>
                <w:highlight w:val="none"/>
                <w:lang w:val="en-US" w:eastAsia="zh-CN"/>
              </w:rPr>
            </w:pPr>
            <w:r>
              <w:rPr>
                <w:rFonts w:hint="eastAsia" w:hAnsi="Times New Roman"/>
                <w:color w:val="000000" w:themeColor="text1"/>
                <w:highlight w:val="none"/>
                <w:lang w:val="en-US" w:eastAsia="zh-CN"/>
              </w:rPr>
              <w:t>（67个）</w:t>
            </w:r>
          </w:p>
        </w:tc>
        <w:tc>
          <w:tcPr>
            <w:tcW w:w="1050" w:type="pct"/>
            <w:tcMar>
              <w:left w:w="0" w:type="dxa"/>
              <w:right w:w="0" w:type="dxa"/>
            </w:tcMar>
            <w:vAlign w:val="center"/>
          </w:tcPr>
          <w:p w14:paraId="6DAF2A47">
            <w:pPr>
              <w:pStyle w:val="84"/>
              <w:pageBreakBefore w:val="0"/>
              <w:wordWrap/>
              <w:topLinePunct w:val="0"/>
              <w:bidi w:val="0"/>
              <w:spacing w:line="240" w:lineRule="auto"/>
              <w:ind w:firstLine="0" w:firstLineChars="0"/>
              <w:rPr>
                <w:rFonts w:hint="default" w:ascii="Times New Roman" w:hAnsi="Times New Roman" w:eastAsia="宋体" w:cs="Times New Roman"/>
                <w:color w:val="000000" w:themeColor="text1"/>
                <w:kern w:val="2"/>
                <w:sz w:val="21"/>
                <w:szCs w:val="24"/>
                <w:highlight w:val="none"/>
                <w:lang w:val="en-US" w:eastAsia="zh-CN" w:bidi="ar-SA"/>
              </w:rPr>
            </w:pPr>
            <w:r>
              <w:rPr>
                <w:rFonts w:hint="eastAsia" w:hAnsi="Times New Roman"/>
                <w:color w:val="000000" w:themeColor="text1"/>
                <w:highlight w:val="none"/>
                <w:lang w:val="en-US" w:eastAsia="zh-CN"/>
              </w:rPr>
              <w:t>新建（43个）</w:t>
            </w:r>
          </w:p>
        </w:tc>
        <w:tc>
          <w:tcPr>
            <w:tcW w:w="3282" w:type="pct"/>
            <w:tcMar>
              <w:left w:w="0" w:type="dxa"/>
              <w:right w:w="0" w:type="dxa"/>
            </w:tcMar>
            <w:vAlign w:val="center"/>
          </w:tcPr>
          <w:p w14:paraId="3AA5F657">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Ansi="Times New Roman"/>
                <w:color w:val="000000" w:themeColor="text1"/>
                <w:highlight w:val="none"/>
                <w:lang w:val="en-US" w:eastAsia="zh-CN"/>
              </w:rPr>
              <w:t>珠三角枢纽（</w:t>
            </w:r>
            <w:r>
              <w:rPr>
                <w:rFonts w:hint="default" w:hAnsi="Times New Roman"/>
                <w:color w:val="000000" w:themeColor="text1"/>
                <w:highlight w:val="none"/>
                <w:lang w:val="en-US" w:eastAsia="zh-CN"/>
              </w:rPr>
              <w:t>广州新），正蓝旗、林西、东乌旗、四平、鹤岗、绥化、宿州、聊城、周口、鲁山、娄底、防城港、遂宁、会东、天柱、怒江、宣威、元阳、丘北、玉溪、楚雄、勐腊、平凉、武威、临夏、和布克赛尔、乌苏、轮台、且末（兵团）</w:t>
            </w:r>
          </w:p>
          <w:p w14:paraId="32AD0345">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int="default" w:hAnsi="Times New Roman"/>
                <w:color w:val="000000" w:themeColor="text1"/>
                <w:highlight w:val="none"/>
                <w:lang w:val="en-US" w:eastAsia="zh-CN"/>
              </w:rPr>
              <w:t xml:space="preserve">、皮山、华山。 </w:t>
            </w:r>
          </w:p>
          <w:p w14:paraId="175E3A3B">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int="default" w:hAnsi="Times New Roman"/>
                <w:color w:val="000000" w:themeColor="text1"/>
                <w:highlight w:val="none"/>
                <w:lang w:val="en-US" w:eastAsia="zh-CN"/>
              </w:rPr>
              <w:t>衡水、晋城、金寨、淄博、滨州、潢川、荆门、贵港、内江、广安、商洛。</w:t>
            </w:r>
          </w:p>
        </w:tc>
      </w:tr>
      <w:tr w14:paraId="66015F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66" w:type="pct"/>
            <w:vMerge w:val="continue"/>
            <w:tcMar>
              <w:left w:w="0" w:type="dxa"/>
              <w:right w:w="0" w:type="dxa"/>
            </w:tcMar>
            <w:vAlign w:val="center"/>
          </w:tcPr>
          <w:p w14:paraId="60E0E8C2">
            <w:pPr>
              <w:pStyle w:val="84"/>
              <w:pageBreakBefore w:val="0"/>
              <w:wordWrap/>
              <w:topLinePunct w:val="0"/>
              <w:bidi w:val="0"/>
              <w:spacing w:line="240" w:lineRule="auto"/>
              <w:rPr>
                <w:rFonts w:hAnsi="Times New Roman"/>
                <w:color w:val="000000" w:themeColor="text1"/>
                <w:highlight w:val="none"/>
              </w:rPr>
            </w:pPr>
          </w:p>
        </w:tc>
        <w:tc>
          <w:tcPr>
            <w:tcW w:w="1050" w:type="pct"/>
            <w:tcMar>
              <w:left w:w="0" w:type="dxa"/>
              <w:right w:w="0" w:type="dxa"/>
            </w:tcMar>
            <w:vAlign w:val="center"/>
          </w:tcPr>
          <w:p w14:paraId="2603A26A">
            <w:pPr>
              <w:pStyle w:val="84"/>
              <w:pageBreakBefore w:val="0"/>
              <w:wordWrap/>
              <w:topLinePunct w:val="0"/>
              <w:bidi w:val="0"/>
              <w:spacing w:line="240" w:lineRule="auto"/>
              <w:ind w:firstLine="0" w:firstLineChars="0"/>
              <w:rPr>
                <w:rFonts w:hint="default" w:ascii="Times New Roman" w:hAnsi="Times New Roman" w:eastAsia="宋体" w:cs="Times New Roman"/>
                <w:color w:val="000000" w:themeColor="text1"/>
                <w:kern w:val="2"/>
                <w:sz w:val="21"/>
                <w:szCs w:val="24"/>
                <w:highlight w:val="none"/>
                <w:lang w:val="en-US" w:eastAsia="zh-CN" w:bidi="ar-SA"/>
              </w:rPr>
            </w:pPr>
            <w:r>
              <w:rPr>
                <w:rFonts w:hint="eastAsia" w:hAnsi="Times New Roman"/>
                <w:color w:val="000000" w:themeColor="text1"/>
                <w:highlight w:val="none"/>
                <w:lang w:val="en-US" w:eastAsia="zh-CN"/>
              </w:rPr>
              <w:t>迁建（15个）</w:t>
            </w:r>
          </w:p>
        </w:tc>
        <w:tc>
          <w:tcPr>
            <w:tcW w:w="3282" w:type="pct"/>
            <w:tcMar>
              <w:left w:w="0" w:type="dxa"/>
              <w:right w:w="0" w:type="dxa"/>
            </w:tcMar>
            <w:vAlign w:val="center"/>
          </w:tcPr>
          <w:p w14:paraId="23085FB2">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Ansi="Times New Roman"/>
                <w:color w:val="000000" w:themeColor="text1"/>
                <w:highlight w:val="none"/>
                <w:lang w:val="en-US" w:eastAsia="zh-CN"/>
              </w:rPr>
              <w:t>大连、</w:t>
            </w:r>
            <w:r>
              <w:rPr>
                <w:rFonts w:hint="default" w:hAnsi="Times New Roman"/>
                <w:color w:val="000000" w:themeColor="text1"/>
                <w:highlight w:val="none"/>
                <w:lang w:val="en-US" w:eastAsia="zh-CN"/>
              </w:rPr>
              <w:t>牡丹江、南通、衢州、义乌、龙岩、武夷山、威海、潍坊、恩施、永州、梅县、三亚、攀枝花、普洱。</w:t>
            </w:r>
          </w:p>
        </w:tc>
      </w:tr>
      <w:tr w14:paraId="19FA5B0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40" w:hRule="atLeast"/>
          <w:jc w:val="center"/>
        </w:trPr>
        <w:tc>
          <w:tcPr>
            <w:tcW w:w="666" w:type="pct"/>
            <w:vMerge w:val="continue"/>
            <w:tcMar>
              <w:left w:w="0" w:type="dxa"/>
              <w:right w:w="0" w:type="dxa"/>
            </w:tcMar>
            <w:vAlign w:val="center"/>
          </w:tcPr>
          <w:p w14:paraId="48A66B41">
            <w:pPr>
              <w:pStyle w:val="84"/>
              <w:pageBreakBefore w:val="0"/>
              <w:wordWrap/>
              <w:topLinePunct w:val="0"/>
              <w:bidi w:val="0"/>
              <w:spacing w:line="240" w:lineRule="auto"/>
              <w:rPr>
                <w:rFonts w:hAnsi="Times New Roman"/>
                <w:color w:val="000000" w:themeColor="text1"/>
                <w:highlight w:val="none"/>
              </w:rPr>
            </w:pPr>
          </w:p>
        </w:tc>
        <w:tc>
          <w:tcPr>
            <w:tcW w:w="1050" w:type="pct"/>
            <w:tcMar>
              <w:left w:w="0" w:type="dxa"/>
              <w:right w:w="0" w:type="dxa"/>
            </w:tcMar>
            <w:vAlign w:val="center"/>
          </w:tcPr>
          <w:p w14:paraId="757388DC">
            <w:pPr>
              <w:pStyle w:val="84"/>
              <w:pageBreakBefore w:val="0"/>
              <w:wordWrap/>
              <w:topLinePunct w:val="0"/>
              <w:bidi w:val="0"/>
              <w:spacing w:line="240" w:lineRule="auto"/>
              <w:ind w:firstLine="0" w:firstLineChars="0"/>
              <w:rPr>
                <w:rFonts w:hint="default" w:ascii="Times New Roman" w:hAnsi="Times New Roman" w:eastAsia="宋体" w:cs="Times New Roman"/>
                <w:color w:val="000000" w:themeColor="text1"/>
                <w:kern w:val="2"/>
                <w:sz w:val="21"/>
                <w:szCs w:val="24"/>
                <w:highlight w:val="none"/>
                <w:lang w:val="en-US" w:eastAsia="zh-CN" w:bidi="ar-SA"/>
              </w:rPr>
            </w:pPr>
            <w:r>
              <w:rPr>
                <w:rFonts w:hint="eastAsia" w:hAnsi="Times New Roman"/>
                <w:color w:val="000000" w:themeColor="text1"/>
                <w:highlight w:val="none"/>
                <w:lang w:val="en-US" w:eastAsia="zh-CN"/>
              </w:rPr>
              <w:t>改扩建（9个）</w:t>
            </w:r>
          </w:p>
        </w:tc>
        <w:tc>
          <w:tcPr>
            <w:tcW w:w="3282" w:type="pct"/>
            <w:tcMar>
              <w:left w:w="0" w:type="dxa"/>
              <w:right w:w="0" w:type="dxa"/>
            </w:tcMar>
            <w:vAlign w:val="center"/>
          </w:tcPr>
          <w:p w14:paraId="56E90D7E">
            <w:pPr>
              <w:pStyle w:val="84"/>
              <w:keepNext w:val="0"/>
              <w:keepLines w:val="0"/>
              <w:pageBreakBefore w:val="0"/>
              <w:widowControl w:val="0"/>
              <w:kinsoku/>
              <w:wordWrap/>
              <w:overflowPunct/>
              <w:topLinePunct w:val="0"/>
              <w:autoSpaceDE/>
              <w:autoSpaceDN/>
              <w:bidi w:val="0"/>
              <w:adjustRightInd/>
              <w:snapToGrid w:val="0"/>
              <w:spacing w:line="240" w:lineRule="auto"/>
              <w:textAlignment w:val="auto"/>
              <w:rPr>
                <w:rFonts w:hAnsi="Times New Roman"/>
                <w:color w:val="000000" w:themeColor="text1"/>
                <w:highlight w:val="none"/>
              </w:rPr>
            </w:pPr>
            <w:r>
              <w:rPr>
                <w:rFonts w:hAnsi="Times New Roman"/>
                <w:color w:val="000000" w:themeColor="text1"/>
                <w:highlight w:val="none"/>
                <w:lang w:val="en-US" w:eastAsia="zh-CN"/>
              </w:rPr>
              <w:t>石家庄、</w:t>
            </w:r>
            <w:r>
              <w:rPr>
                <w:rFonts w:hint="default" w:hAnsi="Times New Roman"/>
                <w:color w:val="000000" w:themeColor="text1"/>
                <w:highlight w:val="none"/>
                <w:lang w:val="en-US" w:eastAsia="zh-CN"/>
              </w:rPr>
              <w:t>长春、南京、宁波、温州、合肥、郑州、武汉、银川。</w:t>
            </w:r>
          </w:p>
        </w:tc>
      </w:tr>
    </w:tbl>
    <w:p w14:paraId="3728D9DC">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其中，鹤岗机场已被列入 “十四五”时期运输机场重点建设项目前期工作新建43个机场之中。</w:t>
      </w:r>
    </w:p>
    <w:p w14:paraId="421BFDBA">
      <w:pPr>
        <w:bidi w:val="0"/>
        <w:spacing w:line="360" w:lineRule="auto"/>
        <w:rPr>
          <w:rFonts w:hint="eastAsia"/>
          <w:color w:val="000000" w:themeColor="text1"/>
          <w:highlight w:val="none"/>
        </w:rPr>
      </w:pPr>
      <w:r>
        <w:rPr>
          <w:rFonts w:hint="eastAsia"/>
          <w:color w:val="000000" w:themeColor="text1"/>
          <w:highlight w:val="none"/>
          <w:lang w:val="en-US" w:eastAsia="zh-CN"/>
        </w:rPr>
        <w:t>“第二节 打造机场综合交通枢纽：推动与各种交通方式深度融合。紧抓交通设施集中建设机遇期，以枢纽机场为中心节点，按照应联尽联原则，强化与干线铁路、城际铁路、城市轨道交通、高（快）速路等衔接联通，优化货运机场集疏运体系，形成一批以机场为核心的现代化综合交通枢纽。加强枢纽站场的统筹规划，按照统一规划、统一设计、统一建设、协同管理原则，推动各种运输方式集中布局、空间共享、信息互通、便捷换乘。”</w:t>
      </w:r>
    </w:p>
    <w:p w14:paraId="1AD19794">
      <w:pPr>
        <w:bidi w:val="0"/>
        <w:spacing w:line="360" w:lineRule="auto"/>
        <w:rPr>
          <w:color w:val="000000" w:themeColor="text1"/>
          <w:highlight w:val="none"/>
        </w:rPr>
      </w:pPr>
      <w:r>
        <w:rPr>
          <w:rFonts w:hint="eastAsia"/>
          <w:color w:val="000000" w:themeColor="text1"/>
          <w:highlight w:val="none"/>
          <w:lang w:val="en-US" w:eastAsia="zh-CN"/>
        </w:rPr>
        <w:t>本项目为新建黑龙江鹤岗机场场外配套工程（机场进场路建设工程）项目，为配合黑龙江省鹤岗机场建设，结合机场周边国、省道路网规划，拟修建一条机场路进场路，主要功能为连接鹤岗机场与鹤名公路，以保证各方交通均可快速、顺利的抵达鹤岗机场。</w:t>
      </w:r>
    </w:p>
    <w:p w14:paraId="6262AEA2">
      <w:pPr>
        <w:bidi w:val="0"/>
        <w:spacing w:line="360" w:lineRule="auto"/>
        <w:rPr>
          <w:color w:val="000000" w:themeColor="text1"/>
          <w:highlight w:val="none"/>
        </w:rPr>
      </w:pPr>
      <w:r>
        <w:rPr>
          <w:rFonts w:hint="eastAsia"/>
          <w:color w:val="000000" w:themeColor="text1"/>
          <w:highlight w:val="none"/>
        </w:rPr>
        <w:t>综上所述，本项目</w:t>
      </w:r>
      <w:r>
        <w:rPr>
          <w:rFonts w:hint="eastAsia"/>
          <w:color w:val="000000" w:themeColor="text1"/>
          <w:highlight w:val="none"/>
          <w:lang w:val="en-US" w:eastAsia="zh-CN"/>
        </w:rPr>
        <w:t>建设</w:t>
      </w:r>
      <w:r>
        <w:rPr>
          <w:rFonts w:hint="eastAsia"/>
          <w:color w:val="000000" w:themeColor="text1"/>
          <w:highlight w:val="none"/>
        </w:rPr>
        <w:t>符合《</w:t>
      </w:r>
      <w:r>
        <w:rPr>
          <w:rFonts w:hint="eastAsia"/>
          <w:color w:val="000000" w:themeColor="text1"/>
          <w:highlight w:val="none"/>
          <w:lang w:eastAsia="zh-CN"/>
        </w:rPr>
        <w:t>“</w:t>
      </w:r>
      <w:r>
        <w:rPr>
          <w:rFonts w:hint="eastAsia"/>
          <w:color w:val="000000" w:themeColor="text1"/>
          <w:highlight w:val="none"/>
        </w:rPr>
        <w:t>十四五</w:t>
      </w:r>
      <w:r>
        <w:rPr>
          <w:rFonts w:hint="eastAsia"/>
          <w:color w:val="000000" w:themeColor="text1"/>
          <w:highlight w:val="none"/>
          <w:lang w:eastAsia="zh-CN"/>
        </w:rPr>
        <w:t>”</w:t>
      </w:r>
      <w:r>
        <w:rPr>
          <w:rFonts w:hint="eastAsia"/>
          <w:color w:val="000000" w:themeColor="text1"/>
          <w:highlight w:val="none"/>
        </w:rPr>
        <w:t>民用航空发展规划》</w:t>
      </w:r>
      <w:r>
        <w:rPr>
          <w:rFonts w:hint="eastAsia"/>
          <w:color w:val="000000" w:themeColor="text1"/>
          <w:highlight w:val="none"/>
          <w:lang w:val="en-US" w:eastAsia="zh-CN"/>
        </w:rPr>
        <w:t>要求</w:t>
      </w:r>
      <w:r>
        <w:rPr>
          <w:rFonts w:hint="eastAsia"/>
          <w:color w:val="000000" w:themeColor="text1"/>
          <w:highlight w:val="none"/>
        </w:rPr>
        <w:t>。</w:t>
      </w:r>
    </w:p>
    <w:p w14:paraId="7E99C983">
      <w:pPr>
        <w:bidi w:val="0"/>
        <w:spacing w:line="360" w:lineRule="auto"/>
        <w:rPr>
          <w:color w:val="000000" w:themeColor="text1"/>
          <w:highlight w:val="none"/>
        </w:rPr>
      </w:pPr>
      <w:r>
        <w:rPr>
          <w:rFonts w:hint="eastAsia"/>
          <w:color w:val="000000" w:themeColor="text1"/>
          <w:highlight w:val="none"/>
          <w:lang w:val="en-US" w:eastAsia="zh-CN"/>
        </w:rPr>
        <w:t>②</w:t>
      </w:r>
      <w:r>
        <w:rPr>
          <w:color w:val="000000" w:themeColor="text1"/>
          <w:highlight w:val="none"/>
        </w:rPr>
        <w:t>与《黑龙江省主体功能区规划》符合性分析</w:t>
      </w:r>
    </w:p>
    <w:p w14:paraId="2C2A7E05">
      <w:pPr>
        <w:bidi w:val="0"/>
        <w:spacing w:line="360" w:lineRule="auto"/>
        <w:rPr>
          <w:color w:val="000000" w:themeColor="text1"/>
          <w:highlight w:val="none"/>
        </w:rPr>
      </w:pPr>
      <w:r>
        <w:rPr>
          <w:color w:val="000000" w:themeColor="text1"/>
          <w:highlight w:val="none"/>
        </w:rPr>
        <w:t>根据《黑龙江省主体功能区规划》</w:t>
      </w:r>
      <w:r>
        <w:rPr>
          <w:rFonts w:hint="eastAsia"/>
          <w:color w:val="000000" w:themeColor="text1"/>
          <w:highlight w:val="none"/>
          <w:lang w:eastAsia="zh-CN"/>
        </w:rPr>
        <w:t>“</w:t>
      </w:r>
      <w:r>
        <w:rPr>
          <w:color w:val="000000" w:themeColor="text1"/>
          <w:highlight w:val="none"/>
        </w:rPr>
        <w:t>第三章省域主体功能区</w:t>
      </w:r>
      <w:r>
        <w:rPr>
          <w:rFonts w:hint="eastAsia"/>
          <w:color w:val="000000" w:themeColor="text1"/>
          <w:highlight w:val="none"/>
          <w:lang w:eastAsia="zh-CN"/>
        </w:rPr>
        <w:t>”</w:t>
      </w:r>
      <w:r>
        <w:rPr>
          <w:color w:val="000000" w:themeColor="text1"/>
          <w:highlight w:val="none"/>
        </w:rPr>
        <w:t>中</w:t>
      </w:r>
      <w:r>
        <w:rPr>
          <w:rFonts w:hint="eastAsia"/>
          <w:color w:val="000000" w:themeColor="text1"/>
          <w:highlight w:val="none"/>
          <w:lang w:eastAsia="zh-CN"/>
        </w:rPr>
        <w:t>“</w:t>
      </w:r>
      <w:r>
        <w:rPr>
          <w:rFonts w:hint="eastAsia"/>
          <w:color w:val="000000" w:themeColor="text1"/>
          <w:highlight w:val="none"/>
        </w:rPr>
        <w:t>完善基础设施。统筹规划建设交通、能源、通信、水利、环保、防灾等基础设施，构建完善、高效、区域一体、城乡统筹的基础设施网络</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健全城镇体系。加快城镇化进程，扩大区域中心城市经济规模，积极发展与中心城市有紧密联系的中等卫星城市和重点小城镇，形成布局合理、分工协作、优势互补、集约高效的城市群。进一步提高城市人口承载能力，吸纳限制开发区域和禁止开发区域的转移人口，城市规划建设要预留吸纳外来人口空间</w:t>
      </w:r>
      <w:r>
        <w:rPr>
          <w:rFonts w:hint="eastAsia"/>
          <w:color w:val="000000" w:themeColor="text1"/>
          <w:highlight w:val="none"/>
          <w:lang w:eastAsia="zh-CN"/>
        </w:rPr>
        <w:t>”</w:t>
      </w:r>
      <w:r>
        <w:rPr>
          <w:rFonts w:hint="eastAsia"/>
          <w:color w:val="000000" w:themeColor="text1"/>
          <w:highlight w:val="none"/>
        </w:rPr>
        <w:t>。</w:t>
      </w:r>
    </w:p>
    <w:p w14:paraId="2367593B">
      <w:pPr>
        <w:bidi w:val="0"/>
        <w:spacing w:line="360" w:lineRule="auto"/>
        <w:rPr>
          <w:color w:val="000000" w:themeColor="text1"/>
          <w:highlight w:val="none"/>
        </w:rPr>
      </w:pPr>
      <w:r>
        <w:rPr>
          <w:rFonts w:hint="eastAsia"/>
          <w:color w:val="000000" w:themeColor="text1"/>
          <w:highlight w:val="none"/>
          <w:lang w:val="en-US" w:eastAsia="zh-CN"/>
        </w:rPr>
        <w:t>本工程是新建黑龙江鹤岗机场场外配套工程（机场进场路建设工程）项目，起点为G332，终点为鹤岗机场，本工程西距鹤岗市区18km，东距宝泉岭6km，是连接鹤岗市、宝泉岭和机场的重要通道。本项目的建设对完善鹤岗航空机场交通环境，改善招商投资环境，发展鹤岗旅游业，促进地方经济发展有着重大意义。</w:t>
      </w:r>
      <w:r>
        <w:rPr>
          <w:color w:val="000000" w:themeColor="text1"/>
          <w:highlight w:val="none"/>
        </w:rPr>
        <w:t>故</w:t>
      </w:r>
      <w:r>
        <w:rPr>
          <w:rFonts w:hint="eastAsia"/>
          <w:color w:val="000000" w:themeColor="text1"/>
          <w:highlight w:val="none"/>
          <w:lang w:val="en-US" w:eastAsia="zh-CN"/>
        </w:rPr>
        <w:t>本项目</w:t>
      </w:r>
      <w:r>
        <w:rPr>
          <w:color w:val="000000" w:themeColor="text1"/>
          <w:highlight w:val="none"/>
        </w:rPr>
        <w:t>符合《黑龙江省主体功能区规划》。</w:t>
      </w:r>
    </w:p>
    <w:p w14:paraId="1445AF15">
      <w:pPr>
        <w:bidi w:val="0"/>
        <w:spacing w:line="360" w:lineRule="auto"/>
        <w:rPr>
          <w:color w:val="000000" w:themeColor="text1"/>
          <w:highlight w:val="none"/>
        </w:rPr>
      </w:pPr>
      <w:r>
        <w:rPr>
          <w:rFonts w:hint="eastAsia"/>
          <w:color w:val="000000" w:themeColor="text1"/>
          <w:highlight w:val="none"/>
          <w:lang w:val="en-US" w:eastAsia="zh-CN"/>
        </w:rPr>
        <w:t>③</w:t>
      </w:r>
      <w:r>
        <w:rPr>
          <w:color w:val="000000" w:themeColor="text1"/>
          <w:highlight w:val="none"/>
        </w:rPr>
        <w:t>与《黑龙江省生态功能区划》符合性</w:t>
      </w:r>
    </w:p>
    <w:p w14:paraId="194B8373">
      <w:pPr>
        <w:bidi w:val="0"/>
        <w:spacing w:line="360" w:lineRule="auto"/>
        <w:rPr>
          <w:color w:val="000000" w:themeColor="text1"/>
          <w:highlight w:val="none"/>
        </w:rPr>
      </w:pPr>
      <w:r>
        <w:rPr>
          <w:color w:val="000000" w:themeColor="text1"/>
          <w:highlight w:val="none"/>
        </w:rPr>
        <w:t>根据《黑龙江省生态功能区划》，黑龙江省共划分6个生态区（一级）、13个生态亚区（二级区）、45个生态功能区（三级区）。</w:t>
      </w:r>
    </w:p>
    <w:p w14:paraId="03A026B0">
      <w:pPr>
        <w:bidi w:val="0"/>
        <w:spacing w:line="360" w:lineRule="auto"/>
        <w:rPr>
          <w:color w:val="000000" w:themeColor="text1"/>
          <w:highlight w:val="none"/>
        </w:rPr>
      </w:pPr>
      <w:r>
        <w:rPr>
          <w:rFonts w:hint="eastAsia"/>
          <w:color w:val="000000" w:themeColor="text1"/>
          <w:highlight w:val="none"/>
          <w:lang w:val="en-US" w:eastAsia="zh-CN"/>
        </w:rPr>
        <w:t>本项目位于鹤岗市</w:t>
      </w:r>
      <w:r>
        <w:rPr>
          <w:rFonts w:hint="default"/>
          <w:color w:val="000000" w:themeColor="text1"/>
          <w:highlight w:val="none"/>
          <w:lang w:val="en-US" w:eastAsia="zh-CN"/>
        </w:rPr>
        <w:t>，鹤岗</w:t>
      </w:r>
      <w:r>
        <w:rPr>
          <w:rFonts w:hint="default"/>
          <w:color w:val="000000" w:themeColor="text1"/>
          <w:highlight w:val="none"/>
        </w:rPr>
        <w:t>市属于Ⅰ—3—1—2松花江下游北部农业与沙化控制及土壤保持生态功能区，</w:t>
      </w:r>
      <w:r>
        <w:rPr>
          <w:color w:val="000000" w:themeColor="text1"/>
          <w:highlight w:val="none"/>
        </w:rPr>
        <w:t>主要服务功能为</w:t>
      </w:r>
      <w:r>
        <w:rPr>
          <w:rFonts w:hint="eastAsia"/>
          <w:color w:val="000000" w:themeColor="text1"/>
          <w:highlight w:val="none"/>
        </w:rPr>
        <w:t>土壤保持、生物多样性保护、农业生产</w:t>
      </w:r>
      <w:r>
        <w:rPr>
          <w:color w:val="000000" w:themeColor="text1"/>
          <w:highlight w:val="none"/>
        </w:rPr>
        <w:t>。主要生态环境问题、敏感性、生态系统服务功能和保护措施见表</w:t>
      </w:r>
      <w:r>
        <w:rPr>
          <w:rFonts w:hint="eastAsia"/>
          <w:color w:val="000000" w:themeColor="text1"/>
          <w:highlight w:val="none"/>
          <w:lang w:val="en-US" w:eastAsia="zh-CN"/>
        </w:rPr>
        <w:t>1.5</w:t>
      </w:r>
      <w:r>
        <w:rPr>
          <w:color w:val="000000" w:themeColor="text1"/>
          <w:highlight w:val="none"/>
        </w:rPr>
        <w:t>-2。</w:t>
      </w:r>
    </w:p>
    <w:p w14:paraId="3E31546F">
      <w:pPr>
        <w:pStyle w:val="90"/>
        <w:pageBreakBefore w:val="0"/>
        <w:wordWrap/>
        <w:topLinePunct w:val="0"/>
        <w:bidi w:val="0"/>
        <w:adjustRightInd w:val="0"/>
        <w:snapToGrid w:val="0"/>
        <w:spacing w:line="360" w:lineRule="auto"/>
        <w:ind w:firstLine="600"/>
        <w:rPr>
          <w:color w:val="000000" w:themeColor="text1"/>
          <w:sz w:val="24"/>
          <w:szCs w:val="24"/>
          <w:highlight w:val="none"/>
        </w:rPr>
      </w:pPr>
      <w:r>
        <w:rPr>
          <w:color w:val="000000" w:themeColor="text1"/>
          <w:sz w:val="24"/>
          <w:szCs w:val="24"/>
          <w:highlight w:val="none"/>
        </w:rPr>
        <w:t>表</w:t>
      </w:r>
      <w:r>
        <w:rPr>
          <w:rFonts w:hint="eastAsia"/>
          <w:color w:val="000000" w:themeColor="text1"/>
          <w:sz w:val="24"/>
          <w:szCs w:val="24"/>
          <w:highlight w:val="none"/>
          <w:lang w:val="en-US" w:eastAsia="zh-CN"/>
        </w:rPr>
        <w:t>1.5</w:t>
      </w:r>
      <w:r>
        <w:rPr>
          <w:color w:val="000000" w:themeColor="text1"/>
          <w:sz w:val="24"/>
          <w:szCs w:val="24"/>
          <w:highlight w:val="none"/>
        </w:rPr>
        <w:t>-2</w:t>
      </w:r>
      <w:r>
        <w:rPr>
          <w:rFonts w:hint="eastAsia"/>
          <w:color w:val="000000" w:themeColor="text1"/>
          <w:sz w:val="24"/>
          <w:szCs w:val="24"/>
          <w:highlight w:val="none"/>
          <w:lang w:val="en-US" w:eastAsia="zh-CN"/>
        </w:rPr>
        <w:t xml:space="preserve">  </w:t>
      </w:r>
      <w:r>
        <w:rPr>
          <w:color w:val="000000" w:themeColor="text1"/>
          <w:sz w:val="24"/>
          <w:szCs w:val="24"/>
          <w:highlight w:val="none"/>
        </w:rPr>
        <w:t>生态功能区划及保护对策</w:t>
      </w:r>
    </w:p>
    <w:tbl>
      <w:tblPr>
        <w:tblStyle w:val="33"/>
        <w:tblW w:w="866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95"/>
        <w:gridCol w:w="989"/>
        <w:gridCol w:w="1194"/>
        <w:gridCol w:w="992"/>
        <w:gridCol w:w="1134"/>
        <w:gridCol w:w="1277"/>
        <w:gridCol w:w="992"/>
        <w:gridCol w:w="1289"/>
      </w:tblGrid>
      <w:tr w14:paraId="282137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78" w:type="dxa"/>
            <w:gridSpan w:val="3"/>
            <w:vAlign w:val="center"/>
          </w:tcPr>
          <w:p w14:paraId="0FFB5737">
            <w:pPr>
              <w:pStyle w:val="102"/>
              <w:pageBreakBefore w:val="0"/>
              <w:wordWrap/>
              <w:topLinePunct w:val="0"/>
              <w:bidi w:val="0"/>
              <w:spacing w:line="240" w:lineRule="auto"/>
              <w:rPr>
                <w:color w:val="000000" w:themeColor="text1"/>
                <w:highlight w:val="none"/>
              </w:rPr>
            </w:pPr>
            <w:r>
              <w:rPr>
                <w:color w:val="000000" w:themeColor="text1"/>
                <w:highlight w:val="none"/>
              </w:rPr>
              <w:t>生态功能分区单元</w:t>
            </w:r>
          </w:p>
        </w:tc>
        <w:tc>
          <w:tcPr>
            <w:tcW w:w="992" w:type="dxa"/>
            <w:vMerge w:val="restart"/>
            <w:vAlign w:val="center"/>
          </w:tcPr>
          <w:p w14:paraId="0CDFA664">
            <w:pPr>
              <w:pStyle w:val="102"/>
              <w:pageBreakBefore w:val="0"/>
              <w:wordWrap/>
              <w:topLinePunct w:val="0"/>
              <w:bidi w:val="0"/>
              <w:spacing w:line="240" w:lineRule="auto"/>
              <w:rPr>
                <w:color w:val="000000" w:themeColor="text1"/>
                <w:highlight w:val="none"/>
              </w:rPr>
            </w:pPr>
            <w:r>
              <w:rPr>
                <w:color w:val="000000" w:themeColor="text1"/>
                <w:highlight w:val="none"/>
              </w:rPr>
              <w:t>所在区域面积</w:t>
            </w:r>
          </w:p>
        </w:tc>
        <w:tc>
          <w:tcPr>
            <w:tcW w:w="1134" w:type="dxa"/>
            <w:vMerge w:val="restart"/>
            <w:vAlign w:val="center"/>
          </w:tcPr>
          <w:p w14:paraId="27B9E7C3">
            <w:pPr>
              <w:pStyle w:val="102"/>
              <w:pageBreakBefore w:val="0"/>
              <w:wordWrap/>
              <w:topLinePunct w:val="0"/>
              <w:bidi w:val="0"/>
              <w:spacing w:line="240" w:lineRule="auto"/>
              <w:rPr>
                <w:color w:val="000000" w:themeColor="text1"/>
                <w:highlight w:val="none"/>
              </w:rPr>
            </w:pPr>
            <w:r>
              <w:rPr>
                <w:color w:val="000000" w:themeColor="text1"/>
                <w:highlight w:val="none"/>
              </w:rPr>
              <w:t>主要生态</w:t>
            </w:r>
          </w:p>
          <w:p w14:paraId="6CC2D32E">
            <w:pPr>
              <w:pStyle w:val="102"/>
              <w:pageBreakBefore w:val="0"/>
              <w:wordWrap/>
              <w:topLinePunct w:val="0"/>
              <w:bidi w:val="0"/>
              <w:spacing w:line="240" w:lineRule="auto"/>
              <w:rPr>
                <w:color w:val="000000" w:themeColor="text1"/>
                <w:highlight w:val="none"/>
              </w:rPr>
            </w:pPr>
            <w:r>
              <w:rPr>
                <w:color w:val="000000" w:themeColor="text1"/>
                <w:highlight w:val="none"/>
              </w:rPr>
              <w:t>环境问题</w:t>
            </w:r>
          </w:p>
        </w:tc>
        <w:tc>
          <w:tcPr>
            <w:tcW w:w="1277" w:type="dxa"/>
            <w:vMerge w:val="restart"/>
            <w:vAlign w:val="center"/>
          </w:tcPr>
          <w:p w14:paraId="119107E6">
            <w:pPr>
              <w:pStyle w:val="102"/>
              <w:pageBreakBefore w:val="0"/>
              <w:wordWrap/>
              <w:topLinePunct w:val="0"/>
              <w:bidi w:val="0"/>
              <w:spacing w:line="240" w:lineRule="auto"/>
              <w:rPr>
                <w:color w:val="000000" w:themeColor="text1"/>
                <w:highlight w:val="none"/>
              </w:rPr>
            </w:pPr>
            <w:r>
              <w:rPr>
                <w:color w:val="000000" w:themeColor="text1"/>
                <w:highlight w:val="none"/>
              </w:rPr>
              <w:t>生态环境</w:t>
            </w:r>
          </w:p>
          <w:p w14:paraId="1A63C043">
            <w:pPr>
              <w:pStyle w:val="102"/>
              <w:pageBreakBefore w:val="0"/>
              <w:wordWrap/>
              <w:topLinePunct w:val="0"/>
              <w:bidi w:val="0"/>
              <w:spacing w:line="240" w:lineRule="auto"/>
              <w:rPr>
                <w:color w:val="000000" w:themeColor="text1"/>
                <w:highlight w:val="none"/>
              </w:rPr>
            </w:pPr>
            <w:r>
              <w:rPr>
                <w:color w:val="000000" w:themeColor="text1"/>
                <w:highlight w:val="none"/>
              </w:rPr>
              <w:t>敏感性</w:t>
            </w:r>
          </w:p>
        </w:tc>
        <w:tc>
          <w:tcPr>
            <w:tcW w:w="992" w:type="dxa"/>
            <w:vMerge w:val="restart"/>
            <w:vAlign w:val="center"/>
          </w:tcPr>
          <w:p w14:paraId="5EB6668B">
            <w:pPr>
              <w:pStyle w:val="102"/>
              <w:pageBreakBefore w:val="0"/>
              <w:wordWrap/>
              <w:topLinePunct w:val="0"/>
              <w:bidi w:val="0"/>
              <w:spacing w:line="240" w:lineRule="auto"/>
              <w:rPr>
                <w:color w:val="000000" w:themeColor="text1"/>
                <w:highlight w:val="none"/>
                <w:lang w:eastAsia="zh-CN"/>
              </w:rPr>
            </w:pPr>
            <w:r>
              <w:rPr>
                <w:color w:val="000000" w:themeColor="text1"/>
                <w:highlight w:val="none"/>
                <w:lang w:eastAsia="zh-CN"/>
              </w:rPr>
              <w:t>主要生态系统服务功能</w:t>
            </w:r>
          </w:p>
        </w:tc>
        <w:tc>
          <w:tcPr>
            <w:tcW w:w="1289" w:type="dxa"/>
            <w:vMerge w:val="restart"/>
            <w:vAlign w:val="center"/>
          </w:tcPr>
          <w:p w14:paraId="0844415A">
            <w:pPr>
              <w:pStyle w:val="102"/>
              <w:pageBreakBefore w:val="0"/>
              <w:wordWrap/>
              <w:topLinePunct w:val="0"/>
              <w:bidi w:val="0"/>
              <w:spacing w:line="240" w:lineRule="auto"/>
              <w:rPr>
                <w:color w:val="000000" w:themeColor="text1"/>
                <w:highlight w:val="none"/>
              </w:rPr>
            </w:pPr>
            <w:r>
              <w:rPr>
                <w:color w:val="000000" w:themeColor="text1"/>
                <w:highlight w:val="none"/>
              </w:rPr>
              <w:t>保护措施与发展方向</w:t>
            </w:r>
          </w:p>
        </w:tc>
      </w:tr>
      <w:tr w14:paraId="0D1B27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95" w:type="dxa"/>
            <w:vAlign w:val="center"/>
          </w:tcPr>
          <w:p w14:paraId="7F5C49EE">
            <w:pPr>
              <w:pStyle w:val="102"/>
              <w:pageBreakBefore w:val="0"/>
              <w:wordWrap/>
              <w:topLinePunct w:val="0"/>
              <w:bidi w:val="0"/>
              <w:spacing w:line="240" w:lineRule="auto"/>
              <w:rPr>
                <w:color w:val="000000" w:themeColor="text1"/>
                <w:highlight w:val="none"/>
              </w:rPr>
            </w:pPr>
            <w:r>
              <w:rPr>
                <w:color w:val="000000" w:themeColor="text1"/>
                <w:highlight w:val="none"/>
              </w:rPr>
              <w:t>生态区</w:t>
            </w:r>
          </w:p>
        </w:tc>
        <w:tc>
          <w:tcPr>
            <w:tcW w:w="989" w:type="dxa"/>
            <w:vAlign w:val="center"/>
          </w:tcPr>
          <w:p w14:paraId="07B8B303">
            <w:pPr>
              <w:pStyle w:val="102"/>
              <w:pageBreakBefore w:val="0"/>
              <w:wordWrap/>
              <w:topLinePunct w:val="0"/>
              <w:bidi w:val="0"/>
              <w:spacing w:line="240" w:lineRule="auto"/>
              <w:rPr>
                <w:color w:val="000000" w:themeColor="text1"/>
                <w:highlight w:val="none"/>
              </w:rPr>
            </w:pPr>
            <w:r>
              <w:rPr>
                <w:color w:val="000000" w:themeColor="text1"/>
                <w:highlight w:val="none"/>
              </w:rPr>
              <w:t>生态亚区</w:t>
            </w:r>
          </w:p>
        </w:tc>
        <w:tc>
          <w:tcPr>
            <w:tcW w:w="1194" w:type="dxa"/>
            <w:vAlign w:val="center"/>
          </w:tcPr>
          <w:p w14:paraId="2439F0F1">
            <w:pPr>
              <w:pStyle w:val="102"/>
              <w:pageBreakBefore w:val="0"/>
              <w:wordWrap/>
              <w:topLinePunct w:val="0"/>
              <w:bidi w:val="0"/>
              <w:spacing w:line="240" w:lineRule="auto"/>
              <w:rPr>
                <w:color w:val="000000" w:themeColor="text1"/>
                <w:highlight w:val="none"/>
              </w:rPr>
            </w:pPr>
            <w:r>
              <w:rPr>
                <w:color w:val="000000" w:themeColor="text1"/>
                <w:highlight w:val="none"/>
              </w:rPr>
              <w:t>生态功能区</w:t>
            </w:r>
          </w:p>
        </w:tc>
        <w:tc>
          <w:tcPr>
            <w:tcW w:w="992" w:type="dxa"/>
            <w:vMerge w:val="continue"/>
            <w:vAlign w:val="center"/>
          </w:tcPr>
          <w:p w14:paraId="6A60DEAC">
            <w:pPr>
              <w:pStyle w:val="102"/>
              <w:pageBreakBefore w:val="0"/>
              <w:wordWrap/>
              <w:topLinePunct w:val="0"/>
              <w:bidi w:val="0"/>
              <w:spacing w:line="240" w:lineRule="auto"/>
              <w:rPr>
                <w:color w:val="000000" w:themeColor="text1"/>
                <w:highlight w:val="none"/>
              </w:rPr>
            </w:pPr>
          </w:p>
        </w:tc>
        <w:tc>
          <w:tcPr>
            <w:tcW w:w="1134" w:type="dxa"/>
            <w:vMerge w:val="continue"/>
            <w:vAlign w:val="center"/>
          </w:tcPr>
          <w:p w14:paraId="6246AA64">
            <w:pPr>
              <w:pStyle w:val="102"/>
              <w:pageBreakBefore w:val="0"/>
              <w:wordWrap/>
              <w:topLinePunct w:val="0"/>
              <w:bidi w:val="0"/>
              <w:spacing w:line="240" w:lineRule="auto"/>
              <w:rPr>
                <w:color w:val="000000" w:themeColor="text1"/>
                <w:highlight w:val="none"/>
              </w:rPr>
            </w:pPr>
          </w:p>
        </w:tc>
        <w:tc>
          <w:tcPr>
            <w:tcW w:w="1277" w:type="dxa"/>
            <w:vMerge w:val="continue"/>
            <w:vAlign w:val="center"/>
          </w:tcPr>
          <w:p w14:paraId="5E5B2689">
            <w:pPr>
              <w:pStyle w:val="102"/>
              <w:pageBreakBefore w:val="0"/>
              <w:wordWrap/>
              <w:topLinePunct w:val="0"/>
              <w:bidi w:val="0"/>
              <w:spacing w:line="240" w:lineRule="auto"/>
              <w:rPr>
                <w:color w:val="000000" w:themeColor="text1"/>
                <w:highlight w:val="none"/>
              </w:rPr>
            </w:pPr>
          </w:p>
        </w:tc>
        <w:tc>
          <w:tcPr>
            <w:tcW w:w="992" w:type="dxa"/>
            <w:vMerge w:val="continue"/>
            <w:vAlign w:val="center"/>
          </w:tcPr>
          <w:p w14:paraId="56DED14E">
            <w:pPr>
              <w:pStyle w:val="102"/>
              <w:pageBreakBefore w:val="0"/>
              <w:wordWrap/>
              <w:topLinePunct w:val="0"/>
              <w:bidi w:val="0"/>
              <w:spacing w:line="240" w:lineRule="auto"/>
              <w:rPr>
                <w:color w:val="000000" w:themeColor="text1"/>
                <w:highlight w:val="none"/>
              </w:rPr>
            </w:pPr>
          </w:p>
        </w:tc>
        <w:tc>
          <w:tcPr>
            <w:tcW w:w="1289" w:type="dxa"/>
            <w:vMerge w:val="continue"/>
            <w:vAlign w:val="center"/>
          </w:tcPr>
          <w:p w14:paraId="3189D5BA">
            <w:pPr>
              <w:pStyle w:val="102"/>
              <w:pageBreakBefore w:val="0"/>
              <w:wordWrap/>
              <w:topLinePunct w:val="0"/>
              <w:bidi w:val="0"/>
              <w:spacing w:line="240" w:lineRule="auto"/>
              <w:rPr>
                <w:color w:val="000000" w:themeColor="text1"/>
                <w:highlight w:val="none"/>
              </w:rPr>
            </w:pPr>
          </w:p>
        </w:tc>
      </w:tr>
      <w:tr w14:paraId="48A2DA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95" w:type="dxa"/>
            <w:vAlign w:val="center"/>
          </w:tcPr>
          <w:p w14:paraId="02BCFB1C">
            <w:pPr>
              <w:pageBreakBefore w:val="0"/>
              <w:widowControl/>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Ⅰ—3三江平原农业与湿地生态区</w:t>
            </w:r>
          </w:p>
        </w:tc>
        <w:tc>
          <w:tcPr>
            <w:tcW w:w="989" w:type="dxa"/>
            <w:vAlign w:val="center"/>
          </w:tcPr>
          <w:p w14:paraId="6F775B06">
            <w:pPr>
              <w:pageBreakBefore w:val="0"/>
              <w:widowControl/>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Ⅰ—3—1三江平原东北部湿地与农业生态亚区</w:t>
            </w:r>
          </w:p>
        </w:tc>
        <w:tc>
          <w:tcPr>
            <w:tcW w:w="1194" w:type="dxa"/>
            <w:vAlign w:val="center"/>
          </w:tcPr>
          <w:p w14:paraId="4ED3D069">
            <w:pPr>
              <w:pageBreakBefore w:val="0"/>
              <w:widowControl/>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Ⅰ—3—1—2松花江下游北部农业与沙化控制及土壤保持生态功能区</w:t>
            </w:r>
          </w:p>
        </w:tc>
        <w:tc>
          <w:tcPr>
            <w:tcW w:w="992" w:type="dxa"/>
            <w:vAlign w:val="center"/>
          </w:tcPr>
          <w:p w14:paraId="169418E8">
            <w:pPr>
              <w:pageBreakBefore w:val="0"/>
              <w:widowControl/>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汤原县的东南部、鹤岗市的南部、萝北县的南部和绥滨县组成，面积6200平方公里</w:t>
            </w:r>
          </w:p>
        </w:tc>
        <w:tc>
          <w:tcPr>
            <w:tcW w:w="1134" w:type="dxa"/>
            <w:vAlign w:val="center"/>
          </w:tcPr>
          <w:p w14:paraId="310184E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kern w:val="0"/>
                <w:sz w:val="21"/>
                <w:szCs w:val="21"/>
                <w:highlight w:val="none"/>
              </w:rPr>
              <w:t>鹤岗矿区煤炭开采对生态环境造成影响；湿地面积急剧减少，生态调节功能退化；局部风蚀现象比较严重</w:t>
            </w:r>
          </w:p>
        </w:tc>
        <w:tc>
          <w:tcPr>
            <w:tcW w:w="1277" w:type="dxa"/>
            <w:vAlign w:val="center"/>
          </w:tcPr>
          <w:p w14:paraId="0E03537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kern w:val="0"/>
                <w:sz w:val="21"/>
                <w:szCs w:val="21"/>
                <w:highlight w:val="none"/>
              </w:rPr>
              <w:t>土壤侵蚀敏感性为轻度敏感；土地沙漠化敏感性为中度敏感；水污染敏感性为中度敏感</w:t>
            </w:r>
          </w:p>
        </w:tc>
        <w:tc>
          <w:tcPr>
            <w:tcW w:w="992" w:type="dxa"/>
            <w:vAlign w:val="center"/>
          </w:tcPr>
          <w:p w14:paraId="789FEFF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kern w:val="0"/>
                <w:sz w:val="21"/>
                <w:szCs w:val="21"/>
                <w:highlight w:val="none"/>
              </w:rPr>
              <w:t>土壤保持、生物多样性保护、农业生产</w:t>
            </w:r>
          </w:p>
        </w:tc>
        <w:tc>
          <w:tcPr>
            <w:tcW w:w="1289" w:type="dxa"/>
            <w:vAlign w:val="center"/>
          </w:tcPr>
          <w:p w14:paraId="2E146B0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kern w:val="0"/>
                <w:sz w:val="21"/>
                <w:szCs w:val="21"/>
                <w:highlight w:val="none"/>
              </w:rPr>
              <w:t>加大对采空塌陷区的生态恢复与治理，减少人为活动对湿地所造成的破坏，恢复湿地的生态功能，开展生态农业建设</w:t>
            </w:r>
          </w:p>
        </w:tc>
      </w:tr>
    </w:tbl>
    <w:p w14:paraId="4046123A">
      <w:pPr>
        <w:bidi w:val="0"/>
        <w:spacing w:line="360" w:lineRule="auto"/>
        <w:rPr>
          <w:color w:val="000000" w:themeColor="text1"/>
          <w:highlight w:val="none"/>
        </w:rPr>
      </w:pPr>
      <w:r>
        <w:rPr>
          <w:color w:val="000000" w:themeColor="text1"/>
          <w:highlight w:val="none"/>
        </w:rPr>
        <w:t>本项目为公路建设项目，</w:t>
      </w:r>
      <w:r>
        <w:rPr>
          <w:rFonts w:hint="eastAsia"/>
          <w:color w:val="000000" w:themeColor="text1"/>
          <w:highlight w:val="none"/>
        </w:rPr>
        <w:t>占用林地采取经济补偿、异地补偿及生态恢复等方式进行植被恢复；</w:t>
      </w:r>
      <w:r>
        <w:rPr>
          <w:color w:val="000000" w:themeColor="text1"/>
          <w:highlight w:val="none"/>
        </w:rPr>
        <w:t>占用草地采取补偿费、植被恢复费及附着物补偿费等方式进行植被恢复；占用耕地通过缴纳耕地开垦费、异地复垦的方式补偿耕地，同时施工过程中严格采取水土保持防治措施，对区域的生态系统服务功能不会产生较大影响。因此，本项目总体符合《黑龙江省生态功能区划》。</w:t>
      </w:r>
    </w:p>
    <w:p w14:paraId="1336A961">
      <w:pPr>
        <w:bidi w:val="0"/>
        <w:spacing w:line="360" w:lineRule="auto"/>
        <w:rPr>
          <w:color w:val="000000" w:themeColor="text1"/>
          <w:highlight w:val="none"/>
        </w:rPr>
      </w:pPr>
      <w:r>
        <w:rPr>
          <w:rFonts w:hint="eastAsia"/>
          <w:color w:val="000000" w:themeColor="text1"/>
          <w:highlight w:val="none"/>
          <w:lang w:val="en-US" w:eastAsia="zh-CN"/>
        </w:rPr>
        <w:t>④</w:t>
      </w:r>
      <w:r>
        <w:rPr>
          <w:color w:val="000000" w:themeColor="text1"/>
          <w:highlight w:val="none"/>
        </w:rPr>
        <w:t>与</w:t>
      </w:r>
      <w:r>
        <w:rPr>
          <w:rFonts w:hint="eastAsia"/>
          <w:color w:val="000000" w:themeColor="text1"/>
          <w:highlight w:val="none"/>
          <w:lang w:val="en-US" w:eastAsia="zh-CN"/>
        </w:rPr>
        <w:t>《鹤岗市国土空间总体规划（</w:t>
      </w:r>
      <w:r>
        <w:rPr>
          <w:color w:val="000000" w:themeColor="text1"/>
          <w:highlight w:val="none"/>
          <w:lang w:val="en-US" w:eastAsia="zh-CN"/>
        </w:rPr>
        <w:t>20</w:t>
      </w:r>
      <w:r>
        <w:rPr>
          <w:rFonts w:hint="eastAsia"/>
          <w:color w:val="000000" w:themeColor="text1"/>
          <w:highlight w:val="none"/>
          <w:lang w:val="en-US" w:eastAsia="zh-CN"/>
        </w:rPr>
        <w:t>21</w:t>
      </w:r>
      <w:r>
        <w:rPr>
          <w:color w:val="000000" w:themeColor="text1"/>
          <w:highlight w:val="none"/>
          <w:lang w:val="en-US" w:eastAsia="zh-CN"/>
        </w:rPr>
        <w:t>-20</w:t>
      </w:r>
      <w:r>
        <w:rPr>
          <w:rFonts w:hint="eastAsia"/>
          <w:color w:val="000000" w:themeColor="text1"/>
          <w:highlight w:val="none"/>
          <w:lang w:val="en-US" w:eastAsia="zh-CN"/>
        </w:rPr>
        <w:t>35年）》</w:t>
      </w:r>
      <w:r>
        <w:rPr>
          <w:color w:val="000000" w:themeColor="text1"/>
          <w:highlight w:val="none"/>
        </w:rPr>
        <w:t>符合性分析</w:t>
      </w:r>
    </w:p>
    <w:p w14:paraId="6AD4472E">
      <w:pPr>
        <w:bidi w:val="0"/>
        <w:spacing w:line="360" w:lineRule="auto"/>
        <w:rPr>
          <w:color w:val="000000" w:themeColor="text1"/>
          <w:highlight w:val="none"/>
        </w:rPr>
      </w:pPr>
      <w:r>
        <w:rPr>
          <w:rFonts w:hint="eastAsia"/>
          <w:color w:val="000000" w:themeColor="text1"/>
          <w:highlight w:val="none"/>
        </w:rPr>
        <w:t>根据</w:t>
      </w:r>
      <w:r>
        <w:rPr>
          <w:color w:val="000000" w:themeColor="text1"/>
          <w:highlight w:val="none"/>
        </w:rPr>
        <w:t>《</w:t>
      </w:r>
      <w:r>
        <w:rPr>
          <w:rFonts w:hint="eastAsia"/>
          <w:color w:val="000000" w:themeColor="text1"/>
          <w:highlight w:val="none"/>
        </w:rPr>
        <w:t>鹤岗市国土空间总体规划（2021-2035年）</w:t>
      </w:r>
      <w:r>
        <w:rPr>
          <w:color w:val="000000" w:themeColor="text1"/>
          <w:highlight w:val="none"/>
        </w:rPr>
        <w:t>》</w:t>
      </w:r>
      <w:r>
        <w:rPr>
          <w:rFonts w:hint="eastAsia"/>
          <w:color w:val="000000" w:themeColor="text1"/>
          <w:highlight w:val="none"/>
        </w:rPr>
        <w:t>，</w:t>
      </w:r>
      <w:r>
        <w:rPr>
          <w:rFonts w:hint="eastAsia"/>
          <w:color w:val="000000" w:themeColor="text1"/>
          <w:highlight w:val="none"/>
          <w:lang w:val="en-US" w:eastAsia="zh-CN"/>
        </w:rPr>
        <w:t>6.2 优化产业经济空间格局：构建“一核、两轴、双区、多点”的产业空间格局。以“中俄边界特色康养旅游度假胜地”“资源型城市产业转型示范城”“北方现代农业与城乡融合示范区”、“生态和谐宜居城”建设为目标，打造产业集聚度高、企业首位度高，辐射带动能力强的省域东北部中心城市</w:t>
      </w:r>
      <w:r>
        <w:rPr>
          <w:rFonts w:hint="eastAsia"/>
          <w:color w:val="000000" w:themeColor="text1"/>
          <w:highlight w:val="none"/>
        </w:rPr>
        <w:t>。</w:t>
      </w:r>
    </w:p>
    <w:p w14:paraId="214A7B92">
      <w:pPr>
        <w:bidi w:val="0"/>
        <w:spacing w:line="360" w:lineRule="auto"/>
        <w:rPr>
          <w:color w:val="000000" w:themeColor="text1"/>
          <w:highlight w:val="none"/>
        </w:rPr>
      </w:pPr>
      <w:r>
        <w:rPr>
          <w:rFonts w:hint="eastAsia"/>
          <w:color w:val="000000" w:themeColor="text1"/>
          <w:highlight w:val="none"/>
          <w:lang w:val="en-US" w:eastAsia="zh-CN"/>
        </w:rPr>
        <w:t>一核</w:t>
      </w:r>
      <w:r>
        <w:rPr>
          <w:rFonts w:hint="eastAsia"/>
          <w:color w:val="000000" w:themeColor="text1"/>
          <w:highlight w:val="none"/>
        </w:rPr>
        <w:t>心：全域经济发展的极核，是市域行政、商贸、交通及产业发展的中心地带。</w:t>
      </w:r>
    </w:p>
    <w:p w14:paraId="3CF20C91">
      <w:pPr>
        <w:bidi w:val="0"/>
        <w:spacing w:line="360" w:lineRule="auto"/>
        <w:rPr>
          <w:color w:val="000000" w:themeColor="text1"/>
          <w:highlight w:val="none"/>
        </w:rPr>
      </w:pPr>
      <w:r>
        <w:rPr>
          <w:rFonts w:hint="eastAsia"/>
          <w:color w:val="000000" w:themeColor="text1"/>
          <w:highlight w:val="none"/>
          <w:lang w:val="en-US" w:eastAsia="zh-CN"/>
        </w:rPr>
        <w:t>两</w:t>
      </w:r>
      <w:r>
        <w:rPr>
          <w:rFonts w:hint="eastAsia"/>
          <w:color w:val="000000" w:themeColor="text1"/>
          <w:highlight w:val="none"/>
        </w:rPr>
        <w:t>轴</w:t>
      </w:r>
      <w:r>
        <w:rPr>
          <w:rFonts w:hint="eastAsia"/>
          <w:color w:val="000000" w:themeColor="text1"/>
          <w:highlight w:val="none"/>
          <w:lang w:val="en-US" w:eastAsia="zh-CN"/>
        </w:rPr>
        <w:t>带</w:t>
      </w:r>
      <w:r>
        <w:rPr>
          <w:rFonts w:hint="eastAsia"/>
          <w:color w:val="000000" w:themeColor="text1"/>
          <w:highlight w:val="none"/>
        </w:rPr>
        <w:t>：包括中部产业发展轴和旅游产业发展轴，前者依托G201和G332发展，后者依托“醉美公路”G331建设。</w:t>
      </w:r>
    </w:p>
    <w:p w14:paraId="4DF39749">
      <w:pPr>
        <w:bidi w:val="0"/>
        <w:spacing w:line="360" w:lineRule="auto"/>
        <w:rPr>
          <w:color w:val="000000" w:themeColor="text1"/>
          <w:highlight w:val="none"/>
        </w:rPr>
      </w:pPr>
      <w:r>
        <w:rPr>
          <w:rFonts w:hint="eastAsia"/>
          <w:color w:val="000000" w:themeColor="text1"/>
          <w:highlight w:val="none"/>
          <w:lang w:val="en-US" w:eastAsia="zh-CN"/>
        </w:rPr>
        <w:t>双</w:t>
      </w:r>
      <w:r>
        <w:rPr>
          <w:rFonts w:hint="eastAsia"/>
          <w:color w:val="000000" w:themeColor="text1"/>
          <w:highlight w:val="none"/>
        </w:rPr>
        <w:t>片区：包括主导产业发展区、现代农业发展区。</w:t>
      </w:r>
    </w:p>
    <w:p w14:paraId="013E2AD0">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多节点：为市域内重点产业园区。</w:t>
      </w:r>
    </w:p>
    <w:p w14:paraId="6D4D4DAE">
      <w:pPr>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7.1 构建多层次的现代化综合交通体系 以国家及区域交通发展构架为基础，实现内畅外达；形成国内国际联通、网络布局完善、枢纽衔接高效、城乡一体化发展的现代化高质量综合立体交通网体系。</w:t>
      </w:r>
    </w:p>
    <w:p w14:paraId="250E846C">
      <w:pPr>
        <w:bidi w:val="0"/>
        <w:spacing w:line="360" w:lineRule="auto"/>
        <w:rPr>
          <w:color w:val="000000" w:themeColor="text1"/>
          <w:highlight w:val="none"/>
        </w:rPr>
      </w:pPr>
      <w:r>
        <w:rPr>
          <w:rFonts w:hint="eastAsia"/>
          <w:color w:val="000000" w:themeColor="text1"/>
          <w:highlight w:val="none"/>
          <w:lang w:val="en-US" w:eastAsia="zh-CN"/>
        </w:rPr>
        <w:t>本工程是新建黑龙江鹤岗机场场外配套工程（机场进场路建设工程）项目，是鹤岗机场的配套工程，起点为G332，终点为鹤岗机场，本工程西距鹤岗市区18km，东距宝泉岭6km，是连接鹤岗市、宝泉岭和机场的重要通道。本项目的建设对完善鹤岗航空机场交通环境，改善招商投资环境，发展鹤岗旅游业，促进地方经济发展有着重大意义。</w:t>
      </w:r>
      <w:r>
        <w:rPr>
          <w:color w:val="000000" w:themeColor="text1"/>
          <w:highlight w:val="none"/>
        </w:rPr>
        <w:t>项目的建设与其</w:t>
      </w:r>
      <w:r>
        <w:rPr>
          <w:rFonts w:hint="eastAsia"/>
          <w:color w:val="000000" w:themeColor="text1"/>
          <w:highlight w:val="none"/>
        </w:rPr>
        <w:t>国土空间</w:t>
      </w:r>
      <w:r>
        <w:rPr>
          <w:color w:val="000000" w:themeColor="text1"/>
          <w:highlight w:val="none"/>
        </w:rPr>
        <w:t>总体规划无冲突。</w:t>
      </w:r>
    </w:p>
    <w:p w14:paraId="0DB0F795">
      <w:pPr>
        <w:bidi w:val="0"/>
        <w:spacing w:line="360" w:lineRule="auto"/>
        <w:rPr>
          <w:color w:val="000000" w:themeColor="text1"/>
          <w:highlight w:val="none"/>
        </w:rPr>
      </w:pPr>
      <w:r>
        <w:rPr>
          <w:rFonts w:hint="eastAsia"/>
          <w:color w:val="000000" w:themeColor="text1"/>
          <w:highlight w:val="none"/>
        </w:rPr>
        <w:t>综上，</w:t>
      </w:r>
      <w:r>
        <w:rPr>
          <w:color w:val="000000" w:themeColor="text1"/>
          <w:highlight w:val="none"/>
        </w:rPr>
        <w:t>本项目建设</w:t>
      </w:r>
      <w:r>
        <w:rPr>
          <w:rFonts w:hint="eastAsia"/>
          <w:color w:val="000000" w:themeColor="text1"/>
          <w:highlight w:val="none"/>
        </w:rPr>
        <w:t>与《鹤岗市国土空间总体规划（2021-2035年）》</w:t>
      </w:r>
      <w:r>
        <w:rPr>
          <w:color w:val="000000" w:themeColor="text1"/>
          <w:highlight w:val="none"/>
        </w:rPr>
        <w:t>要求</w:t>
      </w:r>
      <w:r>
        <w:rPr>
          <w:rFonts w:hint="eastAsia"/>
          <w:color w:val="000000" w:themeColor="text1"/>
          <w:highlight w:val="none"/>
        </w:rPr>
        <w:t>不冲突</w:t>
      </w:r>
      <w:r>
        <w:rPr>
          <w:color w:val="000000" w:themeColor="text1"/>
          <w:highlight w:val="none"/>
        </w:rPr>
        <w:t>。</w:t>
      </w:r>
    </w:p>
    <w:p w14:paraId="2A67D411">
      <w:pPr>
        <w:bidi w:val="0"/>
        <w:spacing w:line="360" w:lineRule="auto"/>
        <w:rPr>
          <w:color w:val="000000" w:themeColor="text1"/>
          <w:highlight w:val="none"/>
        </w:rPr>
      </w:pPr>
      <w:r>
        <w:rPr>
          <w:rFonts w:hint="eastAsia"/>
          <w:color w:val="000000" w:themeColor="text1"/>
          <w:highlight w:val="none"/>
          <w:lang w:val="en-US" w:eastAsia="zh-CN"/>
        </w:rPr>
        <w:t>⑤</w:t>
      </w:r>
      <w:r>
        <w:rPr>
          <w:color w:val="000000" w:themeColor="text1"/>
          <w:highlight w:val="none"/>
        </w:rPr>
        <w:t>与</w:t>
      </w:r>
      <w:r>
        <w:rPr>
          <w:rFonts w:hint="eastAsia"/>
          <w:color w:val="000000" w:themeColor="text1"/>
          <w:highlight w:val="none"/>
          <w:lang w:val="en-US" w:eastAsia="zh-CN"/>
        </w:rPr>
        <w:t>《新建黑龙江鹤岗机场总体规划》</w:t>
      </w:r>
      <w:r>
        <w:rPr>
          <w:color w:val="000000" w:themeColor="text1"/>
          <w:highlight w:val="none"/>
        </w:rPr>
        <w:t>符合性分析</w:t>
      </w:r>
    </w:p>
    <w:p w14:paraId="43D50CAB">
      <w:pPr>
        <w:bidi w:val="0"/>
        <w:spacing w:line="360" w:lineRule="auto"/>
        <w:rPr>
          <w:rFonts w:hint="eastAsia"/>
          <w:color w:val="000000" w:themeColor="text1"/>
          <w:highlight w:val="none"/>
          <w:lang w:val="en-US" w:eastAsia="zh-CN"/>
        </w:rPr>
      </w:pPr>
      <w:r>
        <w:rPr>
          <w:rFonts w:hint="eastAsia"/>
          <w:color w:val="000000" w:themeColor="text1"/>
          <w:highlight w:val="none"/>
        </w:rPr>
        <w:t>根据</w:t>
      </w:r>
      <w:r>
        <w:rPr>
          <w:rFonts w:hint="eastAsia"/>
          <w:color w:val="000000" w:themeColor="text1"/>
          <w:highlight w:val="none"/>
          <w:lang w:val="en-US" w:eastAsia="zh-CN"/>
        </w:rPr>
        <w:t>《新建黑龙江鹤岗机场总体规划》中10.2 机场对外交通系统 在机场南部东西走向的鹤名公路，修建一条约6.54km的进场路与机场航站楼垂直衔接，建设标准为二级公路，沥青混凝土路面，路面宽度10.5m，可以满足机场近、远期发展需要。机场没有建设地铁或轻轨等其它交通设施的需求。</w:t>
      </w:r>
    </w:p>
    <w:p w14:paraId="5C1F3644">
      <w:pPr>
        <w:bidi w:val="0"/>
        <w:spacing w:line="240" w:lineRule="auto"/>
        <w:ind w:left="0" w:leftChars="0" w:firstLine="0" w:firstLineChars="0"/>
        <w:rPr>
          <w:color w:val="000000" w:themeColor="text1"/>
          <w:highlight w:val="none"/>
        </w:rPr>
      </w:pPr>
      <w:r>
        <w:rPr>
          <w:color w:val="000000" w:themeColor="text1"/>
          <w:highlight w:val="none"/>
        </w:rPr>
        <w:drawing>
          <wp:inline distT="0" distB="0" distL="114300" distR="114300">
            <wp:extent cx="5273675" cy="3644265"/>
            <wp:effectExtent l="0" t="0" r="14605" b="1333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21"/>
                    <a:stretch>
                      <a:fillRect/>
                    </a:stretch>
                  </pic:blipFill>
                  <pic:spPr>
                    <a:xfrm>
                      <a:off x="0" y="0"/>
                      <a:ext cx="5273675" cy="3644265"/>
                    </a:xfrm>
                    <a:prstGeom prst="rect">
                      <a:avLst/>
                    </a:prstGeom>
                    <a:noFill/>
                    <a:ln>
                      <a:noFill/>
                    </a:ln>
                  </pic:spPr>
                </pic:pic>
              </a:graphicData>
            </a:graphic>
          </wp:inline>
        </w:drawing>
      </w:r>
    </w:p>
    <w:p w14:paraId="3FFD0610">
      <w:pPr>
        <w:pageBreakBefore w:val="0"/>
        <w:wordWrap/>
        <w:topLinePunct w:val="0"/>
        <w:bidi w:val="0"/>
        <w:spacing w:line="360" w:lineRule="auto"/>
        <w:ind w:left="0" w:leftChars="0" w:firstLine="0" w:firstLineChars="0"/>
        <w:jc w:val="center"/>
        <w:rPr>
          <w:rFonts w:hint="default"/>
          <w:b/>
          <w:color w:val="000000" w:themeColor="text1"/>
          <w:highlight w:val="none"/>
          <w:lang w:val="en-US"/>
        </w:rPr>
      </w:pPr>
      <w:r>
        <w:rPr>
          <w:b/>
          <w:color w:val="000000" w:themeColor="text1"/>
          <w:highlight w:val="none"/>
        </w:rPr>
        <w:t>图1.</w:t>
      </w:r>
      <w:r>
        <w:rPr>
          <w:rFonts w:hint="eastAsia"/>
          <w:b/>
          <w:color w:val="000000" w:themeColor="text1"/>
          <w:highlight w:val="none"/>
          <w:lang w:val="en-US" w:eastAsia="zh-CN"/>
        </w:rPr>
        <w:t>5</w:t>
      </w:r>
      <w:r>
        <w:rPr>
          <w:b/>
          <w:color w:val="000000" w:themeColor="text1"/>
          <w:highlight w:val="none"/>
        </w:rPr>
        <w:t xml:space="preserve">-1  </w:t>
      </w:r>
      <w:r>
        <w:rPr>
          <w:rFonts w:hint="eastAsia"/>
          <w:b/>
          <w:color w:val="000000" w:themeColor="text1"/>
          <w:highlight w:val="none"/>
          <w:lang w:val="en-US" w:eastAsia="zh-CN"/>
        </w:rPr>
        <w:t>机场规划进场路位置图</w:t>
      </w:r>
    </w:p>
    <w:p w14:paraId="52762E7B">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为新建黑龙江鹤岗机场场外配套工程（机场进场路建设工程）项目，道路长度约6.541km，其中新建机场进场路主线长度6.323km，起点位于G332国道鹤名公路（桩号K87+167）与现状土路交口处，终点接至机场主入口，设计速度60km/h，路基宽度为12.0m，路面宽度10.5m，沥青混凝土路面，为二级公路标准。设置连接线一条，起点位于进场路K6+220.802处，终点与机场规划消防建筑场坪入口相接，全长0.218km，设计速度60km/h，路基宽度为12.0m，路面宽度10.5m，沥青混凝土路面，为二级公路标准。</w:t>
      </w:r>
    </w:p>
    <w:p w14:paraId="14B3AFFE">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综上所述，本项目符合《新建黑龙江鹤岗机场总体规划》。</w:t>
      </w:r>
    </w:p>
    <w:p w14:paraId="6000A207">
      <w:pPr>
        <w:bidi w:val="0"/>
        <w:spacing w:line="360" w:lineRule="auto"/>
        <w:rPr>
          <w:color w:val="000000" w:themeColor="text1"/>
          <w:highlight w:val="none"/>
        </w:rPr>
      </w:pPr>
      <w:r>
        <w:rPr>
          <w:rFonts w:hint="eastAsia"/>
          <w:color w:val="000000" w:themeColor="text1"/>
          <w:highlight w:val="none"/>
          <w:lang w:val="en-US" w:eastAsia="zh-CN"/>
        </w:rPr>
        <w:t>⑥</w:t>
      </w:r>
      <w:r>
        <w:rPr>
          <w:color w:val="000000" w:themeColor="text1"/>
          <w:highlight w:val="none"/>
        </w:rPr>
        <w:t>与</w:t>
      </w:r>
      <w:r>
        <w:rPr>
          <w:color w:val="000000" w:themeColor="text1"/>
          <w:highlight w:val="none"/>
          <w:lang w:val="en-US" w:eastAsia="zh-CN"/>
        </w:rPr>
        <w:t>《鹤岗市国民经济和社会发展第十四个五年规划和二〇三五年远景</w:t>
      </w:r>
      <w:r>
        <w:rPr>
          <w:rFonts w:hint="default"/>
          <w:color w:val="000000" w:themeColor="text1"/>
          <w:highlight w:val="none"/>
          <w:lang w:val="en-US" w:eastAsia="zh-CN"/>
        </w:rPr>
        <w:t>目标纲要》（鹤政发〔</w:t>
      </w:r>
      <w:r>
        <w:rPr>
          <w:color w:val="000000" w:themeColor="text1"/>
          <w:highlight w:val="none"/>
          <w:lang w:val="en-US" w:eastAsia="zh-CN"/>
        </w:rPr>
        <w:t>2021</w:t>
      </w:r>
      <w:r>
        <w:rPr>
          <w:rFonts w:hint="default"/>
          <w:color w:val="000000" w:themeColor="text1"/>
          <w:highlight w:val="none"/>
          <w:lang w:val="en-US" w:eastAsia="zh-CN"/>
        </w:rPr>
        <w:t>〕2 号）</w:t>
      </w:r>
      <w:r>
        <w:rPr>
          <w:color w:val="000000" w:themeColor="text1"/>
          <w:highlight w:val="none"/>
        </w:rPr>
        <w:t>符合性分析</w:t>
      </w:r>
    </w:p>
    <w:p w14:paraId="0473969D">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鹤岗市国民经济和社会发展第十四个五年规划和二〇三五年远景目标纲要》“完善城市交通网络。大幅提高城市交通快捷、顺畅、通达程度，建设必要的城市高架、综合立交等快速通道，构建绿色智能、便捷高效的城市交通体系。加快城市交通综合体建设，推进公路交通设施与铁路、机场等交通枢纽紧密衔接。”</w:t>
      </w:r>
    </w:p>
    <w:p w14:paraId="24630635">
      <w:pPr>
        <w:bidi w:val="0"/>
        <w:spacing w:line="360" w:lineRule="auto"/>
        <w:rPr>
          <w:color w:val="000000" w:themeColor="text1"/>
          <w:highlight w:val="none"/>
        </w:rPr>
      </w:pPr>
      <w:r>
        <w:rPr>
          <w:rFonts w:hint="eastAsia"/>
          <w:color w:val="000000" w:themeColor="text1"/>
          <w:highlight w:val="none"/>
          <w:lang w:val="en-US" w:eastAsia="zh-CN"/>
        </w:rPr>
        <w:t>本工程是新建黑龙江鹤岗机场场外配套工程（机场进场路建设工程）项目，公路等级为二级公路，起点为G332，终点为鹤岗机场，本工程西距鹤岗市区18km，东距宝泉岭6km，是连接鹤岗市、宝泉岭和机场的重要通道。本项目的建设对完善鹤岗航空机场交通环境，改善招商投资环境，发展鹤岗旅游业，促进地方经济发展有着重大意义。</w:t>
      </w:r>
      <w:r>
        <w:rPr>
          <w:color w:val="000000" w:themeColor="text1"/>
          <w:highlight w:val="none"/>
        </w:rPr>
        <w:t>故</w:t>
      </w:r>
      <w:r>
        <w:rPr>
          <w:rFonts w:hint="eastAsia"/>
          <w:color w:val="000000" w:themeColor="text1"/>
          <w:highlight w:val="none"/>
          <w:lang w:val="en-US" w:eastAsia="zh-CN"/>
        </w:rPr>
        <w:t>本项目</w:t>
      </w:r>
      <w:r>
        <w:rPr>
          <w:color w:val="000000" w:themeColor="text1"/>
          <w:highlight w:val="none"/>
        </w:rPr>
        <w:t>符合</w:t>
      </w:r>
      <w:r>
        <w:rPr>
          <w:rFonts w:hint="eastAsia"/>
          <w:color w:val="000000" w:themeColor="text1"/>
          <w:highlight w:val="none"/>
          <w:lang w:val="en-US" w:eastAsia="zh-CN"/>
        </w:rPr>
        <w:t>《鹤岗市国民经济和社会发展第十四个五年规划和二〇三五年远景目标纲要》</w:t>
      </w:r>
      <w:r>
        <w:rPr>
          <w:color w:val="000000" w:themeColor="text1"/>
          <w:highlight w:val="none"/>
        </w:rPr>
        <w:t>。</w:t>
      </w:r>
    </w:p>
    <w:p w14:paraId="6CC6BC68">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⑦与《黑龙江省水土保持规划（2015~2030年）》和《鹤岗市辖区水土保持规划（2019~2030年）》符合性分析</w:t>
      </w:r>
    </w:p>
    <w:p w14:paraId="4031CCF3">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根据《黑龙江省水土保持规划（2015~2030年）》和《鹤岗市辖区水土保持规划（2019~2030年）》</w:t>
      </w:r>
      <w:r>
        <w:rPr>
          <w:rFonts w:hint="eastAsia"/>
          <w:color w:val="000000" w:themeColor="text1"/>
          <w:highlight w:val="none"/>
        </w:rPr>
        <w:t>，项目</w:t>
      </w:r>
      <w:r>
        <w:rPr>
          <w:rFonts w:hint="eastAsia"/>
          <w:color w:val="000000" w:themeColor="text1"/>
          <w:highlight w:val="none"/>
          <w:lang w:val="en-US" w:eastAsia="zh-CN"/>
        </w:rPr>
        <w:t>区</w:t>
      </w:r>
      <w:r>
        <w:rPr>
          <w:rFonts w:hint="eastAsia"/>
          <w:color w:val="000000" w:themeColor="text1"/>
          <w:highlight w:val="none"/>
        </w:rPr>
        <w:t>属于</w:t>
      </w:r>
      <w:r>
        <w:rPr>
          <w:rFonts w:hint="eastAsia"/>
          <w:color w:val="000000" w:themeColor="text1"/>
          <w:highlight w:val="none"/>
          <w:lang w:val="en-US" w:eastAsia="zh-CN"/>
        </w:rPr>
        <w:t>东北漫川漫岗省级水土流失重点治理区和鹤岗市水土流失重点预防区</w:t>
      </w:r>
      <w:r>
        <w:rPr>
          <w:rFonts w:hint="eastAsia"/>
          <w:color w:val="000000" w:themeColor="text1"/>
          <w:highlight w:val="none"/>
          <w:lang w:eastAsia="zh-CN"/>
        </w:rPr>
        <w:t>。</w:t>
      </w:r>
    </w:p>
    <w:p w14:paraId="7A29E9F0">
      <w:pPr>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项目施工时分层开挖、分层堆放，挖方及时回填，避免在大风天施工作业。堆土区进行苫盖，采用土袋拦脚，表面播撒草籽，并设置截水沟。施工结束后，拆除临时建筑，挖方回填，恢复占用土地生态功能。同时对建筑物周围进行种植适宜本土生长的植物，防止水土流失。工程建成后将采用因地制宜的植被恢复方式进行生态补偿，保证工程区域内植被数量不会减少。</w:t>
      </w:r>
    </w:p>
    <w:p w14:paraId="45BA9C3D">
      <w:pPr>
        <w:bidi w:val="0"/>
        <w:spacing w:line="360" w:lineRule="auto"/>
        <w:rPr>
          <w:rFonts w:hint="default"/>
          <w:color w:val="000000" w:themeColor="text1"/>
          <w:highlight w:val="none"/>
          <w:lang w:val="en-US" w:eastAsia="zh-CN"/>
        </w:rPr>
      </w:pPr>
      <w:r>
        <w:rPr>
          <w:rFonts w:hint="default"/>
          <w:color w:val="000000" w:themeColor="text1"/>
          <w:highlight w:val="none"/>
          <w:lang w:val="en-US" w:eastAsia="zh-CN"/>
        </w:rPr>
        <w:t>综上所述，本项目在采取有效的水土保持措施后，满足</w:t>
      </w:r>
      <w:r>
        <w:rPr>
          <w:rFonts w:hint="eastAsia"/>
          <w:color w:val="000000" w:themeColor="text1"/>
          <w:highlight w:val="none"/>
          <w:lang w:val="en-US" w:eastAsia="zh-CN"/>
        </w:rPr>
        <w:t>《黑龙江省水土保持规划（2015~2030年）》和《鹤岗市辖区水土保持规划（2019~2030年）》</w:t>
      </w:r>
      <w:r>
        <w:rPr>
          <w:rFonts w:hint="default"/>
          <w:color w:val="000000" w:themeColor="text1"/>
          <w:highlight w:val="none"/>
          <w:lang w:val="en-US" w:eastAsia="zh-CN"/>
        </w:rPr>
        <w:t>中相关要求。</w:t>
      </w:r>
    </w:p>
    <w:p w14:paraId="478561E7">
      <w:pPr>
        <w:numPr>
          <w:ilvl w:val="0"/>
          <w:numId w:val="0"/>
        </w:numPr>
        <w:bidi w:val="0"/>
        <w:spacing w:line="360" w:lineRule="auto"/>
        <w:ind w:firstLine="480" w:firstLineChars="200"/>
        <w:rPr>
          <w:rFonts w:hint="default"/>
          <w:color w:val="000000" w:themeColor="text1"/>
          <w:highlight w:val="none"/>
          <w:lang w:val="en-US" w:eastAsia="zh-CN"/>
        </w:rPr>
      </w:pPr>
      <w:r>
        <w:rPr>
          <w:rFonts w:hint="eastAsia" w:cs="Times New Roman"/>
          <w:color w:val="000000" w:themeColor="text1"/>
          <w:kern w:val="2"/>
          <w:sz w:val="24"/>
          <w:szCs w:val="24"/>
          <w:highlight w:val="none"/>
          <w:lang w:val="en-US" w:eastAsia="zh-CN" w:bidi="ar-SA"/>
        </w:rPr>
        <w:t>⑧</w:t>
      </w:r>
      <w:r>
        <w:rPr>
          <w:rFonts w:hint="eastAsia"/>
          <w:color w:val="000000" w:themeColor="text1"/>
          <w:highlight w:val="none"/>
          <w:lang w:val="en-US" w:eastAsia="zh-CN"/>
        </w:rPr>
        <w:t>与《鹤岗市“十四五”生态环境保护规划》的符合性分析</w:t>
      </w:r>
    </w:p>
    <w:p w14:paraId="30709C46">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鹤岗市“十四五”生态环境保护规划》的通知：“1.优化国土空间布局。注重“多规合一”，推进编制国土空间总体规划，围绕城市化地区、农产品主产区、生态功能区，立足资源环境承载能力，优化重大基础设施、重大生产力和公共资源布局，优化生产、生活、生态空间，推动形成主体功能明显、优势互补、高质量发展的国土空间保护开发新格局。</w:t>
      </w:r>
    </w:p>
    <w:p w14:paraId="04CBEAF2">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8.建设绿色交通运输体系。优化交通运输结构，加大运输结构调整力度，推动大宗货物和文件相关解读链接地址：集装箱中长距离运输向铁路和水路运输转移。”</w:t>
      </w:r>
    </w:p>
    <w:p w14:paraId="172808D4">
      <w:pPr>
        <w:bidi w:val="0"/>
        <w:spacing w:line="360" w:lineRule="auto"/>
        <w:rPr>
          <w:color w:val="000000" w:themeColor="text1"/>
          <w:highlight w:val="none"/>
        </w:rPr>
      </w:pPr>
      <w:r>
        <w:rPr>
          <w:rFonts w:hint="eastAsia"/>
          <w:color w:val="000000" w:themeColor="text1"/>
          <w:highlight w:val="none"/>
          <w:lang w:val="en-US" w:eastAsia="zh-CN"/>
        </w:rPr>
        <w:t>本工程是新建黑龙江鹤岗机场场外配套工程（机场进场路建设工程）项目，公路等级为二级公路，起点为G332，终点为鹤岗机场，本工程西距鹤岗市区18km，东距宝泉岭6km，是连接鹤岗市、宝泉岭和机场的重要通道。本项目的建设对完善鹤岗航空机场交通环境，改善招商投资环境，发展鹤岗旅游业，促进地方经济发展有着重大意义。</w:t>
      </w:r>
      <w:r>
        <w:rPr>
          <w:color w:val="000000" w:themeColor="text1"/>
          <w:highlight w:val="none"/>
        </w:rPr>
        <w:t>故</w:t>
      </w:r>
      <w:r>
        <w:rPr>
          <w:rFonts w:hint="eastAsia"/>
          <w:color w:val="000000" w:themeColor="text1"/>
          <w:highlight w:val="none"/>
          <w:lang w:val="en-US" w:eastAsia="zh-CN"/>
        </w:rPr>
        <w:t>本项目</w:t>
      </w:r>
      <w:r>
        <w:rPr>
          <w:color w:val="000000" w:themeColor="text1"/>
          <w:highlight w:val="none"/>
        </w:rPr>
        <w:t>符合</w:t>
      </w:r>
      <w:r>
        <w:rPr>
          <w:rFonts w:hint="eastAsia"/>
          <w:color w:val="000000" w:themeColor="text1"/>
          <w:highlight w:val="none"/>
          <w:lang w:val="en-US" w:eastAsia="zh-CN"/>
        </w:rPr>
        <w:t>《鹤岗市“十四五”生态环境保护规划》</w:t>
      </w:r>
      <w:r>
        <w:rPr>
          <w:color w:val="000000" w:themeColor="text1"/>
          <w:highlight w:val="none"/>
        </w:rPr>
        <w:t>。</w:t>
      </w:r>
    </w:p>
    <w:p w14:paraId="3855D3CC">
      <w:pPr>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color w:val="000000" w:themeColor="text1"/>
          <w:highlight w:val="none"/>
        </w:rPr>
        <w:t>与相关法律法规的符合性分析</w:t>
      </w:r>
    </w:p>
    <w:p w14:paraId="2E466E90">
      <w:pPr>
        <w:bidi w:val="0"/>
        <w:spacing w:line="360" w:lineRule="auto"/>
        <w:rPr>
          <w:color w:val="000000" w:themeColor="text1"/>
          <w:highlight w:val="none"/>
        </w:rPr>
      </w:pPr>
      <w:r>
        <w:rPr>
          <w:rFonts w:hint="eastAsia"/>
          <w:color w:val="000000" w:themeColor="text1"/>
          <w:highlight w:val="none"/>
          <w:lang w:val="en-US" w:eastAsia="zh-CN"/>
        </w:rPr>
        <w:t>①</w:t>
      </w:r>
      <w:r>
        <w:rPr>
          <w:color w:val="000000" w:themeColor="text1"/>
          <w:highlight w:val="none"/>
        </w:rPr>
        <w:t>与《中华人民共和国水污染防治法》符合性</w:t>
      </w:r>
    </w:p>
    <w:p w14:paraId="0F0467D1">
      <w:pPr>
        <w:bidi w:val="0"/>
        <w:spacing w:line="360" w:lineRule="auto"/>
        <w:rPr>
          <w:color w:val="000000" w:themeColor="text1"/>
          <w:highlight w:val="none"/>
        </w:rPr>
      </w:pPr>
      <w:r>
        <w:rPr>
          <w:color w:val="000000" w:themeColor="text1"/>
          <w:highlight w:val="none"/>
        </w:rPr>
        <w:t>根据《中华人民共和国水污染防治法》（2018年1月1日）</w:t>
      </w:r>
      <w:r>
        <w:rPr>
          <w:rFonts w:hint="eastAsia"/>
          <w:color w:val="000000" w:themeColor="text1"/>
          <w:highlight w:val="none"/>
          <w:lang w:eastAsia="zh-CN"/>
        </w:rPr>
        <w:t>“</w:t>
      </w:r>
      <w:r>
        <w:rPr>
          <w:color w:val="000000" w:themeColor="text1"/>
          <w:highlight w:val="none"/>
        </w:rPr>
        <w:t>第六十五条禁止在饮用水水源一级保护区内新建、改建、扩建与供水设施和保护水源无关的建设项目；已建成的与供水设施和保护水源无关的建设项目，由县级以上人民政府责令拆除或者关闭。</w:t>
      </w:r>
      <w:r>
        <w:rPr>
          <w:rFonts w:hint="eastAsia"/>
          <w:color w:val="000000" w:themeColor="text1"/>
          <w:highlight w:val="none"/>
          <w:lang w:eastAsia="zh-CN"/>
        </w:rPr>
        <w:t>”</w:t>
      </w:r>
      <w:r>
        <w:rPr>
          <w:rFonts w:hint="eastAsia"/>
          <w:color w:val="000000" w:themeColor="text1"/>
          <w:highlight w:val="none"/>
        </w:rPr>
        <w:t>及</w:t>
      </w:r>
      <w:r>
        <w:rPr>
          <w:rFonts w:hint="eastAsia"/>
          <w:color w:val="000000" w:themeColor="text1"/>
          <w:highlight w:val="none"/>
          <w:lang w:eastAsia="zh-CN"/>
        </w:rPr>
        <w:t>“</w:t>
      </w:r>
      <w:r>
        <w:rPr>
          <w:color w:val="000000" w:themeColor="text1"/>
          <w:highlight w:val="none"/>
        </w:rPr>
        <w:t>第六十六条：禁止在饮用水水源二级保护区内新建、改建、扩建排放污染物的建设项目；已建成的排放污染物的建设项目，由县级以上人民政府责令拆除或者关闭</w:t>
      </w:r>
      <w:r>
        <w:rPr>
          <w:rFonts w:hint="eastAsia"/>
          <w:color w:val="000000" w:themeColor="text1"/>
          <w:highlight w:val="none"/>
          <w:lang w:eastAsia="zh-CN"/>
        </w:rPr>
        <w:t>”</w:t>
      </w:r>
      <w:r>
        <w:rPr>
          <w:color w:val="000000" w:themeColor="text1"/>
          <w:highlight w:val="none"/>
        </w:rPr>
        <w:t>。</w:t>
      </w:r>
    </w:p>
    <w:p w14:paraId="2FADBF71">
      <w:pPr>
        <w:bidi w:val="0"/>
        <w:spacing w:line="360" w:lineRule="auto"/>
        <w:rPr>
          <w:color w:val="000000" w:themeColor="text1"/>
          <w:highlight w:val="none"/>
        </w:rPr>
      </w:pPr>
      <w:r>
        <w:rPr>
          <w:color w:val="000000" w:themeColor="text1"/>
          <w:highlight w:val="none"/>
        </w:rPr>
        <w:t>同时，根据《关于加强公路规划和建设环境影响评价工作的通知》（环发〔2007〕184号）规定，</w:t>
      </w:r>
      <w:r>
        <w:rPr>
          <w:rFonts w:hint="eastAsia"/>
          <w:color w:val="000000" w:themeColor="text1"/>
          <w:highlight w:val="none"/>
          <w:lang w:eastAsia="zh-CN"/>
        </w:rPr>
        <w:t>“</w:t>
      </w:r>
      <w:r>
        <w:rPr>
          <w:color w:val="000000" w:themeColor="text1"/>
          <w:highlight w:val="none"/>
        </w:rPr>
        <w:t>新建公路项目，应当避免穿越自然保护区核心区和缓冲区、风景名胜区核心景区、饮用水水源一级保护区等依法划定的需要特殊保护的环境敏感区。因工程条件和自然因素限制，确需穿越自然保护区一般控制区、风景名胜区核心景区以外范围、饮用水水源二级保护区或准保护区的，建设单位应当事先征得有关机关同意</w:t>
      </w:r>
      <w:r>
        <w:rPr>
          <w:rFonts w:hint="eastAsia"/>
          <w:color w:val="000000" w:themeColor="text1"/>
          <w:highlight w:val="none"/>
          <w:lang w:eastAsia="zh-CN"/>
        </w:rPr>
        <w:t>”</w:t>
      </w:r>
      <w:r>
        <w:rPr>
          <w:color w:val="000000" w:themeColor="text1"/>
          <w:highlight w:val="none"/>
        </w:rPr>
        <w:t>。</w:t>
      </w:r>
    </w:p>
    <w:p w14:paraId="7B77ABAA">
      <w:pPr>
        <w:bidi w:val="0"/>
        <w:spacing w:line="360" w:lineRule="auto"/>
        <w:rPr>
          <w:color w:val="000000" w:themeColor="text1"/>
          <w:highlight w:val="none"/>
        </w:rPr>
      </w:pPr>
      <w:r>
        <w:rPr>
          <w:color w:val="000000" w:themeColor="text1"/>
          <w:highlight w:val="none"/>
        </w:rPr>
        <w:t>根据</w:t>
      </w:r>
      <w:r>
        <w:rPr>
          <w:rFonts w:hint="eastAsia"/>
          <w:color w:val="000000" w:themeColor="text1"/>
          <w:highlight w:val="none"/>
        </w:rPr>
        <w:t>2.</w:t>
      </w:r>
      <w:r>
        <w:rPr>
          <w:rFonts w:hint="eastAsia"/>
          <w:color w:val="000000" w:themeColor="text1"/>
          <w:highlight w:val="none"/>
          <w:lang w:val="en-US" w:eastAsia="zh-CN"/>
        </w:rPr>
        <w:t>10</w:t>
      </w:r>
      <w:r>
        <w:rPr>
          <w:rFonts w:hint="eastAsia"/>
          <w:color w:val="000000" w:themeColor="text1"/>
          <w:highlight w:val="none"/>
        </w:rPr>
        <w:t>.</w:t>
      </w:r>
      <w:r>
        <w:rPr>
          <w:color w:val="000000" w:themeColor="text1"/>
          <w:highlight w:val="none"/>
        </w:rPr>
        <w:t>1</w:t>
      </w:r>
      <w:r>
        <w:rPr>
          <w:rFonts w:hint="eastAsia"/>
          <w:color w:val="000000" w:themeColor="text1"/>
          <w:highlight w:val="none"/>
        </w:rPr>
        <w:t>章节</w:t>
      </w:r>
      <w:r>
        <w:rPr>
          <w:color w:val="000000" w:themeColor="text1"/>
          <w:highlight w:val="none"/>
        </w:rPr>
        <w:t>线路选线方案推荐方案</w:t>
      </w:r>
      <w:r>
        <w:rPr>
          <w:rFonts w:hint="eastAsia"/>
          <w:color w:val="000000" w:themeColor="text1"/>
          <w:highlight w:val="none"/>
        </w:rPr>
        <w:t>，本项目</w:t>
      </w:r>
      <w:r>
        <w:rPr>
          <w:rFonts w:hint="eastAsia"/>
          <w:color w:val="000000" w:themeColor="text1"/>
          <w:highlight w:val="none"/>
          <w:lang w:val="en-US" w:eastAsia="zh-CN"/>
        </w:rPr>
        <w:t>各</w:t>
      </w:r>
      <w:r>
        <w:rPr>
          <w:color w:val="000000" w:themeColor="text1"/>
          <w:highlight w:val="none"/>
        </w:rPr>
        <w:t>路段</w:t>
      </w:r>
      <w:r>
        <w:rPr>
          <w:rFonts w:hint="eastAsia"/>
          <w:color w:val="000000" w:themeColor="text1"/>
          <w:highlight w:val="none"/>
        </w:rPr>
        <w:t>均不涉及饮用水水源</w:t>
      </w:r>
      <w:r>
        <w:rPr>
          <w:color w:val="000000" w:themeColor="text1"/>
          <w:highlight w:val="none"/>
        </w:rPr>
        <w:t>一级</w:t>
      </w:r>
      <w:r>
        <w:rPr>
          <w:rFonts w:hint="eastAsia"/>
          <w:color w:val="000000" w:themeColor="text1"/>
          <w:highlight w:val="none"/>
        </w:rPr>
        <w:t>、二级保护区，</w:t>
      </w:r>
      <w:r>
        <w:rPr>
          <w:color w:val="000000" w:themeColor="text1"/>
          <w:highlight w:val="none"/>
        </w:rPr>
        <w:t>符合《中华人民共和国水污染防治法》的要求。</w:t>
      </w:r>
    </w:p>
    <w:p w14:paraId="514D43CA">
      <w:pPr>
        <w:bidi w:val="0"/>
        <w:spacing w:line="360" w:lineRule="auto"/>
        <w:rPr>
          <w:color w:val="000000" w:themeColor="text1"/>
          <w:highlight w:val="none"/>
        </w:rPr>
      </w:pPr>
      <w:r>
        <w:rPr>
          <w:rFonts w:hint="eastAsia"/>
          <w:color w:val="000000" w:themeColor="text1"/>
          <w:highlight w:val="none"/>
          <w:lang w:val="en-US" w:eastAsia="zh-CN"/>
        </w:rPr>
        <w:t>②</w:t>
      </w:r>
      <w:r>
        <w:rPr>
          <w:color w:val="000000" w:themeColor="text1"/>
          <w:highlight w:val="none"/>
        </w:rPr>
        <w:t>与《中华人民共和国自然保护区管理条例》符合性</w:t>
      </w:r>
    </w:p>
    <w:p w14:paraId="499CA819">
      <w:pPr>
        <w:bidi w:val="0"/>
        <w:spacing w:line="360" w:lineRule="auto"/>
        <w:rPr>
          <w:rFonts w:hint="eastAsia"/>
          <w:color w:val="000000" w:themeColor="text1"/>
          <w:highlight w:val="none"/>
          <w:lang w:eastAsia="zh-CN"/>
        </w:rPr>
      </w:pPr>
      <w:r>
        <w:rPr>
          <w:color w:val="000000" w:themeColor="text1"/>
          <w:highlight w:val="none"/>
        </w:rPr>
        <w:t>根据《中华人民共和国自然保护区管理条例》（2017年10月7日第二次修订）</w:t>
      </w:r>
      <w:r>
        <w:rPr>
          <w:rFonts w:hint="eastAsia"/>
          <w:color w:val="000000" w:themeColor="text1"/>
          <w:highlight w:val="none"/>
          <w:lang w:eastAsia="zh-CN"/>
        </w:rPr>
        <w:t>“</w:t>
      </w:r>
      <w:r>
        <w:rPr>
          <w:color w:val="000000" w:themeColor="text1"/>
          <w:highlight w:val="none"/>
        </w:rPr>
        <w:t>第三十二条：在自然保护区的核心区和缓冲区内，不得建设任何生产设施。在自然保护区的一般控制区内，不得建设污染环境、破坏资源或者景观的生产设施；建设其他项目，其污染物排放不得超过国家和地方规定的污染物排放标准。</w:t>
      </w:r>
      <w:r>
        <w:rPr>
          <w:rFonts w:hint="eastAsia"/>
          <w:color w:val="000000" w:themeColor="text1"/>
          <w:highlight w:val="none"/>
          <w:lang w:eastAsia="zh-CN"/>
        </w:rPr>
        <w:t>”</w:t>
      </w:r>
    </w:p>
    <w:p w14:paraId="06679F07">
      <w:pPr>
        <w:bidi w:val="0"/>
        <w:spacing w:line="360" w:lineRule="auto"/>
        <w:rPr>
          <w:color w:val="000000" w:themeColor="text1"/>
          <w:highlight w:val="none"/>
        </w:rPr>
      </w:pPr>
      <w:r>
        <w:rPr>
          <w:color w:val="000000" w:themeColor="text1"/>
          <w:highlight w:val="none"/>
        </w:rPr>
        <w:t>同时，根据《关于加强公路规划和建设环境影响评价工作的通知》（环发〔2007〕184号）规定，</w:t>
      </w:r>
      <w:r>
        <w:rPr>
          <w:rFonts w:hint="eastAsia"/>
          <w:color w:val="000000" w:themeColor="text1"/>
          <w:highlight w:val="none"/>
          <w:lang w:eastAsia="zh-CN"/>
        </w:rPr>
        <w:t>“</w:t>
      </w:r>
      <w:r>
        <w:rPr>
          <w:color w:val="000000" w:themeColor="text1"/>
          <w:highlight w:val="none"/>
        </w:rPr>
        <w:t>新建公路项目，应当避免穿越自然保护区核心区和缓冲区、风景名胜区核心景区、饮用水水源一级保护区等依法划定的需要特殊保护的环境敏感区。因工程条件和自然因素限制，确需穿越自然保护区一般控制区、风景名胜区核心景区以外范围、饮用水水源二级保护区或准保护区的，建设单位应当事先征得有关机关同意</w:t>
      </w:r>
      <w:r>
        <w:rPr>
          <w:rFonts w:hint="eastAsia"/>
          <w:color w:val="000000" w:themeColor="text1"/>
          <w:highlight w:val="none"/>
          <w:lang w:eastAsia="zh-CN"/>
        </w:rPr>
        <w:t>”</w:t>
      </w:r>
      <w:r>
        <w:rPr>
          <w:color w:val="000000" w:themeColor="text1"/>
          <w:highlight w:val="none"/>
        </w:rPr>
        <w:t>。</w:t>
      </w:r>
    </w:p>
    <w:p w14:paraId="351C0A69">
      <w:pPr>
        <w:bidi w:val="0"/>
        <w:spacing w:line="360" w:lineRule="auto"/>
        <w:rPr>
          <w:color w:val="000000" w:themeColor="text1"/>
          <w:highlight w:val="none"/>
        </w:rPr>
      </w:pPr>
      <w:r>
        <w:rPr>
          <w:color w:val="000000" w:themeColor="text1"/>
          <w:highlight w:val="none"/>
        </w:rPr>
        <w:t>本项目</w:t>
      </w:r>
      <w:r>
        <w:rPr>
          <w:rFonts w:hint="eastAsia"/>
          <w:color w:val="000000" w:themeColor="text1"/>
          <w:highlight w:val="none"/>
          <w:lang w:val="en-US" w:eastAsia="zh-CN"/>
        </w:rPr>
        <w:t>位于细鳞河自然保护区东南侧，距离细鳞河自然保护区实验区约7.1</w:t>
      </w:r>
      <w:r>
        <w:rPr>
          <w:rFonts w:hint="default"/>
          <w:color w:val="000000" w:themeColor="text1"/>
          <w:highlight w:val="none"/>
          <w:lang w:val="en-US" w:eastAsia="zh-CN"/>
        </w:rPr>
        <w:t>km</w:t>
      </w:r>
      <w:r>
        <w:rPr>
          <w:rFonts w:hint="eastAsia"/>
          <w:color w:val="000000" w:themeColor="text1"/>
          <w:highlight w:val="none"/>
          <w:lang w:val="en-US" w:eastAsia="zh-CN"/>
        </w:rPr>
        <w:t>，</w:t>
      </w:r>
      <w:r>
        <w:rPr>
          <w:rFonts w:hint="eastAsia"/>
          <w:color w:val="000000" w:themeColor="text1"/>
          <w:highlight w:val="none"/>
        </w:rPr>
        <w:t>不穿越</w:t>
      </w:r>
      <w:r>
        <w:rPr>
          <w:rFonts w:hint="eastAsia"/>
          <w:color w:val="000000" w:themeColor="text1"/>
          <w:highlight w:val="none"/>
          <w:lang w:val="en-US" w:eastAsia="zh-CN"/>
        </w:rPr>
        <w:t>细鳞河自然保护区</w:t>
      </w:r>
      <w:r>
        <w:rPr>
          <w:rFonts w:hint="eastAsia"/>
          <w:color w:val="000000" w:themeColor="text1"/>
          <w:highlight w:val="none"/>
        </w:rPr>
        <w:t>。</w:t>
      </w:r>
      <w:r>
        <w:rPr>
          <w:color w:val="000000" w:themeColor="text1"/>
          <w:highlight w:val="none"/>
        </w:rPr>
        <w:t>因此，本项目符合《中华人民共和国自然保护区管理条例》的要求。</w:t>
      </w:r>
    </w:p>
    <w:p w14:paraId="23EAE95E">
      <w:pPr>
        <w:bidi w:val="0"/>
        <w:spacing w:line="360" w:lineRule="auto"/>
        <w:rPr>
          <w:color w:val="000000" w:themeColor="text1"/>
          <w:highlight w:val="none"/>
        </w:rPr>
      </w:pPr>
      <w:r>
        <w:rPr>
          <w:rFonts w:hint="eastAsia"/>
          <w:color w:val="000000" w:themeColor="text1"/>
          <w:highlight w:val="none"/>
          <w:lang w:val="en-US" w:eastAsia="zh-CN"/>
        </w:rPr>
        <w:t>③</w:t>
      </w:r>
      <w:r>
        <w:rPr>
          <w:color w:val="000000" w:themeColor="text1"/>
          <w:highlight w:val="none"/>
        </w:rPr>
        <w:t>与《建设项目使用林地审核审批管理办法》（国家林业局令2016第42号）符合性</w:t>
      </w:r>
    </w:p>
    <w:p w14:paraId="496290AA">
      <w:pPr>
        <w:bidi w:val="0"/>
        <w:spacing w:line="360" w:lineRule="auto"/>
        <w:rPr>
          <w:rFonts w:hint="default"/>
          <w:color w:val="000000" w:themeColor="text1"/>
          <w:highlight w:val="none"/>
        </w:rPr>
      </w:pPr>
      <w:r>
        <w:rPr>
          <w:rFonts w:hint="eastAsia"/>
          <w:color w:val="000000" w:themeColor="text1"/>
          <w:highlight w:val="none"/>
        </w:rPr>
        <w:t>根据《建设项目使用林地审核审批管理办法》（国家林业局令2016第42号）第四条（二）：国务院批准、同意的建设项目，国务院有关部门和省级人民政府及其有关部门批准的基础设施、公共事业、民生建设项目，可以使用Ⅱ级及其以下保护林地。县（市、区）和设区的市、自治州人民政府及其有关部门批准的基础设</w:t>
      </w:r>
      <w:r>
        <w:rPr>
          <w:rFonts w:hint="default"/>
          <w:color w:val="000000" w:themeColor="text1"/>
          <w:highlight w:val="none"/>
        </w:rPr>
        <w:t>施、公共事业、民生建设项目，可以使用Ⅱ级及其以下保护林地。公路、铁路、通讯、电力、油气管线等线性工程和水利水电、航道工程等建设项目配套的采石（沙）场、取土场使用林地按照主体建设项目使用林地范围执行，但不得使用Ⅱ级保护林地中的有林地。</w:t>
      </w:r>
    </w:p>
    <w:p w14:paraId="102FEE10">
      <w:pPr>
        <w:bidi w:val="0"/>
        <w:spacing w:line="360" w:lineRule="auto"/>
        <w:rPr>
          <w:rFonts w:hint="default"/>
          <w:color w:val="000000" w:themeColor="text1"/>
          <w:highlight w:val="none"/>
        </w:rPr>
      </w:pPr>
      <w:r>
        <w:rPr>
          <w:rFonts w:hint="default"/>
          <w:color w:val="000000" w:themeColor="text1"/>
          <w:highlight w:val="none"/>
        </w:rPr>
        <w:t>本项目路线</w:t>
      </w:r>
      <w:r>
        <w:rPr>
          <w:rFonts w:hint="default"/>
          <w:color w:val="000000" w:themeColor="text1"/>
          <w:highlight w:val="none"/>
          <w:lang w:val="en-US" w:eastAsia="zh-CN"/>
        </w:rPr>
        <w:t>占用林地为一般林地，不属于Ⅱ级及以上保护林地</w:t>
      </w:r>
      <w:r>
        <w:rPr>
          <w:rFonts w:hint="default"/>
          <w:color w:val="000000" w:themeColor="text1"/>
          <w:highlight w:val="none"/>
        </w:rPr>
        <w:t>。拟建公路以狭长的线形穿越</w:t>
      </w:r>
      <w:r>
        <w:rPr>
          <w:rFonts w:hint="default"/>
          <w:color w:val="000000" w:themeColor="text1"/>
          <w:highlight w:val="none"/>
          <w:lang w:val="en-US" w:eastAsia="zh-CN"/>
        </w:rPr>
        <w:t>林地</w:t>
      </w:r>
      <w:r>
        <w:rPr>
          <w:rFonts w:hint="default"/>
          <w:color w:val="000000" w:themeColor="text1"/>
          <w:highlight w:val="none"/>
        </w:rPr>
        <w:t>，占用面积比例较小，且工程建设后通过对路基边坡及附属工程种植相同物种，可以弥补部分损失。建设单位在对工程涉及的</w:t>
      </w:r>
      <w:r>
        <w:rPr>
          <w:rFonts w:hint="default"/>
          <w:color w:val="000000" w:themeColor="text1"/>
          <w:highlight w:val="none"/>
          <w:lang w:val="en-US" w:eastAsia="zh-CN"/>
        </w:rPr>
        <w:t>林地</w:t>
      </w:r>
      <w:r>
        <w:rPr>
          <w:rFonts w:hint="default"/>
          <w:color w:val="000000" w:themeColor="text1"/>
          <w:highlight w:val="none"/>
        </w:rPr>
        <w:t>进行征用前，需经林业行政主管部门审核同意，并依法办理用地审批手续及林木采伐手续。</w:t>
      </w:r>
    </w:p>
    <w:p w14:paraId="6517F924">
      <w:pPr>
        <w:bidi w:val="0"/>
        <w:spacing w:line="360" w:lineRule="auto"/>
        <w:rPr>
          <w:color w:val="000000" w:themeColor="text1"/>
          <w:highlight w:val="none"/>
        </w:rPr>
      </w:pPr>
      <w:r>
        <w:rPr>
          <w:rFonts w:hint="eastAsia"/>
          <w:color w:val="000000" w:themeColor="text1"/>
          <w:highlight w:val="none"/>
        </w:rPr>
        <w:t>本项目已取得征用</w:t>
      </w:r>
      <w:r>
        <w:rPr>
          <w:rFonts w:hint="eastAsia"/>
          <w:color w:val="000000" w:themeColor="text1"/>
          <w:highlight w:val="none"/>
          <w:lang w:val="en-US" w:eastAsia="zh-CN"/>
        </w:rPr>
        <w:t>林地</w:t>
      </w:r>
      <w:r>
        <w:rPr>
          <w:rFonts w:hint="eastAsia"/>
          <w:color w:val="000000" w:themeColor="text1"/>
          <w:highlight w:val="none"/>
        </w:rPr>
        <w:t>合法审批手续，项目征用</w:t>
      </w:r>
      <w:r>
        <w:rPr>
          <w:rFonts w:hint="eastAsia"/>
          <w:color w:val="000000" w:themeColor="text1"/>
          <w:highlight w:val="none"/>
          <w:lang w:val="en-US" w:eastAsia="zh-CN"/>
        </w:rPr>
        <w:t>林地</w:t>
      </w:r>
      <w:r>
        <w:rPr>
          <w:rFonts w:hint="eastAsia"/>
          <w:color w:val="000000" w:themeColor="text1"/>
          <w:highlight w:val="none"/>
        </w:rPr>
        <w:t>符合</w:t>
      </w:r>
      <w:r>
        <w:rPr>
          <w:color w:val="000000" w:themeColor="text1"/>
          <w:highlight w:val="none"/>
        </w:rPr>
        <w:t>《建设项目使用林地审核审批管理办法》（国家林业局令2016第42号）</w:t>
      </w:r>
      <w:r>
        <w:rPr>
          <w:rFonts w:hint="eastAsia"/>
          <w:color w:val="000000" w:themeColor="text1"/>
          <w:highlight w:val="none"/>
        </w:rPr>
        <w:t>要求。</w:t>
      </w:r>
    </w:p>
    <w:p w14:paraId="547D0A70">
      <w:pPr>
        <w:bidi w:val="0"/>
        <w:spacing w:line="360" w:lineRule="auto"/>
        <w:rPr>
          <w:color w:val="000000" w:themeColor="text1"/>
          <w:highlight w:val="none"/>
        </w:rPr>
      </w:pPr>
      <w:r>
        <w:rPr>
          <w:rFonts w:hint="eastAsia"/>
          <w:color w:val="000000" w:themeColor="text1"/>
          <w:highlight w:val="none"/>
          <w:lang w:val="en-US" w:eastAsia="zh-CN"/>
        </w:rPr>
        <w:t>④</w:t>
      </w:r>
      <w:r>
        <w:rPr>
          <w:color w:val="000000" w:themeColor="text1"/>
          <w:highlight w:val="none"/>
        </w:rPr>
        <w:t>与</w:t>
      </w:r>
      <w:r>
        <w:rPr>
          <w:rFonts w:hint="eastAsia"/>
          <w:color w:val="000000" w:themeColor="text1"/>
          <w:highlight w:val="none"/>
          <w:lang w:val="en-US" w:eastAsia="zh-CN"/>
        </w:rPr>
        <w:t>《黑龙江省黑土地保护利用条例》</w:t>
      </w:r>
      <w:r>
        <w:rPr>
          <w:color w:val="000000" w:themeColor="text1"/>
          <w:highlight w:val="none"/>
        </w:rPr>
        <w:t>符合性</w:t>
      </w:r>
    </w:p>
    <w:p w14:paraId="05107EA9">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根据《黑龙江省黑土地保护利用条例》（2022年3月1日施行）中“第四章 建设与利用”第三十九条 建立和完善建设用地增减挂钩机制。建设项目应当节约、集约使用黑土地，不占或者少占黑土地。基础设施建设应当采取必要措施，避免因建设项目导致水淹耕地或者破坏黑土地生态环境。</w:t>
      </w:r>
    </w:p>
    <w:p w14:paraId="33593B29">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为新建黑龙江鹤岗机场场外配套工程（机场进场路建设工程）项目，为基础设施建设项目，施工期生产生活废水均不外排，此外，共设置桥梁3座、箱涵12道等，可消除因公路建设而产生阻隔影响，保持道路两侧水力联通，不会导致水淹耕地；建设用地指标满足《公路工程项目建设用地指标》（建标(2011)124号），节约、集约使用黑土地。本项目占地施工前均采取表土剥离临时堆存，并采取水土保持措施，施工结束后及时复垦和植被恢复，最大限度保护黑土地。</w:t>
      </w:r>
    </w:p>
    <w:p w14:paraId="5692FA70">
      <w:pPr>
        <w:bidi w:val="0"/>
        <w:spacing w:line="360" w:lineRule="auto"/>
        <w:rPr>
          <w:rFonts w:hint="eastAsia"/>
          <w:color w:val="000000" w:themeColor="text1"/>
          <w:highlight w:val="none"/>
          <w:lang w:eastAsia="zh-CN"/>
        </w:rPr>
      </w:pPr>
      <w:r>
        <w:rPr>
          <w:rFonts w:hint="eastAsia"/>
          <w:color w:val="000000" w:themeColor="text1"/>
          <w:highlight w:val="none"/>
          <w:lang w:val="en-US" w:eastAsia="zh-CN"/>
        </w:rPr>
        <w:t>综上所述，本项目建设符合《黑龙江省黑土地保护利用条例》要求。</w:t>
      </w:r>
    </w:p>
    <w:p w14:paraId="4C6B4675">
      <w:pPr>
        <w:bidi w:val="0"/>
        <w:spacing w:line="360" w:lineRule="auto"/>
        <w:rPr>
          <w:color w:val="000000" w:themeColor="text1"/>
          <w:highlight w:val="none"/>
        </w:rPr>
      </w:pPr>
      <w:r>
        <w:rPr>
          <w:rFonts w:hint="eastAsia"/>
          <w:color w:val="000000" w:themeColor="text1"/>
          <w:highlight w:val="none"/>
          <w:lang w:val="en-US" w:eastAsia="zh-CN"/>
        </w:rPr>
        <w:t>⑤</w:t>
      </w:r>
      <w:r>
        <w:rPr>
          <w:rFonts w:hint="eastAsia"/>
          <w:color w:val="000000" w:themeColor="text1"/>
          <w:highlight w:val="none"/>
        </w:rPr>
        <w:t>与《黑龙江省“十四五”黑土地保护规划》（黑政办规〔2021〕48号）符合性</w:t>
      </w:r>
    </w:p>
    <w:p w14:paraId="1796EA74">
      <w:pPr>
        <w:pageBreakBefore w:val="0"/>
        <w:wordWrap/>
        <w:topLinePunct w:val="0"/>
        <w:bidi w:val="0"/>
        <w:spacing w:line="360" w:lineRule="auto"/>
        <w:ind w:firstLine="0" w:firstLineChars="0"/>
        <w:jc w:val="center"/>
        <w:rPr>
          <w:b/>
          <w:color w:val="000000" w:themeColor="text1"/>
          <w:highlight w:val="none"/>
        </w:rPr>
      </w:pPr>
      <w:r>
        <w:rPr>
          <w:rFonts w:hint="eastAsia"/>
          <w:b/>
          <w:color w:val="000000" w:themeColor="text1"/>
          <w:highlight w:val="none"/>
        </w:rPr>
        <w:t>表</w:t>
      </w:r>
      <w:r>
        <w:rPr>
          <w:rFonts w:hint="eastAsia"/>
          <w:b/>
          <w:color w:val="000000" w:themeColor="text1"/>
          <w:highlight w:val="none"/>
          <w:lang w:val="en-US" w:eastAsia="zh-CN"/>
        </w:rPr>
        <w:t>1.5</w:t>
      </w:r>
      <w:r>
        <w:rPr>
          <w:rFonts w:hint="eastAsia"/>
          <w:b/>
          <w:color w:val="000000" w:themeColor="text1"/>
          <w:highlight w:val="none"/>
        </w:rPr>
        <w:t xml:space="preserve">-3 </w:t>
      </w:r>
      <w:r>
        <w:rPr>
          <w:rFonts w:hint="eastAsia"/>
          <w:b/>
          <w:color w:val="000000" w:themeColor="text1"/>
          <w:highlight w:val="none"/>
          <w:lang w:val="en-US" w:eastAsia="zh-CN"/>
        </w:rPr>
        <w:t xml:space="preserve"> </w:t>
      </w:r>
      <w:r>
        <w:rPr>
          <w:rFonts w:hint="eastAsia"/>
          <w:b/>
          <w:color w:val="000000" w:themeColor="text1"/>
          <w:highlight w:val="none"/>
        </w:rPr>
        <w:t>与《黑龙江省“十四五”黑土地保护规划》（黑政办规〔2021〕48号）符合性分析</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3628"/>
        <w:gridCol w:w="3246"/>
        <w:gridCol w:w="945"/>
      </w:tblGrid>
      <w:tr w14:paraId="7A6359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4" w:type="pct"/>
            <w:tcBorders>
              <w:tl2br w:val="nil"/>
              <w:tr2bl w:val="nil"/>
            </w:tcBorders>
            <w:shd w:val="clear" w:color="auto" w:fill="auto"/>
            <w:vAlign w:val="center"/>
          </w:tcPr>
          <w:p w14:paraId="51AE7C4A">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序号</w:t>
            </w:r>
          </w:p>
        </w:tc>
        <w:tc>
          <w:tcPr>
            <w:tcW w:w="2127" w:type="pct"/>
            <w:tcBorders>
              <w:tl2br w:val="nil"/>
              <w:tr2bl w:val="nil"/>
            </w:tcBorders>
            <w:shd w:val="clear" w:color="auto" w:fill="auto"/>
            <w:vAlign w:val="center"/>
          </w:tcPr>
          <w:p w14:paraId="43F039A7">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lang w:val="en-US" w:eastAsia="zh-CN"/>
              </w:rPr>
              <w:t>黑政办规〔2021〕48号</w:t>
            </w:r>
            <w:r>
              <w:rPr>
                <w:rFonts w:hint="default"/>
                <w:color w:val="000000" w:themeColor="text1"/>
                <w:kern w:val="0"/>
                <w:sz w:val="21"/>
                <w:szCs w:val="21"/>
                <w:highlight w:val="none"/>
              </w:rPr>
              <w:t>要求</w:t>
            </w:r>
          </w:p>
        </w:tc>
        <w:tc>
          <w:tcPr>
            <w:tcW w:w="1903" w:type="pct"/>
            <w:tcBorders>
              <w:tl2br w:val="nil"/>
              <w:tr2bl w:val="nil"/>
            </w:tcBorders>
            <w:shd w:val="clear" w:color="auto" w:fill="auto"/>
            <w:vAlign w:val="center"/>
          </w:tcPr>
          <w:p w14:paraId="5E8E53C7">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本项目情况</w:t>
            </w:r>
          </w:p>
        </w:tc>
        <w:tc>
          <w:tcPr>
            <w:tcW w:w="554" w:type="pct"/>
            <w:tcBorders>
              <w:tl2br w:val="nil"/>
              <w:tr2bl w:val="nil"/>
            </w:tcBorders>
            <w:vAlign w:val="center"/>
          </w:tcPr>
          <w:p w14:paraId="239419EA">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相符性</w:t>
            </w:r>
          </w:p>
        </w:tc>
      </w:tr>
      <w:tr w14:paraId="6973A5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4" w:type="pct"/>
            <w:tcBorders>
              <w:tl2br w:val="nil"/>
              <w:tr2bl w:val="nil"/>
            </w:tcBorders>
            <w:shd w:val="clear" w:color="auto" w:fill="auto"/>
            <w:vAlign w:val="center"/>
          </w:tcPr>
          <w:p w14:paraId="259BA59A">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1</w:t>
            </w:r>
          </w:p>
        </w:tc>
        <w:tc>
          <w:tcPr>
            <w:tcW w:w="2127" w:type="pct"/>
            <w:tcBorders>
              <w:tl2br w:val="nil"/>
              <w:tr2bl w:val="nil"/>
            </w:tcBorders>
            <w:shd w:val="clear" w:color="auto" w:fill="auto"/>
            <w:vAlign w:val="center"/>
          </w:tcPr>
          <w:p w14:paraId="074ED4E7">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严控耕地保护红线。实行最严格的耕地保护制度，划定耕地保护红线和永久基本农田控制线，严格落实耕地占补平衡、易地补充耕地、土地复垦等政策，确保完成规划期内黑土耕地保有量和永久基本农田保护任务。</w:t>
            </w:r>
          </w:p>
        </w:tc>
        <w:tc>
          <w:tcPr>
            <w:tcW w:w="1903" w:type="pct"/>
            <w:vMerge w:val="restart"/>
            <w:tcBorders>
              <w:tl2br w:val="nil"/>
              <w:tr2bl w:val="nil"/>
            </w:tcBorders>
            <w:shd w:val="clear" w:color="auto" w:fill="auto"/>
            <w:vAlign w:val="center"/>
          </w:tcPr>
          <w:p w14:paraId="4B75621E">
            <w:pPr>
              <w:pageBreakBefore w:val="0"/>
              <w:widowControl/>
              <w:wordWrap/>
              <w:topLinePunct w:val="0"/>
              <w:bidi w:val="0"/>
              <w:spacing w:line="360" w:lineRule="auto"/>
              <w:ind w:firstLine="0" w:firstLineChars="0"/>
              <w:jc w:val="center"/>
              <w:rPr>
                <w:rFonts w:hint="eastAsia"/>
                <w:color w:val="000000" w:themeColor="text1"/>
                <w:kern w:val="0"/>
                <w:sz w:val="21"/>
                <w:szCs w:val="21"/>
                <w:highlight w:val="none"/>
                <w:lang w:eastAsia="zh-CN"/>
              </w:rPr>
            </w:pPr>
            <w:r>
              <w:rPr>
                <w:rFonts w:hint="eastAsia"/>
                <w:color w:val="000000" w:themeColor="text1"/>
                <w:kern w:val="0"/>
                <w:sz w:val="21"/>
                <w:szCs w:val="21"/>
                <w:highlight w:val="none"/>
                <w:lang w:val="en-US" w:eastAsia="zh-CN"/>
              </w:rPr>
              <w:t>根据《自然资源部办公厅关于新建黑龙江鹤岗机场项目建设用地预审意见的函》（自然资办函〔2023〕1655号）及机场环评，新建黑龙江鹤岗机场项目共占用永久基本农田31.64公顷，其中进场道路占用永久基本农田9.9014公顷。在项目施工图设计过程中，根据实际情况，核算出用地面积约为191083m</w:t>
            </w:r>
            <w:r>
              <w:rPr>
                <w:rFonts w:hint="eastAsia"/>
                <w:color w:val="000000" w:themeColor="text1"/>
                <w:kern w:val="0"/>
                <w:sz w:val="21"/>
                <w:szCs w:val="21"/>
                <w:highlight w:val="none"/>
                <w:vertAlign w:val="superscript"/>
                <w:lang w:val="en-US" w:eastAsia="zh-CN"/>
              </w:rPr>
              <w:t>2</w:t>
            </w:r>
            <w:r>
              <w:rPr>
                <w:rFonts w:hint="eastAsia"/>
                <w:color w:val="000000" w:themeColor="text1"/>
                <w:kern w:val="0"/>
                <w:sz w:val="21"/>
                <w:szCs w:val="21"/>
                <w:highlight w:val="none"/>
                <w:lang w:val="en-US" w:eastAsia="zh-CN"/>
              </w:rPr>
              <w:t>（其中永久基本农田120213m</w:t>
            </w:r>
            <w:r>
              <w:rPr>
                <w:rFonts w:hint="eastAsia"/>
                <w:color w:val="000000" w:themeColor="text1"/>
                <w:kern w:val="0"/>
                <w:sz w:val="21"/>
                <w:szCs w:val="21"/>
                <w:highlight w:val="none"/>
                <w:vertAlign w:val="superscript"/>
                <w:lang w:val="en-US" w:eastAsia="zh-CN"/>
              </w:rPr>
              <w:t>2</w:t>
            </w:r>
            <w:r>
              <w:rPr>
                <w:rFonts w:hint="eastAsia"/>
                <w:color w:val="000000" w:themeColor="text1"/>
                <w:kern w:val="0"/>
                <w:sz w:val="21"/>
                <w:szCs w:val="21"/>
                <w:highlight w:val="none"/>
                <w:lang w:val="en-US" w:eastAsia="zh-CN"/>
              </w:rPr>
              <w:t>），项目新增永久基本农田21199m</w:t>
            </w:r>
            <w:r>
              <w:rPr>
                <w:rFonts w:hint="eastAsia"/>
                <w:color w:val="000000" w:themeColor="text1"/>
                <w:kern w:val="0"/>
                <w:sz w:val="21"/>
                <w:szCs w:val="21"/>
                <w:highlight w:val="none"/>
                <w:vertAlign w:val="superscript"/>
                <w:lang w:val="en-US" w:eastAsia="zh-CN"/>
              </w:rPr>
              <w:t>2</w:t>
            </w:r>
            <w:r>
              <w:rPr>
                <w:rFonts w:hint="eastAsia"/>
                <w:color w:val="000000" w:themeColor="text1"/>
                <w:kern w:val="0"/>
                <w:sz w:val="21"/>
                <w:szCs w:val="21"/>
                <w:highlight w:val="none"/>
                <w:lang w:val="en-US" w:eastAsia="zh-CN"/>
              </w:rPr>
              <w:t>，征占手续正在办理中。并</w:t>
            </w:r>
            <w:r>
              <w:rPr>
                <w:rFonts w:hint="default"/>
                <w:color w:val="000000" w:themeColor="text1"/>
                <w:kern w:val="0"/>
                <w:sz w:val="21"/>
                <w:szCs w:val="21"/>
                <w:highlight w:val="none"/>
              </w:rPr>
              <w:t>严格落实耕地占补平衡、易地补充耕地、土地复垦等政策，确保完成规划期内黑土耕地保有量和永久基本农田保护任务。</w:t>
            </w:r>
            <w:r>
              <w:rPr>
                <w:rFonts w:hint="eastAsia"/>
                <w:color w:val="000000" w:themeColor="text1"/>
                <w:kern w:val="0"/>
                <w:sz w:val="21"/>
                <w:szCs w:val="21"/>
                <w:highlight w:val="none"/>
                <w:lang w:val="en-US" w:eastAsia="zh-CN"/>
              </w:rPr>
              <w:t>并</w:t>
            </w:r>
            <w:r>
              <w:rPr>
                <w:rFonts w:hint="default"/>
                <w:color w:val="000000" w:themeColor="text1"/>
                <w:kern w:val="0"/>
                <w:sz w:val="21"/>
                <w:szCs w:val="21"/>
                <w:highlight w:val="none"/>
              </w:rPr>
              <w:t>按规定进行表土剥离和利用。</w:t>
            </w:r>
          </w:p>
        </w:tc>
        <w:tc>
          <w:tcPr>
            <w:tcW w:w="554" w:type="pct"/>
            <w:vMerge w:val="restart"/>
            <w:tcBorders>
              <w:tl2br w:val="nil"/>
              <w:tr2bl w:val="nil"/>
            </w:tcBorders>
            <w:vAlign w:val="center"/>
          </w:tcPr>
          <w:p w14:paraId="188376E6">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符合</w:t>
            </w:r>
          </w:p>
        </w:tc>
      </w:tr>
      <w:tr w14:paraId="551238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4" w:type="pct"/>
            <w:tcBorders>
              <w:tl2br w:val="nil"/>
              <w:tr2bl w:val="nil"/>
            </w:tcBorders>
            <w:shd w:val="clear" w:color="auto" w:fill="auto"/>
            <w:vAlign w:val="center"/>
          </w:tcPr>
          <w:p w14:paraId="1E414FC4">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2</w:t>
            </w:r>
          </w:p>
        </w:tc>
        <w:tc>
          <w:tcPr>
            <w:tcW w:w="2127" w:type="pct"/>
            <w:tcBorders>
              <w:tl2br w:val="nil"/>
              <w:tr2bl w:val="nil"/>
            </w:tcBorders>
            <w:shd w:val="clear" w:color="auto" w:fill="auto"/>
            <w:vAlign w:val="center"/>
          </w:tcPr>
          <w:p w14:paraId="532132BF">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严格国土空间用途管制。划定一般农业区，把优质黑土耕地优先划入一般农业区。制定用途管制规则，实行严格的用途管制，严控非农建设用地规模，尽量少占优质黑土地。强化对占用黑土地的管控约束，使得城镇发展等非农建设尽量避让优质黑土地。</w:t>
            </w:r>
          </w:p>
        </w:tc>
        <w:tc>
          <w:tcPr>
            <w:tcW w:w="1903" w:type="pct"/>
            <w:vMerge w:val="continue"/>
            <w:tcBorders>
              <w:tl2br w:val="nil"/>
              <w:tr2bl w:val="nil"/>
            </w:tcBorders>
            <w:shd w:val="clear" w:color="auto" w:fill="auto"/>
            <w:vAlign w:val="center"/>
          </w:tcPr>
          <w:p w14:paraId="34284069">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lang w:val="en-US" w:eastAsia="zh-CN"/>
              </w:rPr>
            </w:pPr>
          </w:p>
        </w:tc>
        <w:tc>
          <w:tcPr>
            <w:tcW w:w="554" w:type="pct"/>
            <w:vMerge w:val="continue"/>
            <w:tcBorders>
              <w:tl2br w:val="nil"/>
              <w:tr2bl w:val="nil"/>
            </w:tcBorders>
            <w:vAlign w:val="center"/>
          </w:tcPr>
          <w:p w14:paraId="71A9B0E8">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p>
        </w:tc>
      </w:tr>
      <w:tr w14:paraId="34C951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4" w:type="pct"/>
            <w:tcBorders>
              <w:tl2br w:val="nil"/>
              <w:tr2bl w:val="nil"/>
            </w:tcBorders>
            <w:shd w:val="clear" w:color="auto" w:fill="auto"/>
            <w:vAlign w:val="center"/>
          </w:tcPr>
          <w:p w14:paraId="30E57378">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3</w:t>
            </w:r>
          </w:p>
        </w:tc>
        <w:tc>
          <w:tcPr>
            <w:tcW w:w="2127" w:type="pct"/>
            <w:tcBorders>
              <w:tl2br w:val="nil"/>
              <w:tr2bl w:val="nil"/>
            </w:tcBorders>
            <w:shd w:val="clear" w:color="auto" w:fill="auto"/>
            <w:vAlign w:val="center"/>
          </w:tcPr>
          <w:p w14:paraId="18CACA52">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r>
              <w:rPr>
                <w:rFonts w:hint="default"/>
                <w:color w:val="000000" w:themeColor="text1"/>
                <w:kern w:val="0"/>
                <w:sz w:val="21"/>
                <w:szCs w:val="21"/>
                <w:highlight w:val="none"/>
              </w:rPr>
              <w:t>严格土地执法。建设项目占用耕地的，应当按规定进行表土剥离和利用。全面加大黑土耕地保护违法违规问题执法力度，及时发现、严肃查处土地违法特别是乱占耕地、破坏耕地、盗挖黑土等行为。</w:t>
            </w:r>
          </w:p>
        </w:tc>
        <w:tc>
          <w:tcPr>
            <w:tcW w:w="1903" w:type="pct"/>
            <w:vMerge w:val="continue"/>
            <w:tcBorders>
              <w:tl2br w:val="nil"/>
              <w:tr2bl w:val="nil"/>
            </w:tcBorders>
            <w:shd w:val="clear" w:color="auto" w:fill="auto"/>
            <w:vAlign w:val="center"/>
          </w:tcPr>
          <w:p w14:paraId="57B3670A">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p>
        </w:tc>
        <w:tc>
          <w:tcPr>
            <w:tcW w:w="554" w:type="pct"/>
            <w:vMerge w:val="continue"/>
            <w:tcBorders>
              <w:tl2br w:val="nil"/>
              <w:tr2bl w:val="nil"/>
            </w:tcBorders>
            <w:vAlign w:val="center"/>
          </w:tcPr>
          <w:p w14:paraId="20F7726C">
            <w:pPr>
              <w:pageBreakBefore w:val="0"/>
              <w:widowControl/>
              <w:wordWrap/>
              <w:topLinePunct w:val="0"/>
              <w:bidi w:val="0"/>
              <w:spacing w:line="360" w:lineRule="auto"/>
              <w:ind w:firstLine="0" w:firstLineChars="0"/>
              <w:jc w:val="center"/>
              <w:rPr>
                <w:rFonts w:hint="default"/>
                <w:color w:val="000000" w:themeColor="text1"/>
                <w:kern w:val="0"/>
                <w:sz w:val="21"/>
                <w:szCs w:val="21"/>
                <w:highlight w:val="none"/>
              </w:rPr>
            </w:pPr>
          </w:p>
        </w:tc>
      </w:tr>
    </w:tbl>
    <w:p w14:paraId="4D116BEF">
      <w:pPr>
        <w:bidi w:val="0"/>
        <w:spacing w:line="360" w:lineRule="auto"/>
        <w:rPr>
          <w:color w:val="000000" w:themeColor="text1"/>
          <w:highlight w:val="none"/>
        </w:rPr>
      </w:pPr>
      <w:r>
        <w:rPr>
          <w:rFonts w:hint="eastAsia"/>
          <w:color w:val="000000" w:themeColor="text1"/>
          <w:highlight w:val="none"/>
          <w:lang w:val="en-US" w:eastAsia="zh-CN"/>
        </w:rPr>
        <w:t>⑥</w:t>
      </w:r>
      <w:r>
        <w:rPr>
          <w:color w:val="000000" w:themeColor="text1"/>
          <w:highlight w:val="none"/>
        </w:rPr>
        <w:t>与《</w:t>
      </w:r>
      <w:r>
        <w:rPr>
          <w:rFonts w:hint="eastAsia"/>
          <w:color w:val="000000" w:themeColor="text1"/>
          <w:highlight w:val="none"/>
        </w:rPr>
        <w:t>关于划定并严守生态保护红线的若干意见</w:t>
      </w:r>
      <w:r>
        <w:rPr>
          <w:color w:val="000000" w:themeColor="text1"/>
          <w:highlight w:val="none"/>
        </w:rPr>
        <w:t>》符合性</w:t>
      </w:r>
    </w:p>
    <w:p w14:paraId="1C675C4C">
      <w:pPr>
        <w:bidi w:val="0"/>
        <w:spacing w:line="360" w:lineRule="auto"/>
        <w:rPr>
          <w:color w:val="000000" w:themeColor="text1"/>
          <w:highlight w:val="none"/>
        </w:rPr>
      </w:pPr>
      <w:r>
        <w:rPr>
          <w:color w:val="000000" w:themeColor="text1"/>
          <w:highlight w:val="none"/>
        </w:rPr>
        <w:t>2017</w:t>
      </w:r>
      <w:r>
        <w:rPr>
          <w:rFonts w:hint="eastAsia"/>
          <w:color w:val="000000" w:themeColor="text1"/>
          <w:highlight w:val="none"/>
        </w:rPr>
        <w:t>年，中共中央办公厅、国务院办公厅联合印发了《关于划定并严守生态保护红线的若干意见》，对生态保护红线的建设、保护提出了指导性意见，本</w:t>
      </w:r>
      <w:r>
        <w:rPr>
          <w:rFonts w:hint="default"/>
          <w:color w:val="000000" w:themeColor="text1"/>
          <w:highlight w:val="none"/>
        </w:rPr>
        <w:t>项目与《关于划定并严守生态保护红线的若干意见》的符合性见表</w:t>
      </w:r>
      <w:r>
        <w:rPr>
          <w:rFonts w:hint="eastAsia"/>
          <w:color w:val="000000" w:themeColor="text1"/>
          <w:highlight w:val="none"/>
          <w:lang w:val="en-US" w:eastAsia="zh-CN"/>
        </w:rPr>
        <w:t>1.5</w:t>
      </w:r>
      <w:r>
        <w:rPr>
          <w:rFonts w:hint="default"/>
          <w:color w:val="000000" w:themeColor="text1"/>
          <w:highlight w:val="none"/>
        </w:rPr>
        <w:t>-</w:t>
      </w:r>
      <w:r>
        <w:rPr>
          <w:rFonts w:hint="eastAsia"/>
          <w:color w:val="000000" w:themeColor="text1"/>
          <w:highlight w:val="none"/>
          <w:lang w:val="en-US" w:eastAsia="zh-CN"/>
        </w:rPr>
        <w:t>4</w:t>
      </w:r>
      <w:r>
        <w:rPr>
          <w:rFonts w:hint="default"/>
          <w:color w:val="000000" w:themeColor="text1"/>
          <w:highlight w:val="none"/>
        </w:rPr>
        <w:t>。</w:t>
      </w:r>
    </w:p>
    <w:p w14:paraId="1C388364">
      <w:pPr>
        <w:pageBreakBefore w:val="0"/>
        <w:wordWrap/>
        <w:topLinePunct w:val="0"/>
        <w:bidi w:val="0"/>
        <w:spacing w:line="360" w:lineRule="auto"/>
        <w:ind w:firstLine="0" w:firstLineChars="0"/>
        <w:jc w:val="center"/>
        <w:rPr>
          <w:rFonts w:hint="eastAsia"/>
          <w:b/>
          <w:color w:val="000000" w:themeColor="text1"/>
          <w:highlight w:val="none"/>
        </w:rPr>
      </w:pPr>
    </w:p>
    <w:p w14:paraId="4E31DE67">
      <w:pPr>
        <w:pageBreakBefore w:val="0"/>
        <w:wordWrap/>
        <w:topLinePunct w:val="0"/>
        <w:bidi w:val="0"/>
        <w:spacing w:line="360" w:lineRule="auto"/>
        <w:ind w:firstLine="0" w:firstLineChars="0"/>
        <w:jc w:val="center"/>
        <w:rPr>
          <w:b/>
          <w:color w:val="000000" w:themeColor="text1"/>
          <w:highlight w:val="none"/>
        </w:rPr>
      </w:pPr>
      <w:r>
        <w:rPr>
          <w:rFonts w:hint="eastAsia"/>
          <w:b/>
          <w:color w:val="000000" w:themeColor="text1"/>
          <w:highlight w:val="none"/>
        </w:rPr>
        <w:t>表</w:t>
      </w:r>
      <w:r>
        <w:rPr>
          <w:rFonts w:hint="eastAsia"/>
          <w:b/>
          <w:color w:val="000000" w:themeColor="text1"/>
          <w:highlight w:val="none"/>
          <w:lang w:val="en-US" w:eastAsia="zh-CN"/>
        </w:rPr>
        <w:t>1.5</w:t>
      </w:r>
      <w:r>
        <w:rPr>
          <w:rFonts w:hint="eastAsia"/>
          <w:b/>
          <w:color w:val="000000" w:themeColor="text1"/>
          <w:highlight w:val="none"/>
        </w:rPr>
        <w:t>-</w:t>
      </w:r>
      <w:r>
        <w:rPr>
          <w:rFonts w:hint="eastAsia"/>
          <w:b/>
          <w:color w:val="000000" w:themeColor="text1"/>
          <w:highlight w:val="none"/>
          <w:lang w:val="en-US" w:eastAsia="zh-CN"/>
        </w:rPr>
        <w:t>4</w:t>
      </w:r>
      <w:r>
        <w:rPr>
          <w:rFonts w:hint="eastAsia"/>
          <w:b/>
          <w:color w:val="000000" w:themeColor="text1"/>
          <w:highlight w:val="none"/>
        </w:rPr>
        <w:t xml:space="preserve"> </w:t>
      </w:r>
      <w:r>
        <w:rPr>
          <w:rFonts w:hint="eastAsia"/>
          <w:b/>
          <w:color w:val="000000" w:themeColor="text1"/>
          <w:highlight w:val="none"/>
          <w:lang w:val="en-US" w:eastAsia="zh-CN"/>
        </w:rPr>
        <w:t xml:space="preserve"> </w:t>
      </w:r>
      <w:r>
        <w:rPr>
          <w:rFonts w:hint="eastAsia"/>
          <w:b/>
          <w:color w:val="000000" w:themeColor="text1"/>
          <w:highlight w:val="none"/>
        </w:rPr>
        <w:t>与《关于划定并严守生态保护红线的若干意见》符合性分析</w:t>
      </w:r>
    </w:p>
    <w:tbl>
      <w:tblPr>
        <w:tblStyle w:val="3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2370"/>
        <w:gridCol w:w="919"/>
      </w:tblGrid>
      <w:tr w14:paraId="4EE37D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239" w:type="dxa"/>
            <w:vAlign w:val="center"/>
          </w:tcPr>
          <w:p w14:paraId="38F11264">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color w:val="000000" w:themeColor="text1"/>
                <w:kern w:val="0"/>
                <w:sz w:val="21"/>
                <w:szCs w:val="21"/>
                <w:highlight w:val="none"/>
              </w:rPr>
              <w:t>关于划定并严守生态保护红线的若干意见</w:t>
            </w:r>
          </w:p>
        </w:tc>
        <w:tc>
          <w:tcPr>
            <w:tcW w:w="2370" w:type="dxa"/>
            <w:vAlign w:val="center"/>
          </w:tcPr>
          <w:p w14:paraId="08E9006A">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本项目穿越红线情况</w:t>
            </w:r>
          </w:p>
        </w:tc>
        <w:tc>
          <w:tcPr>
            <w:tcW w:w="919" w:type="dxa"/>
            <w:vAlign w:val="center"/>
          </w:tcPr>
          <w:p w14:paraId="24BA6072">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符合性</w:t>
            </w:r>
          </w:p>
        </w:tc>
      </w:tr>
      <w:tr w14:paraId="210D2A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28" w:type="dxa"/>
            <w:gridSpan w:val="3"/>
            <w:vAlign w:val="center"/>
          </w:tcPr>
          <w:p w14:paraId="5E8A73C1">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三、严守生态保护红线</w:t>
            </w:r>
          </w:p>
        </w:tc>
      </w:tr>
      <w:tr w14:paraId="374B15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239" w:type="dxa"/>
            <w:vAlign w:val="center"/>
          </w:tcPr>
          <w:p w14:paraId="5329F47C">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九）实行严格管控。生态保护红线原则上按禁止开发区域的要求进行管理。严禁不符合主体功能定位的各类开发活动，严禁任意改变用途。生态保护红线划定后，只能增加、不能减少，因国家重大基础设施、重大民生保障项目建设等需要调整的，由省级政府组织论证，提出调整方案，经环境保护部、国家发展改革委会同有关部门提出审核意见后，报国务院批准。因国家重大战略资源勘查需要，在不影响主体功能定位的前提下，经依法批准后予以安排勘查项目。</w:t>
            </w:r>
          </w:p>
        </w:tc>
        <w:tc>
          <w:tcPr>
            <w:tcW w:w="2370" w:type="dxa"/>
            <w:vAlign w:val="center"/>
          </w:tcPr>
          <w:p w14:paraId="0CEA0F0E">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经套核“三区三线”数据库，本项目占地范围内及评价范围内均不占用生态保护红线区。</w:t>
            </w:r>
          </w:p>
          <w:p w14:paraId="24F3DA83">
            <w:pPr>
              <w:pageBreakBefore w:val="0"/>
              <w:widowControl/>
              <w:wordWrap/>
              <w:topLinePunct w:val="0"/>
              <w:bidi w:val="0"/>
              <w:spacing w:line="360" w:lineRule="auto"/>
              <w:ind w:firstLine="0" w:firstLineChars="0"/>
              <w:jc w:val="center"/>
              <w:rPr>
                <w:i/>
                <w:iCs/>
                <w:color w:val="000000" w:themeColor="text1"/>
                <w:kern w:val="0"/>
                <w:sz w:val="21"/>
                <w:szCs w:val="21"/>
                <w:highlight w:val="none"/>
              </w:rPr>
            </w:pPr>
          </w:p>
        </w:tc>
        <w:tc>
          <w:tcPr>
            <w:tcW w:w="919" w:type="dxa"/>
            <w:vAlign w:val="center"/>
          </w:tcPr>
          <w:p w14:paraId="762351C3">
            <w:pPr>
              <w:pageBreakBefore w:val="0"/>
              <w:widowControl/>
              <w:wordWrap/>
              <w:topLinePunct w:val="0"/>
              <w:bidi w:val="0"/>
              <w:spacing w:line="360" w:lineRule="auto"/>
              <w:ind w:firstLine="0" w:firstLineChars="0"/>
              <w:jc w:val="center"/>
              <w:rPr>
                <w:i/>
                <w:iCs/>
                <w:color w:val="000000" w:themeColor="text1"/>
                <w:kern w:val="0"/>
                <w:sz w:val="21"/>
                <w:szCs w:val="21"/>
                <w:highlight w:val="none"/>
              </w:rPr>
            </w:pPr>
            <w:r>
              <w:rPr>
                <w:rFonts w:hint="eastAsia"/>
                <w:color w:val="000000" w:themeColor="text1"/>
                <w:kern w:val="0"/>
                <w:sz w:val="21"/>
                <w:szCs w:val="21"/>
                <w:highlight w:val="none"/>
              </w:rPr>
              <w:t>符合</w:t>
            </w:r>
          </w:p>
        </w:tc>
      </w:tr>
    </w:tbl>
    <w:p w14:paraId="3C61E155">
      <w:pPr>
        <w:pageBreakBefore w:val="0"/>
        <w:wordWrap/>
        <w:topLinePunct w:val="0"/>
        <w:bidi w:val="0"/>
        <w:spacing w:line="360" w:lineRule="auto"/>
        <w:rPr>
          <w:color w:val="000000" w:themeColor="text1"/>
          <w:highlight w:val="none"/>
        </w:rPr>
      </w:pPr>
      <w:r>
        <w:rPr>
          <w:rFonts w:hint="eastAsia"/>
          <w:color w:val="000000" w:themeColor="text1"/>
          <w:highlight w:val="none"/>
        </w:rPr>
        <w:t>综上，本项目建设符合</w:t>
      </w:r>
      <w:r>
        <w:rPr>
          <w:rFonts w:hint="eastAsia" w:ascii="宋体" w:hAnsi="宋体" w:cs="宋体"/>
          <w:color w:val="000000" w:themeColor="text1"/>
          <w:kern w:val="0"/>
          <w:highlight w:val="none"/>
        </w:rPr>
        <w:t>《关于划定并严守生态保护红线的若干意见》要求。</w:t>
      </w:r>
    </w:p>
    <w:p w14:paraId="628FC2D6">
      <w:pPr>
        <w:bidi w:val="0"/>
        <w:spacing w:line="360" w:lineRule="auto"/>
        <w:rPr>
          <w:color w:val="000000" w:themeColor="text1"/>
          <w:highlight w:val="none"/>
        </w:rPr>
      </w:pPr>
      <w:r>
        <w:rPr>
          <w:rFonts w:hint="eastAsia"/>
          <w:color w:val="000000" w:themeColor="text1"/>
          <w:highlight w:val="none"/>
          <w:lang w:val="en-US" w:eastAsia="zh-CN"/>
        </w:rPr>
        <w:t>⑦</w:t>
      </w:r>
      <w:r>
        <w:rPr>
          <w:color w:val="000000" w:themeColor="text1"/>
          <w:highlight w:val="none"/>
        </w:rPr>
        <w:t>与《</w:t>
      </w:r>
      <w:r>
        <w:rPr>
          <w:rFonts w:hint="eastAsia"/>
          <w:color w:val="000000" w:themeColor="text1"/>
          <w:highlight w:val="none"/>
        </w:rPr>
        <w:t>关于在国土空间规划中统筹划定落实三条控制线的指导意见</w:t>
      </w:r>
      <w:r>
        <w:rPr>
          <w:color w:val="000000" w:themeColor="text1"/>
          <w:highlight w:val="none"/>
        </w:rPr>
        <w:t>》符合性</w:t>
      </w:r>
    </w:p>
    <w:p w14:paraId="4F120029">
      <w:pPr>
        <w:pageBreakBefore w:val="0"/>
        <w:widowControl/>
        <w:wordWrap/>
        <w:topLinePunct w:val="0"/>
        <w:bidi w:val="0"/>
        <w:spacing w:line="360" w:lineRule="auto"/>
        <w:jc w:val="left"/>
        <w:rPr>
          <w:color w:val="000000" w:themeColor="text1"/>
          <w:highlight w:val="none"/>
        </w:rPr>
      </w:pPr>
      <w:r>
        <w:rPr>
          <w:color w:val="000000" w:themeColor="text1"/>
          <w:kern w:val="0"/>
          <w:highlight w:val="none"/>
        </w:rPr>
        <w:t>2019</w:t>
      </w:r>
      <w:r>
        <w:rPr>
          <w:rFonts w:hint="eastAsia" w:ascii="宋体" w:hAnsi="宋体" w:cs="宋体"/>
          <w:color w:val="000000" w:themeColor="text1"/>
          <w:kern w:val="0"/>
          <w:highlight w:val="none"/>
        </w:rPr>
        <w:t>年</w:t>
      </w:r>
      <w:r>
        <w:rPr>
          <w:color w:val="000000" w:themeColor="text1"/>
          <w:kern w:val="0"/>
          <w:highlight w:val="none"/>
        </w:rPr>
        <w:t>11</w:t>
      </w:r>
      <w:r>
        <w:rPr>
          <w:rFonts w:hint="eastAsia" w:ascii="宋体" w:hAnsi="宋体" w:cs="宋体"/>
          <w:color w:val="000000" w:themeColor="text1"/>
          <w:kern w:val="0"/>
          <w:highlight w:val="none"/>
        </w:rPr>
        <w:t>月，中共中央办公厅、国务院办公厅联合印发了《关于在国土空间规划中统筹划定落实三条控制线的指导意见》（厅字</w:t>
      </w:r>
      <w:r>
        <w:rPr>
          <w:color w:val="000000" w:themeColor="text1"/>
          <w:kern w:val="0"/>
          <w:highlight w:val="none"/>
        </w:rPr>
        <w:t>[2019]48</w:t>
      </w:r>
      <w:r>
        <w:rPr>
          <w:rFonts w:hint="eastAsia" w:ascii="宋体" w:hAnsi="宋体" w:cs="宋体"/>
          <w:color w:val="000000" w:themeColor="text1"/>
          <w:kern w:val="0"/>
          <w:highlight w:val="none"/>
        </w:rPr>
        <w:t>号），为统筹划定落实生态保护红线、永久基本农田、城镇开发边界三条控制线提出了指导性意见，本项目与《关于在国土空间规划中统筹划定落实三条控制线的指导意见》（厅字</w:t>
      </w:r>
      <w:r>
        <w:rPr>
          <w:color w:val="000000" w:themeColor="text1"/>
          <w:kern w:val="0"/>
          <w:highlight w:val="none"/>
        </w:rPr>
        <w:t>[2019]48</w:t>
      </w:r>
      <w:r>
        <w:rPr>
          <w:rFonts w:hint="eastAsia" w:ascii="宋体" w:hAnsi="宋体" w:cs="宋体"/>
          <w:color w:val="000000" w:themeColor="text1"/>
          <w:kern w:val="0"/>
          <w:highlight w:val="none"/>
        </w:rPr>
        <w:t>号）的符合性见表</w:t>
      </w:r>
      <w:r>
        <w:rPr>
          <w:rFonts w:hint="eastAsia"/>
          <w:color w:val="000000" w:themeColor="text1"/>
          <w:kern w:val="0"/>
          <w:highlight w:val="none"/>
          <w:lang w:val="en-US" w:eastAsia="zh-CN"/>
        </w:rPr>
        <w:t>1.5</w:t>
      </w:r>
      <w:r>
        <w:rPr>
          <w:rFonts w:hint="eastAsia"/>
          <w:color w:val="000000" w:themeColor="text1"/>
          <w:kern w:val="0"/>
          <w:highlight w:val="none"/>
        </w:rPr>
        <w:t>-</w:t>
      </w:r>
      <w:r>
        <w:rPr>
          <w:rFonts w:hint="eastAsia"/>
          <w:color w:val="000000" w:themeColor="text1"/>
          <w:kern w:val="0"/>
          <w:highlight w:val="none"/>
          <w:lang w:val="en-US" w:eastAsia="zh-CN"/>
        </w:rPr>
        <w:t>5</w:t>
      </w:r>
      <w:r>
        <w:rPr>
          <w:rFonts w:hint="eastAsia"/>
          <w:color w:val="000000" w:themeColor="text1"/>
          <w:kern w:val="0"/>
          <w:highlight w:val="none"/>
        </w:rPr>
        <w:t>。</w:t>
      </w:r>
    </w:p>
    <w:p w14:paraId="6D21E394">
      <w:pPr>
        <w:pageBreakBefore w:val="0"/>
        <w:wordWrap/>
        <w:topLinePunct w:val="0"/>
        <w:bidi w:val="0"/>
        <w:spacing w:line="360" w:lineRule="auto"/>
        <w:ind w:firstLine="0" w:firstLineChars="0"/>
        <w:jc w:val="center"/>
        <w:rPr>
          <w:b/>
          <w:color w:val="000000" w:themeColor="text1"/>
          <w:highlight w:val="none"/>
        </w:rPr>
      </w:pPr>
      <w:r>
        <w:rPr>
          <w:rFonts w:hint="eastAsia"/>
          <w:b/>
          <w:color w:val="000000" w:themeColor="text1"/>
          <w:highlight w:val="none"/>
        </w:rPr>
        <w:t>表</w:t>
      </w:r>
      <w:r>
        <w:rPr>
          <w:rFonts w:hint="eastAsia"/>
          <w:b/>
          <w:color w:val="000000" w:themeColor="text1"/>
          <w:highlight w:val="none"/>
          <w:lang w:val="en-US" w:eastAsia="zh-CN"/>
        </w:rPr>
        <w:t>1.5</w:t>
      </w:r>
      <w:r>
        <w:rPr>
          <w:rFonts w:hint="eastAsia"/>
          <w:b/>
          <w:color w:val="000000" w:themeColor="text1"/>
          <w:highlight w:val="none"/>
        </w:rPr>
        <w:t>-</w:t>
      </w:r>
      <w:r>
        <w:rPr>
          <w:rFonts w:hint="eastAsia"/>
          <w:b/>
          <w:color w:val="000000" w:themeColor="text1"/>
          <w:highlight w:val="none"/>
          <w:lang w:val="en-US" w:eastAsia="zh-CN"/>
        </w:rPr>
        <w:t>5</w:t>
      </w:r>
      <w:r>
        <w:rPr>
          <w:rFonts w:hint="eastAsia"/>
          <w:b/>
          <w:color w:val="000000" w:themeColor="text1"/>
          <w:highlight w:val="none"/>
        </w:rPr>
        <w:t xml:space="preserve"> </w:t>
      </w:r>
      <w:r>
        <w:rPr>
          <w:rFonts w:hint="eastAsia"/>
          <w:b/>
          <w:color w:val="000000" w:themeColor="text1"/>
          <w:highlight w:val="none"/>
          <w:lang w:val="en-US" w:eastAsia="zh-CN"/>
        </w:rPr>
        <w:t xml:space="preserve"> </w:t>
      </w:r>
      <w:r>
        <w:rPr>
          <w:rFonts w:hint="eastAsia"/>
          <w:b/>
          <w:color w:val="000000" w:themeColor="text1"/>
          <w:highlight w:val="none"/>
        </w:rPr>
        <w:t>与厅字[2019]48号符合性分析</w:t>
      </w:r>
    </w:p>
    <w:tbl>
      <w:tblPr>
        <w:tblStyle w:val="3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479"/>
        <w:gridCol w:w="2175"/>
        <w:gridCol w:w="874"/>
      </w:tblGrid>
      <w:tr w14:paraId="28BE4E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79" w:type="dxa"/>
            <w:vAlign w:val="center"/>
          </w:tcPr>
          <w:p w14:paraId="7ED058CE">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厅字[2019]48号</w:t>
            </w:r>
          </w:p>
        </w:tc>
        <w:tc>
          <w:tcPr>
            <w:tcW w:w="2175" w:type="dxa"/>
            <w:vAlign w:val="center"/>
          </w:tcPr>
          <w:p w14:paraId="2358413C">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本项目穿越红线情况</w:t>
            </w:r>
          </w:p>
        </w:tc>
        <w:tc>
          <w:tcPr>
            <w:tcW w:w="874" w:type="dxa"/>
            <w:vAlign w:val="center"/>
          </w:tcPr>
          <w:p w14:paraId="5A43DFDD">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符合性</w:t>
            </w:r>
          </w:p>
        </w:tc>
      </w:tr>
      <w:tr w14:paraId="1EC056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28" w:type="dxa"/>
            <w:gridSpan w:val="3"/>
            <w:vAlign w:val="center"/>
          </w:tcPr>
          <w:p w14:paraId="2C7F4239">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二、科学有序划定</w:t>
            </w:r>
          </w:p>
        </w:tc>
      </w:tr>
      <w:tr w14:paraId="091183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79" w:type="dxa"/>
            <w:vAlign w:val="center"/>
          </w:tcPr>
          <w:p w14:paraId="56ADC1A3">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（四）按照生态功能划定生态保护红线。</w:t>
            </w:r>
          </w:p>
          <w:p w14:paraId="3E78EEB2">
            <w:pPr>
              <w:pageBreakBefore w:val="0"/>
              <w:widowControl/>
              <w:wordWrap/>
              <w:topLinePunct w:val="0"/>
              <w:bidi w:val="0"/>
              <w:spacing w:line="360" w:lineRule="auto"/>
              <w:ind w:firstLine="0" w:firstLineChars="0"/>
              <w:jc w:val="center"/>
              <w:rPr>
                <w:color w:val="000000" w:themeColor="text1"/>
                <w:highlight w:val="none"/>
              </w:rPr>
            </w:pPr>
            <w:r>
              <w:rPr>
                <w:rFonts w:hint="eastAsia"/>
                <w:color w:val="000000" w:themeColor="text1"/>
                <w:kern w:val="0"/>
                <w:sz w:val="21"/>
                <w:szCs w:val="21"/>
                <w:highlight w:val="none"/>
              </w:rPr>
              <w:t>生态保护红线内，自然保护地核心保护区原则上禁止人为活动，其他区域严格禁止开发性、生产性建设活动，在符合现行法律法规前提下，除国家重大战略项目外，仅允许对生态功能不造成破坏的有限人为活动，主要包括：零星的原住民在不扩大现有建设用地和耕地规模前提下，修缮生产生活设施，保留生活必需的少量种植、放牧、捕捞、养殖；因国家重大能源资源安全需要开展的战略性能源资源勘查，公益性自然资源调查和地质勘查；自然资源、生态环境监测和执法包括水文水资源监测及涉水违法事件的查处等，灾害防治和应急抢险活动；经依法批准进行的非破坏性科学研究观测、标本采集；经依法批准的考古调查发掘和文物保护活动；不破坏生态功能的适度参观旅游和相关的必要公共设施建设；必须且无法避让、符合县级以上国土空间规划的线性基础设施建设、防洪和供水设施建设与运行维护；重要生态修复工程。</w:t>
            </w:r>
          </w:p>
        </w:tc>
        <w:tc>
          <w:tcPr>
            <w:tcW w:w="2175" w:type="dxa"/>
            <w:vAlign w:val="center"/>
          </w:tcPr>
          <w:p w14:paraId="4D6CC54D">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经套核“三区三线”数据库，本项目占地范围内及评价范围内均不占用生态保护红线区和自然保护区</w:t>
            </w:r>
            <w:r>
              <w:rPr>
                <w:rFonts w:hint="eastAsia"/>
                <w:color w:val="000000" w:themeColor="text1"/>
                <w:kern w:val="0"/>
                <w:sz w:val="21"/>
                <w:szCs w:val="21"/>
                <w:highlight w:val="none"/>
              </w:rPr>
              <w:t>。</w:t>
            </w:r>
          </w:p>
        </w:tc>
        <w:tc>
          <w:tcPr>
            <w:tcW w:w="874" w:type="dxa"/>
            <w:vAlign w:val="center"/>
          </w:tcPr>
          <w:p w14:paraId="3DABB47E">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符合</w:t>
            </w:r>
          </w:p>
        </w:tc>
      </w:tr>
    </w:tbl>
    <w:p w14:paraId="34E849CB">
      <w:pPr>
        <w:pageBreakBefore w:val="0"/>
        <w:widowControl/>
        <w:wordWrap/>
        <w:topLinePunct w:val="0"/>
        <w:bidi w:val="0"/>
        <w:spacing w:line="360" w:lineRule="auto"/>
        <w:jc w:val="left"/>
        <w:rPr>
          <w:rFonts w:hint="eastAsia" w:ascii="宋体" w:hAnsi="宋体" w:cs="宋体"/>
          <w:color w:val="000000" w:themeColor="text1"/>
          <w:kern w:val="0"/>
          <w:highlight w:val="none"/>
        </w:rPr>
      </w:pPr>
      <w:r>
        <w:rPr>
          <w:rFonts w:hint="eastAsia" w:ascii="宋体" w:hAnsi="宋体" w:cs="宋体"/>
          <w:color w:val="000000" w:themeColor="text1"/>
          <w:kern w:val="0"/>
          <w:highlight w:val="none"/>
        </w:rPr>
        <w:t>本项目建设符合《关于在国土空间规划中统筹划定落实三条控制线的指导意见》（厅字</w:t>
      </w:r>
      <w:r>
        <w:rPr>
          <w:color w:val="000000" w:themeColor="text1"/>
          <w:kern w:val="0"/>
          <w:highlight w:val="none"/>
        </w:rPr>
        <w:t>[2019]48</w:t>
      </w:r>
      <w:r>
        <w:rPr>
          <w:rFonts w:hint="eastAsia" w:ascii="宋体" w:hAnsi="宋体" w:cs="宋体"/>
          <w:color w:val="000000" w:themeColor="text1"/>
          <w:kern w:val="0"/>
          <w:highlight w:val="none"/>
        </w:rPr>
        <w:t>号）要求。</w:t>
      </w:r>
    </w:p>
    <w:p w14:paraId="19116C8D">
      <w:pPr>
        <w:bidi w:val="0"/>
        <w:spacing w:line="360" w:lineRule="auto"/>
        <w:rPr>
          <w:color w:val="000000" w:themeColor="text1"/>
          <w:highlight w:val="none"/>
        </w:rPr>
      </w:pPr>
      <w:r>
        <w:rPr>
          <w:rFonts w:hint="eastAsia"/>
          <w:color w:val="000000" w:themeColor="text1"/>
          <w:highlight w:val="none"/>
          <w:lang w:val="en-US" w:eastAsia="zh-CN"/>
        </w:rPr>
        <w:t>⑧</w:t>
      </w:r>
      <w:r>
        <w:rPr>
          <w:color w:val="000000" w:themeColor="text1"/>
          <w:highlight w:val="none"/>
        </w:rPr>
        <w:t>与</w:t>
      </w:r>
      <w:r>
        <w:rPr>
          <w:rFonts w:hint="eastAsia"/>
          <w:color w:val="000000" w:themeColor="text1"/>
          <w:highlight w:val="none"/>
          <w:lang w:val="en-US" w:eastAsia="zh-CN"/>
        </w:rPr>
        <w:t>《关于加强生态保护红线管理的通知（试行）》</w:t>
      </w:r>
      <w:r>
        <w:rPr>
          <w:color w:val="000000" w:themeColor="text1"/>
          <w:highlight w:val="none"/>
        </w:rPr>
        <w:t>符合性</w:t>
      </w:r>
    </w:p>
    <w:p w14:paraId="062E1736">
      <w:pPr>
        <w:bidi w:val="0"/>
        <w:spacing w:line="360" w:lineRule="auto"/>
        <w:rPr>
          <w:rFonts w:hint="eastAsia"/>
          <w:color w:val="000000" w:themeColor="text1"/>
          <w:highlight w:val="none"/>
        </w:rPr>
      </w:pPr>
      <w:r>
        <w:rPr>
          <w:rFonts w:hint="eastAsia"/>
          <w:color w:val="000000" w:themeColor="text1"/>
          <w:highlight w:val="none"/>
          <w:lang w:val="en-US" w:eastAsia="zh-CN"/>
        </w:rPr>
        <w:t>为加强生态保护红线管理，严守自然生态安全边界，2022年8月16日，自然资源部、生态环境部、国家林业和草原局联合印发《关于加强生态保护红线管理的通知（试行）》，</w:t>
      </w:r>
      <w:r>
        <w:rPr>
          <w:rFonts w:hint="eastAsia"/>
          <w:color w:val="000000" w:themeColor="text1"/>
          <w:highlight w:val="none"/>
        </w:rPr>
        <w:t>本项目与</w:t>
      </w:r>
      <w:r>
        <w:rPr>
          <w:rFonts w:hint="eastAsia"/>
          <w:color w:val="000000" w:themeColor="text1"/>
          <w:highlight w:val="none"/>
          <w:lang w:val="en-US" w:eastAsia="zh-CN"/>
        </w:rPr>
        <w:t>关于加强生态保护红线管理的通知（试行）》</w:t>
      </w:r>
      <w:r>
        <w:rPr>
          <w:rFonts w:hint="eastAsia"/>
          <w:color w:val="000000" w:themeColor="text1"/>
          <w:highlight w:val="none"/>
        </w:rPr>
        <w:t>的符合性见表</w:t>
      </w:r>
      <w:r>
        <w:rPr>
          <w:rFonts w:hint="eastAsia"/>
          <w:color w:val="000000" w:themeColor="text1"/>
          <w:highlight w:val="none"/>
          <w:lang w:val="en-US" w:eastAsia="zh-CN"/>
        </w:rPr>
        <w:t>1.5</w:t>
      </w:r>
      <w:r>
        <w:rPr>
          <w:rFonts w:hint="eastAsia"/>
          <w:color w:val="000000" w:themeColor="text1"/>
          <w:highlight w:val="none"/>
        </w:rPr>
        <w:t>-</w:t>
      </w:r>
      <w:r>
        <w:rPr>
          <w:rFonts w:hint="eastAsia"/>
          <w:color w:val="000000" w:themeColor="text1"/>
          <w:highlight w:val="none"/>
          <w:lang w:val="en-US" w:eastAsia="zh-CN"/>
        </w:rPr>
        <w:t>6</w:t>
      </w:r>
      <w:r>
        <w:rPr>
          <w:rFonts w:hint="eastAsia"/>
          <w:color w:val="000000" w:themeColor="text1"/>
          <w:highlight w:val="none"/>
        </w:rPr>
        <w:t>。</w:t>
      </w:r>
    </w:p>
    <w:p w14:paraId="374395AC">
      <w:pPr>
        <w:pageBreakBefore w:val="0"/>
        <w:wordWrap/>
        <w:topLinePunct w:val="0"/>
        <w:bidi w:val="0"/>
        <w:spacing w:line="360" w:lineRule="auto"/>
        <w:ind w:firstLine="0" w:firstLineChars="0"/>
        <w:jc w:val="center"/>
        <w:rPr>
          <w:b/>
          <w:color w:val="000000" w:themeColor="text1"/>
          <w:highlight w:val="none"/>
        </w:rPr>
      </w:pPr>
      <w:r>
        <w:rPr>
          <w:rFonts w:hint="eastAsia"/>
          <w:b/>
          <w:color w:val="000000" w:themeColor="text1"/>
          <w:highlight w:val="none"/>
        </w:rPr>
        <w:t>表</w:t>
      </w:r>
      <w:r>
        <w:rPr>
          <w:rFonts w:hint="eastAsia"/>
          <w:b/>
          <w:color w:val="000000" w:themeColor="text1"/>
          <w:highlight w:val="none"/>
          <w:lang w:val="en-US" w:eastAsia="zh-CN"/>
        </w:rPr>
        <w:t>1.5</w:t>
      </w:r>
      <w:r>
        <w:rPr>
          <w:rFonts w:hint="eastAsia"/>
          <w:b/>
          <w:color w:val="000000" w:themeColor="text1"/>
          <w:highlight w:val="none"/>
        </w:rPr>
        <w:t>-</w:t>
      </w:r>
      <w:r>
        <w:rPr>
          <w:rFonts w:hint="eastAsia"/>
          <w:b/>
          <w:color w:val="000000" w:themeColor="text1"/>
          <w:highlight w:val="none"/>
          <w:lang w:val="en-US" w:eastAsia="zh-CN"/>
        </w:rPr>
        <w:t>6</w:t>
      </w:r>
      <w:r>
        <w:rPr>
          <w:rFonts w:hint="eastAsia"/>
          <w:b/>
          <w:color w:val="000000" w:themeColor="text1"/>
          <w:highlight w:val="none"/>
        </w:rPr>
        <w:t xml:space="preserve"> </w:t>
      </w:r>
      <w:r>
        <w:rPr>
          <w:rFonts w:hint="eastAsia"/>
          <w:b/>
          <w:color w:val="000000" w:themeColor="text1"/>
          <w:highlight w:val="none"/>
          <w:lang w:val="en-US" w:eastAsia="zh-CN"/>
        </w:rPr>
        <w:t xml:space="preserve"> </w:t>
      </w:r>
      <w:r>
        <w:rPr>
          <w:rFonts w:hint="eastAsia"/>
          <w:b/>
          <w:color w:val="000000" w:themeColor="text1"/>
          <w:highlight w:val="none"/>
        </w:rPr>
        <w:t>与</w:t>
      </w:r>
      <w:r>
        <w:rPr>
          <w:rFonts w:hint="eastAsia"/>
          <w:b/>
          <w:color w:val="000000" w:themeColor="text1"/>
          <w:highlight w:val="none"/>
          <w:lang w:val="en-US" w:eastAsia="zh-CN"/>
        </w:rPr>
        <w:t>《关于加强生态保护红线管理的通知（试行）》</w:t>
      </w:r>
      <w:r>
        <w:rPr>
          <w:rFonts w:hint="eastAsia"/>
          <w:b/>
          <w:color w:val="000000" w:themeColor="text1"/>
          <w:highlight w:val="none"/>
        </w:rPr>
        <w:t>符合性分析</w:t>
      </w:r>
    </w:p>
    <w:tbl>
      <w:tblPr>
        <w:tblStyle w:val="3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404"/>
        <w:gridCol w:w="2250"/>
        <w:gridCol w:w="874"/>
      </w:tblGrid>
      <w:tr w14:paraId="00F72C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04" w:type="dxa"/>
            <w:vAlign w:val="center"/>
          </w:tcPr>
          <w:p w14:paraId="7BF8C325">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关于加强生态保护红线管理的通知（试行）</w:t>
            </w:r>
          </w:p>
        </w:tc>
        <w:tc>
          <w:tcPr>
            <w:tcW w:w="2250" w:type="dxa"/>
            <w:vAlign w:val="center"/>
          </w:tcPr>
          <w:p w14:paraId="602E5EC0">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本项目穿越红线情况</w:t>
            </w:r>
          </w:p>
        </w:tc>
        <w:tc>
          <w:tcPr>
            <w:tcW w:w="874" w:type="dxa"/>
            <w:vAlign w:val="center"/>
          </w:tcPr>
          <w:p w14:paraId="358FF125">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符合性</w:t>
            </w:r>
          </w:p>
        </w:tc>
      </w:tr>
      <w:tr w14:paraId="0994E3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28" w:type="dxa"/>
            <w:gridSpan w:val="3"/>
            <w:vAlign w:val="center"/>
          </w:tcPr>
          <w:p w14:paraId="7E151E99">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一、加强人为活动管控</w:t>
            </w:r>
          </w:p>
        </w:tc>
      </w:tr>
      <w:tr w14:paraId="3E810C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404" w:type="dxa"/>
            <w:vAlign w:val="center"/>
          </w:tcPr>
          <w:p w14:paraId="1F1CE1BD">
            <w:pPr>
              <w:pageBreakBefore w:val="0"/>
              <w:widowControl/>
              <w:wordWrap/>
              <w:topLinePunct w:val="0"/>
              <w:bidi w:val="0"/>
              <w:spacing w:line="360" w:lineRule="auto"/>
              <w:ind w:firstLine="0" w:firstLineChars="0"/>
              <w:jc w:val="center"/>
              <w:rPr>
                <w:color w:val="000000" w:themeColor="text1"/>
                <w:highlight w:val="none"/>
              </w:rPr>
            </w:pPr>
            <w:r>
              <w:rPr>
                <w:rFonts w:hint="eastAsia"/>
                <w:color w:val="000000" w:themeColor="text1"/>
                <w:kern w:val="0"/>
                <w:sz w:val="21"/>
                <w:szCs w:val="21"/>
                <w:highlight w:val="none"/>
                <w:lang w:val="en-US" w:eastAsia="zh-CN"/>
              </w:rPr>
              <w:t>（一）规范管控对生态功能不造成破坏的有限人为活动。生态保护红线是国土空间规划中的重要管控边界，生态保护红线内自然保护地核心保护区外，禁止开发性、生产性建设活动，在符合法律法规的前提下，仅允许以下对生态功能不造成破坏的有限人为活动。6.必须且无法避让、符合县级以上国土空间规划的线性基础设施、通讯和防洪、供水设施建设和船舶航行、航道疏浚清淤等活动；已有的合法水利、交通运输等设施运行维护改造。</w:t>
            </w:r>
          </w:p>
        </w:tc>
        <w:tc>
          <w:tcPr>
            <w:tcW w:w="2250" w:type="dxa"/>
            <w:vAlign w:val="center"/>
          </w:tcPr>
          <w:p w14:paraId="43A8566F">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经套核“三区三线”数据库，本项目占地范围内及评价范围内均不占用生态保护红线区和自然保护区</w:t>
            </w:r>
            <w:r>
              <w:rPr>
                <w:rFonts w:hint="eastAsia"/>
                <w:color w:val="000000" w:themeColor="text1"/>
                <w:kern w:val="0"/>
                <w:sz w:val="21"/>
                <w:szCs w:val="21"/>
                <w:highlight w:val="none"/>
              </w:rPr>
              <w:t>。</w:t>
            </w:r>
          </w:p>
        </w:tc>
        <w:tc>
          <w:tcPr>
            <w:tcW w:w="874" w:type="dxa"/>
            <w:vAlign w:val="center"/>
          </w:tcPr>
          <w:p w14:paraId="29683014">
            <w:pPr>
              <w:pageBreakBefore w:val="0"/>
              <w:widowControl/>
              <w:wordWrap/>
              <w:topLinePunct w:val="0"/>
              <w:bidi w:val="0"/>
              <w:spacing w:line="36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符合</w:t>
            </w:r>
          </w:p>
        </w:tc>
      </w:tr>
    </w:tbl>
    <w:p w14:paraId="10899902">
      <w:pPr>
        <w:bidi w:val="0"/>
        <w:spacing w:line="360" w:lineRule="auto"/>
        <w:rPr>
          <w:color w:val="000000" w:themeColor="text1"/>
          <w:highlight w:val="none"/>
        </w:rPr>
      </w:pPr>
      <w:r>
        <w:rPr>
          <w:rFonts w:hint="eastAsia"/>
          <w:color w:val="000000" w:themeColor="text1"/>
          <w:highlight w:val="none"/>
        </w:rPr>
        <w:t>本项目建设符合《关于在国土空间规划中统筹划定落实三条控制线的指导意见》（厅字</w:t>
      </w:r>
      <w:r>
        <w:rPr>
          <w:color w:val="000000" w:themeColor="text1"/>
          <w:highlight w:val="none"/>
        </w:rPr>
        <w:t>[2019]48</w:t>
      </w:r>
      <w:r>
        <w:rPr>
          <w:rFonts w:hint="eastAsia"/>
          <w:color w:val="000000" w:themeColor="text1"/>
          <w:highlight w:val="none"/>
        </w:rPr>
        <w:t>号）要求。</w:t>
      </w:r>
    </w:p>
    <w:p w14:paraId="21DB7F3D">
      <w:pPr>
        <w:bidi w:val="0"/>
        <w:spacing w:line="360" w:lineRule="auto"/>
        <w:rPr>
          <w:color w:val="000000" w:themeColor="text1"/>
          <w:highlight w:val="none"/>
        </w:rPr>
      </w:pPr>
      <w:r>
        <w:rPr>
          <w:rFonts w:hint="eastAsia"/>
          <w:color w:val="000000" w:themeColor="text1"/>
          <w:highlight w:val="none"/>
          <w:lang w:val="en-US" w:eastAsia="zh-CN"/>
        </w:rPr>
        <w:t>⑨</w:t>
      </w:r>
      <w:r>
        <w:rPr>
          <w:rFonts w:hint="eastAsia"/>
          <w:color w:val="000000" w:themeColor="text1"/>
          <w:highlight w:val="none"/>
        </w:rPr>
        <w:t>与《自然资源部农业部关于加强和改进永久基本农田保护工作的通知》，（自然资规〔</w:t>
      </w:r>
      <w:r>
        <w:rPr>
          <w:color w:val="000000" w:themeColor="text1"/>
          <w:highlight w:val="none"/>
        </w:rPr>
        <w:t>2019</w:t>
      </w:r>
      <w:r>
        <w:rPr>
          <w:rFonts w:hint="eastAsia"/>
          <w:color w:val="000000" w:themeColor="text1"/>
          <w:highlight w:val="none"/>
        </w:rPr>
        <w:t>〕</w:t>
      </w:r>
      <w:r>
        <w:rPr>
          <w:color w:val="000000" w:themeColor="text1"/>
          <w:highlight w:val="none"/>
        </w:rPr>
        <w:t>1</w:t>
      </w:r>
      <w:r>
        <w:rPr>
          <w:rFonts w:hint="eastAsia"/>
          <w:color w:val="000000" w:themeColor="text1"/>
          <w:highlight w:val="none"/>
        </w:rPr>
        <w:t>号）相符性；</w:t>
      </w:r>
    </w:p>
    <w:p w14:paraId="24468509">
      <w:pPr>
        <w:bidi w:val="0"/>
        <w:spacing w:line="360" w:lineRule="auto"/>
        <w:rPr>
          <w:color w:val="000000" w:themeColor="text1"/>
          <w:highlight w:val="none"/>
        </w:rPr>
      </w:pPr>
      <w:r>
        <w:rPr>
          <w:rFonts w:hint="eastAsia"/>
          <w:color w:val="000000" w:themeColor="text1"/>
          <w:highlight w:val="none"/>
        </w:rPr>
        <w:t>《自然资源部农业部关于加强和改进永久基本农田保护工作的通知》，（自然资规〔</w:t>
      </w:r>
      <w:r>
        <w:rPr>
          <w:color w:val="000000" w:themeColor="text1"/>
          <w:highlight w:val="none"/>
        </w:rPr>
        <w:t>2019</w:t>
      </w:r>
      <w:r>
        <w:rPr>
          <w:rFonts w:hint="eastAsia"/>
          <w:color w:val="000000" w:themeColor="text1"/>
          <w:highlight w:val="none"/>
        </w:rPr>
        <w:t>〕</w:t>
      </w:r>
      <w:r>
        <w:rPr>
          <w:color w:val="000000" w:themeColor="text1"/>
          <w:highlight w:val="none"/>
        </w:rPr>
        <w:t>1</w:t>
      </w:r>
      <w:r>
        <w:rPr>
          <w:rFonts w:hint="eastAsia"/>
          <w:color w:val="000000" w:themeColor="text1"/>
          <w:highlight w:val="none"/>
        </w:rPr>
        <w:t>号）文件中关</w:t>
      </w:r>
      <w:r>
        <w:rPr>
          <w:rFonts w:hint="eastAsia"/>
          <w:color w:val="000000" w:themeColor="text1"/>
          <w:highlight w:val="none"/>
          <w:lang w:val="en-US" w:eastAsia="zh-CN"/>
        </w:rPr>
        <w:t>于</w:t>
      </w:r>
      <w:r>
        <w:rPr>
          <w:rFonts w:hint="eastAsia"/>
          <w:color w:val="000000" w:themeColor="text1"/>
          <w:highlight w:val="none"/>
        </w:rPr>
        <w:t>严控建设占用永久基本农田的要求如下：</w:t>
      </w:r>
    </w:p>
    <w:p w14:paraId="40A6F994">
      <w:pPr>
        <w:bidi w:val="0"/>
        <w:spacing w:line="360" w:lineRule="auto"/>
        <w:rPr>
          <w:color w:val="000000" w:themeColor="text1"/>
          <w:highlight w:val="none"/>
        </w:rPr>
      </w:pPr>
      <w:r>
        <w:rPr>
          <w:rFonts w:hint="eastAsia"/>
          <w:color w:val="000000" w:themeColor="text1"/>
          <w:highlight w:val="none"/>
        </w:rPr>
        <w:t>严格占用和补划审查论证。一般建设项目不得占用永久基本农田；重大建设项目选址确实难以避让永久基本农田的，在可行性研究阶段，省级自然资源主管部门负责组织对占用的必要性、合理性和补划方案的可行性进行严格论证，报自然资源部用地预审；农用地转用和土地征收依法报批。深度贫困地区、集中连片特困地区、国家扶贫开发工作重点县省级以下基础设施、易地扶贫搬迁、民生发展等建设项目，确实难以避让永久基本农田的，可以纳入重大建设项目范围，由省级自然资源主管部门办理用地预审，并按照规定办理农用地转用和土地征收。严禁通过擅自调整县乡土地利用总体规划，规避占用永久基本农田的审批。</w:t>
      </w:r>
    </w:p>
    <w:p w14:paraId="0DA56CEF">
      <w:pPr>
        <w:bidi w:val="0"/>
        <w:spacing w:line="360" w:lineRule="auto"/>
        <w:rPr>
          <w:color w:val="000000" w:themeColor="text1"/>
          <w:highlight w:val="none"/>
        </w:rPr>
      </w:pPr>
      <w:r>
        <w:rPr>
          <w:rFonts w:hint="eastAsia"/>
          <w:color w:val="000000" w:themeColor="text1"/>
          <w:highlight w:val="none"/>
        </w:rPr>
        <w:t>重大建设项目占用永久基本农田的，按照</w:t>
      </w:r>
      <w:r>
        <w:rPr>
          <w:rFonts w:hint="eastAsia"/>
          <w:color w:val="000000" w:themeColor="text1"/>
          <w:highlight w:val="none"/>
          <w:lang w:eastAsia="zh-CN"/>
        </w:rPr>
        <w:t>“</w:t>
      </w:r>
      <w:r>
        <w:rPr>
          <w:rFonts w:hint="eastAsia"/>
          <w:color w:val="000000" w:themeColor="text1"/>
          <w:highlight w:val="none"/>
        </w:rPr>
        <w:t>数量不减、质量不降、布局稳定</w:t>
      </w:r>
      <w:r>
        <w:rPr>
          <w:rFonts w:hint="eastAsia"/>
          <w:color w:val="000000" w:themeColor="text1"/>
          <w:highlight w:val="none"/>
          <w:lang w:eastAsia="zh-CN"/>
        </w:rPr>
        <w:t>”</w:t>
      </w:r>
      <w:r>
        <w:rPr>
          <w:rFonts w:hint="eastAsia"/>
          <w:color w:val="000000" w:themeColor="text1"/>
          <w:highlight w:val="none"/>
        </w:rPr>
        <w:t>的要求进行补划，并按照法定程序修改相应的土地利用总体规划。补划的永久基本农田必须是坡度小于25度的耕地，原则上与现有永久基本农田集中连片。占用城市周边永久基本农田的，原则上在城市周边范围内补划，经实地踏勘论证确实难以在城市周边补划的，按照空间由近及远、质量由高到低的要求进行补划。重大建设项目用地预审和审查中要严格把关，切实落实最严格的节约集约用地制度，尽量不占或少占永久基本农田；重大建设项目在用地预审时不占永久基本农田、用地审批时占用的，按有关要求报自然资源部用地预审。线性重大建设项目占用永久基本农田用地预审通过后，选址发生局部调整、占用永久基本农田规模和区位发生变化的，由省级自然资源主管部门论证审核后完善补划方案，在用地审查报批时详细说明调整和补划情况。非线性重大建设项目占用永久基本农田用地预审通过后，所占规模和区位原则上不予调整。</w:t>
      </w:r>
    </w:p>
    <w:p w14:paraId="359DBE74">
      <w:pPr>
        <w:bidi w:val="0"/>
        <w:spacing w:line="360" w:lineRule="auto"/>
        <w:rPr>
          <w:color w:val="000000" w:themeColor="text1"/>
          <w:highlight w:val="none"/>
        </w:rPr>
      </w:pPr>
      <w:r>
        <w:rPr>
          <w:rFonts w:hint="eastAsia"/>
          <w:color w:val="000000" w:themeColor="text1"/>
          <w:highlight w:val="none"/>
        </w:rPr>
        <w:t>临时用地一般不得占用永久基本农田，建设项目施工和地质勘查需要临时用地、选址确实难以避让永久基本农田的，在不修建永久性建（构）筑物、经复垦能恢复原种植条件的前提下，土地使用者按法定程序申请临时用地并编制土地复垦方案，经县级自然资源主管部门批准可临时占用，并在市级自然资源主管部门备案，一般不超过两年，同时，通过耕地耕作层土壤剥离再利用等工程技术措施，减少对耕作层的破坏。临时用地到期后土地使用者应及时复垦恢复原种植条件，县级自然资源主管部门会同农业农村等相关主管部门开展土地复垦验收，验收合格的，继续按照永久基本农田保护和管理；验收不合格的，责令土地使用者进行整改，经整改仍不合格的，按照《土地复垦条例》规定由县级自然资源主管部门使用缴纳的土地复垦费代为组织复垦，并由县级自然资源主管部门会同农业农村等相关主管部门开展土地复垦验收。县级自然资源主管部门要切实履行职责，对在临时用地上修建永久性建（构）筑物或其他造成无法恢复原种植条件的行为依法进行处理；市级自然资源主管部门负责临时用地使用情况的监督管理，通过日常检查、年度卫片执法检查等，及时发现并纠正临时用地中存在的问题。</w:t>
      </w:r>
    </w:p>
    <w:p w14:paraId="7E05E44B">
      <w:pPr>
        <w:bidi w:val="0"/>
        <w:spacing w:line="360" w:lineRule="auto"/>
        <w:rPr>
          <w:rFonts w:hint="eastAsia"/>
          <w:color w:val="000000" w:themeColor="text1"/>
          <w:highlight w:val="none"/>
          <w:vertAlign w:val="baseline"/>
          <w:lang w:val="en-US" w:eastAsia="zh-CN"/>
        </w:rPr>
      </w:pPr>
      <w:r>
        <w:rPr>
          <w:rFonts w:hint="eastAsia"/>
          <w:color w:val="000000" w:themeColor="text1"/>
          <w:highlight w:val="none"/>
          <w:lang w:val="en-US" w:eastAsia="zh-CN"/>
        </w:rPr>
        <w:t>根据</w:t>
      </w:r>
      <w:r>
        <w:rPr>
          <w:rFonts w:hint="eastAsia"/>
          <w:color w:val="000000" w:themeColor="text1"/>
          <w:highlight w:val="none"/>
        </w:rPr>
        <w:t>《自然资源部办公厅关于新建黑龙江鹤岗机场项目建设用地预审意见的函</w:t>
      </w:r>
      <w:r>
        <w:rPr>
          <w:rFonts w:hint="eastAsia"/>
          <w:color w:val="000000" w:themeColor="text1"/>
          <w:highlight w:val="none"/>
          <w:lang w:eastAsia="zh-CN"/>
        </w:rPr>
        <w:t>》</w:t>
      </w:r>
      <w:r>
        <w:rPr>
          <w:rFonts w:hint="eastAsia"/>
          <w:color w:val="000000" w:themeColor="text1"/>
          <w:highlight w:val="none"/>
        </w:rPr>
        <w:t>（自然资办函〔202</w:t>
      </w:r>
      <w:r>
        <w:rPr>
          <w:rFonts w:hint="eastAsia"/>
          <w:color w:val="000000" w:themeColor="text1"/>
          <w:highlight w:val="none"/>
          <w:lang w:val="en-US" w:eastAsia="zh-CN"/>
        </w:rPr>
        <w:t>3</w:t>
      </w:r>
      <w:r>
        <w:rPr>
          <w:rFonts w:hint="eastAsia"/>
          <w:color w:val="000000" w:themeColor="text1"/>
          <w:highlight w:val="none"/>
        </w:rPr>
        <w:t>〕1655号）</w:t>
      </w:r>
      <w:r>
        <w:rPr>
          <w:rFonts w:hint="eastAsia"/>
          <w:color w:val="000000" w:themeColor="text1"/>
          <w:highlight w:val="none"/>
          <w:lang w:val="en-US" w:eastAsia="zh-CN"/>
        </w:rPr>
        <w:t>及机场环评</w:t>
      </w:r>
      <w:r>
        <w:rPr>
          <w:rFonts w:hint="eastAsia"/>
          <w:color w:val="000000" w:themeColor="text1"/>
          <w:highlight w:val="none"/>
          <w:lang w:eastAsia="zh-CN"/>
        </w:rPr>
        <w:t>，</w:t>
      </w:r>
      <w:r>
        <w:rPr>
          <w:rFonts w:hint="eastAsia"/>
          <w:color w:val="000000" w:themeColor="text1"/>
          <w:highlight w:val="none"/>
          <w:lang w:val="en-US" w:eastAsia="zh-CN"/>
        </w:rPr>
        <w:t>新建黑龙江鹤岗机场项目共占用永久基本农田31.64公顷，其中进场道路占用永久基本农田9.9014公顷</w:t>
      </w:r>
      <w:r>
        <w:rPr>
          <w:rFonts w:hint="eastAsia"/>
          <w:color w:val="000000" w:themeColor="text1"/>
          <w:highlight w:val="none"/>
          <w:lang w:eastAsia="zh-CN"/>
        </w:rPr>
        <w:t>。</w:t>
      </w:r>
      <w:r>
        <w:rPr>
          <w:rFonts w:hint="eastAsia"/>
          <w:color w:val="000000" w:themeColor="text1"/>
          <w:highlight w:val="none"/>
          <w:lang w:val="en-US" w:eastAsia="zh-CN"/>
        </w:rPr>
        <w:t>在项目施工图设计过程中，根据实际情况，核算出用地面积约为191083m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其中永久基本农田120213m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），项目新增永久基本农田21199m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，征占手续正在办理中。</w:t>
      </w:r>
    </w:p>
    <w:p w14:paraId="3C4B5C00">
      <w:pPr>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本项目</w:t>
      </w:r>
      <w:r>
        <w:rPr>
          <w:rFonts w:hint="eastAsia"/>
          <w:color w:val="000000" w:themeColor="text1"/>
          <w:highlight w:val="none"/>
        </w:rPr>
        <w:t>临时用地确实难以避让永久基本农田，</w:t>
      </w:r>
      <w:r>
        <w:rPr>
          <w:rFonts w:hint="eastAsia"/>
          <w:color w:val="000000" w:themeColor="text1"/>
          <w:highlight w:val="none"/>
          <w:lang w:val="en-US" w:eastAsia="zh-CN"/>
        </w:rPr>
        <w:t>本项目在建设过程中临时占地内</w:t>
      </w:r>
      <w:r>
        <w:rPr>
          <w:rFonts w:hint="eastAsia"/>
          <w:color w:val="000000" w:themeColor="text1"/>
          <w:highlight w:val="none"/>
        </w:rPr>
        <w:t>不修建永久性建（构）筑物、经复垦能恢复原种植</w:t>
      </w:r>
      <w:r>
        <w:rPr>
          <w:rFonts w:hint="eastAsia"/>
          <w:color w:val="000000" w:themeColor="text1"/>
          <w:highlight w:val="none"/>
          <w:lang w:eastAsia="zh-CN"/>
        </w:rPr>
        <w:t>。</w:t>
      </w:r>
      <w:r>
        <w:rPr>
          <w:rFonts w:hint="eastAsia"/>
          <w:color w:val="000000" w:themeColor="text1"/>
          <w:highlight w:val="none"/>
          <w:lang w:val="en-US" w:eastAsia="zh-CN"/>
        </w:rPr>
        <w:t>本项目建设单位</w:t>
      </w:r>
      <w:r>
        <w:rPr>
          <w:rFonts w:hint="eastAsia"/>
          <w:color w:val="000000" w:themeColor="text1"/>
          <w:highlight w:val="none"/>
        </w:rPr>
        <w:t>按法定程序申请临时用地并编制土地复垦方案，经县级自然资源主管部门批准可临时占用，并在市级自然资源主管部门备案，同时，通过耕地耕作层土壤剥离再利用等工程技术措施，减少对耕作层的破坏。临时用地到期后</w:t>
      </w:r>
      <w:r>
        <w:rPr>
          <w:rFonts w:hint="eastAsia"/>
          <w:color w:val="000000" w:themeColor="text1"/>
          <w:highlight w:val="none"/>
          <w:lang w:val="en-US" w:eastAsia="zh-CN"/>
        </w:rPr>
        <w:t>建设单位</w:t>
      </w:r>
      <w:r>
        <w:rPr>
          <w:rFonts w:hint="eastAsia"/>
          <w:color w:val="000000" w:themeColor="text1"/>
          <w:highlight w:val="none"/>
        </w:rPr>
        <w:t>及时复垦恢复原种植条件，县级自然资源主管部门会同农业农村等相关主管部门开展土地复垦验收，验收合格的，继续按照永久基本农田保护和管理</w:t>
      </w:r>
      <w:r>
        <w:rPr>
          <w:rFonts w:hint="eastAsia"/>
          <w:color w:val="000000" w:themeColor="text1"/>
          <w:highlight w:val="none"/>
          <w:lang w:val="en-US" w:eastAsia="zh-CN"/>
        </w:rPr>
        <w:t>。</w:t>
      </w:r>
    </w:p>
    <w:p w14:paraId="5E198208">
      <w:pPr>
        <w:bidi w:val="0"/>
        <w:spacing w:line="360" w:lineRule="auto"/>
        <w:rPr>
          <w:rFonts w:hint="eastAsia"/>
          <w:color w:val="000000" w:themeColor="text1"/>
          <w:highlight w:val="none"/>
        </w:rPr>
      </w:pPr>
      <w:r>
        <w:rPr>
          <w:rFonts w:hint="eastAsia"/>
          <w:color w:val="000000" w:themeColor="text1"/>
          <w:highlight w:val="none"/>
        </w:rPr>
        <w:t>本项目沿线占用的基本农田通过耕地补偿协议，</w:t>
      </w:r>
      <w:r>
        <w:rPr>
          <w:color w:val="000000" w:themeColor="text1"/>
          <w:highlight w:val="none"/>
        </w:rPr>
        <w:t>按时缴纳耕地开垦费，由地方有关部门负责开垦与项目占用数量相等、质量相当的耕地</w:t>
      </w:r>
      <w:r>
        <w:rPr>
          <w:rFonts w:hint="eastAsia"/>
          <w:color w:val="000000" w:themeColor="text1"/>
          <w:highlight w:val="none"/>
        </w:rPr>
        <w:t>。</w:t>
      </w:r>
    </w:p>
    <w:p w14:paraId="3F7160B1">
      <w:pPr>
        <w:bidi w:val="0"/>
        <w:spacing w:line="360" w:lineRule="auto"/>
        <w:rPr>
          <w:color w:val="000000" w:themeColor="text1"/>
          <w:highlight w:val="none"/>
        </w:rPr>
      </w:pPr>
      <w:r>
        <w:rPr>
          <w:rFonts w:hint="eastAsia"/>
          <w:color w:val="000000" w:themeColor="text1"/>
          <w:highlight w:val="none"/>
        </w:rPr>
        <w:t>综上，本项目建设符合《自然资源部农业部关于加强和改进永久基本农田保护工作的通知》，（自然资规〔</w:t>
      </w:r>
      <w:r>
        <w:rPr>
          <w:color w:val="000000" w:themeColor="text1"/>
          <w:highlight w:val="none"/>
        </w:rPr>
        <w:t>2019</w:t>
      </w:r>
      <w:r>
        <w:rPr>
          <w:rFonts w:hint="eastAsia"/>
          <w:color w:val="000000" w:themeColor="text1"/>
          <w:highlight w:val="none"/>
        </w:rPr>
        <w:t>〕</w:t>
      </w:r>
      <w:r>
        <w:rPr>
          <w:color w:val="000000" w:themeColor="text1"/>
          <w:highlight w:val="none"/>
        </w:rPr>
        <w:t>1</w:t>
      </w:r>
      <w:r>
        <w:rPr>
          <w:rFonts w:hint="eastAsia"/>
          <w:color w:val="000000" w:themeColor="text1"/>
          <w:highlight w:val="none"/>
        </w:rPr>
        <w:t>号）中的相关要求。</w:t>
      </w:r>
    </w:p>
    <w:p w14:paraId="531C3E91">
      <w:pPr>
        <w:bidi w:val="0"/>
        <w:spacing w:line="360" w:lineRule="auto"/>
        <w:rPr>
          <w:rFonts w:hint="eastAsia"/>
          <w:color w:val="000000" w:themeColor="text1"/>
          <w:highlight w:val="none"/>
        </w:rPr>
      </w:pPr>
      <w:r>
        <w:rPr>
          <w:rFonts w:hint="eastAsia"/>
          <w:color w:val="000000" w:themeColor="text1"/>
          <w:highlight w:val="none"/>
          <w:lang w:val="en-US" w:eastAsia="zh-CN"/>
        </w:rPr>
        <w:t>⑩</w:t>
      </w:r>
      <w:r>
        <w:rPr>
          <w:rFonts w:hint="eastAsia"/>
          <w:color w:val="000000" w:themeColor="text1"/>
          <w:highlight w:val="none"/>
        </w:rPr>
        <w:t>与《自然资源部关于规范临时用地管理的通知》（自然资规〔2021〕2号）符合性分析</w:t>
      </w:r>
    </w:p>
    <w:p w14:paraId="39C068C0">
      <w:pPr>
        <w:bidi w:val="0"/>
        <w:spacing w:line="360" w:lineRule="auto"/>
        <w:rPr>
          <w:rFonts w:hint="eastAsia"/>
          <w:color w:val="000000" w:themeColor="text1"/>
          <w:highlight w:val="none"/>
        </w:rPr>
      </w:pPr>
      <w:r>
        <w:rPr>
          <w:rFonts w:hint="eastAsia"/>
          <w:color w:val="000000" w:themeColor="text1"/>
          <w:highlight w:val="none"/>
        </w:rPr>
        <w:t>根据《自然资源部关于规范临时用地管理的通知》（自然资规〔2021〕2号）文件要求，临时用地是指建设项目施工、地质勘查等临时使用，不修建永久性建（构）筑物，使用后可恢复的土地（通过复垦可恢复原地类或者达到可供利用状态）。临时用地具有临时性和可恢复性等特点，与建设项目施工、地质勘查等无关的用地，使用后无法恢复到原地类或者复垦达不到可供利用状态的用地，不得使用临时用地。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临时用地确需占用永久基本农田的，必须能够恢复原种植条件，并符合《自然资源部 农业农村部关于加强和改进永久基本农田保护工作的通知》（自然资规〔2019〕1号）中申请条件、土壤剥离、复垦验收等有关规定。临时用地使用期限一般不超过两年。建设周期较长的能源、交通、水利等基础设施建设项目施工使用的临时用地，期限不超过四年。城镇开发边界内临时建设用地规划许可、临时建设工程规划许可的期限应当与临时用地期限相衔接。临时用地使用期限，从批准之日起算。县（市）自然资源主管部门负责临时用地审批，其中涉及占用耕地和永久基本农田的，由市级或者市级以上自然资源主管部门负责审批。不得下放临时用地审批权或者委托相关部门行使审批权。临时用地使用人应当按照批准的用途使用土地，不得转让、出租、抵押临时用地。临时用地使用人应当自临时用地期满之日起一年内完成土地复垦，因气候、灾害等不可抗力因素影响复垦的，经批准可以适当延长复垦期限。</w:t>
      </w:r>
    </w:p>
    <w:p w14:paraId="1CC6891B">
      <w:pPr>
        <w:bidi w:val="0"/>
        <w:spacing w:line="360" w:lineRule="auto"/>
        <w:rPr>
          <w:rFonts w:hint="eastAsia"/>
          <w:color w:val="000000" w:themeColor="text1"/>
          <w:highlight w:val="none"/>
        </w:rPr>
      </w:pPr>
      <w:r>
        <w:rPr>
          <w:rFonts w:hint="eastAsia"/>
          <w:color w:val="000000" w:themeColor="text1"/>
          <w:highlight w:val="none"/>
        </w:rPr>
        <w:t>严格落实临时用地恢复责任，临时用地期满后应当拆除临时建（构）筑物，使用耕地的应当复垦为耕地，确保耕地面积不减少、质量不降低；使用耕地以外的其他农用地的应当恢复为农用地；使用未利用地的，对于符合条件的鼓励复垦为耕地。</w:t>
      </w:r>
    </w:p>
    <w:p w14:paraId="58EEB234">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w:t>
      </w:r>
      <w:r>
        <w:rPr>
          <w:rFonts w:hint="eastAsia"/>
          <w:color w:val="000000" w:themeColor="text1"/>
          <w:highlight w:val="none"/>
        </w:rPr>
        <w:t>临时用地确实难以避让永久基本农田，</w:t>
      </w:r>
      <w:r>
        <w:rPr>
          <w:rFonts w:hint="eastAsia"/>
          <w:color w:val="000000" w:themeColor="text1"/>
          <w:highlight w:val="none"/>
          <w:lang w:val="en-US" w:eastAsia="zh-CN"/>
        </w:rPr>
        <w:t>本项目在建设过程中临时占地内</w:t>
      </w:r>
      <w:r>
        <w:rPr>
          <w:rFonts w:hint="eastAsia"/>
          <w:color w:val="000000" w:themeColor="text1"/>
          <w:highlight w:val="none"/>
        </w:rPr>
        <w:t>不修建永久性建（构）筑物、经复垦能恢复原种植</w:t>
      </w:r>
      <w:r>
        <w:rPr>
          <w:rFonts w:hint="eastAsia"/>
          <w:color w:val="000000" w:themeColor="text1"/>
          <w:highlight w:val="none"/>
          <w:lang w:eastAsia="zh-CN"/>
        </w:rPr>
        <w:t>。</w:t>
      </w:r>
      <w:r>
        <w:rPr>
          <w:rFonts w:hint="eastAsia"/>
          <w:color w:val="000000" w:themeColor="text1"/>
          <w:highlight w:val="none"/>
          <w:lang w:val="en-US" w:eastAsia="zh-CN"/>
        </w:rPr>
        <w:t>本项目建设单位</w:t>
      </w:r>
      <w:r>
        <w:rPr>
          <w:rFonts w:hint="eastAsia"/>
          <w:color w:val="000000" w:themeColor="text1"/>
          <w:highlight w:val="none"/>
        </w:rPr>
        <w:t>按法定程序申请临时用地并编制土地复垦方案，经县级自然资源主管部门批准可临时占用，并在市级自然资源主管部门备案，同时，通过耕地耕作层土壤剥离再利用等工程技术措施，减少对耕作层的破坏。临时用地到期后</w:t>
      </w:r>
      <w:r>
        <w:rPr>
          <w:rFonts w:hint="eastAsia"/>
          <w:color w:val="000000" w:themeColor="text1"/>
          <w:highlight w:val="none"/>
          <w:lang w:val="en-US" w:eastAsia="zh-CN"/>
        </w:rPr>
        <w:t>建设单位</w:t>
      </w:r>
      <w:r>
        <w:rPr>
          <w:rFonts w:hint="eastAsia"/>
          <w:color w:val="000000" w:themeColor="text1"/>
          <w:highlight w:val="none"/>
        </w:rPr>
        <w:t>及时复垦恢复原种植条件，县级自然资源主管部门会同农业农村等相关主管部门开展土地复垦验收，验收合格的，继续按照永久基本农田保护和管理</w:t>
      </w:r>
      <w:r>
        <w:rPr>
          <w:rFonts w:hint="eastAsia"/>
          <w:color w:val="000000" w:themeColor="text1"/>
          <w:highlight w:val="none"/>
          <w:lang w:val="en-US" w:eastAsia="zh-CN"/>
        </w:rPr>
        <w:t>。</w:t>
      </w:r>
    </w:p>
    <w:p w14:paraId="6F3A41C1">
      <w:pPr>
        <w:bidi w:val="0"/>
        <w:spacing w:line="360" w:lineRule="auto"/>
        <w:rPr>
          <w:rFonts w:hint="eastAsia"/>
          <w:color w:val="000000" w:themeColor="text1"/>
          <w:highlight w:val="none"/>
        </w:rPr>
      </w:pPr>
      <w:r>
        <w:rPr>
          <w:rFonts w:hint="eastAsia"/>
          <w:color w:val="000000" w:themeColor="text1"/>
          <w:highlight w:val="none"/>
          <w:lang w:val="en-US" w:eastAsia="zh-CN"/>
        </w:rPr>
        <w:t>本项目</w:t>
      </w:r>
      <w:r>
        <w:rPr>
          <w:rFonts w:hint="eastAsia"/>
          <w:color w:val="000000" w:themeColor="text1"/>
          <w:highlight w:val="none"/>
        </w:rPr>
        <w:t>坚持“用多少、批多少、占多少、恢复多少”，尽量不占或者少占耕地。科学组织施工，节约集约使用临时用地。制梁场、拌合站等难以恢复原种植条件的不占用耕地和永久基本农田。项目在临时用地使用结束后拆除临建设施，并进行土地复垦，临时占地可恢复原有土地功能。因此项目建设符合《自然资源部关于规范临时用地管理的通知》（自然资规〔2021〕2号）文件要求。</w:t>
      </w:r>
    </w:p>
    <w:p w14:paraId="27E06027">
      <w:pPr>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rFonts w:hint="eastAsia"/>
          <w:color w:val="000000" w:themeColor="text1"/>
          <w:highlight w:val="none"/>
          <w:lang w:val="en-US" w:eastAsia="zh-CN"/>
        </w:rPr>
        <w:t>生态环境分区管控</w:t>
      </w:r>
      <w:r>
        <w:rPr>
          <w:rFonts w:hint="eastAsia"/>
          <w:color w:val="000000" w:themeColor="text1"/>
          <w:highlight w:val="none"/>
          <w:lang w:eastAsia="zh-CN"/>
        </w:rPr>
        <w:t>”</w:t>
      </w:r>
      <w:r>
        <w:rPr>
          <w:color w:val="000000" w:themeColor="text1"/>
          <w:highlight w:val="none"/>
        </w:rPr>
        <w:t>符合性分析</w:t>
      </w:r>
    </w:p>
    <w:p w14:paraId="402B853C">
      <w:pPr>
        <w:bidi w:val="0"/>
        <w:spacing w:line="360" w:lineRule="auto"/>
        <w:rPr>
          <w:color w:val="000000" w:themeColor="text1"/>
          <w:highlight w:val="none"/>
        </w:rPr>
      </w:pPr>
      <w:r>
        <w:rPr>
          <w:rFonts w:hint="eastAsia"/>
          <w:color w:val="000000" w:themeColor="text1"/>
          <w:highlight w:val="none"/>
          <w:lang w:val="en-US" w:eastAsia="zh-CN"/>
        </w:rPr>
        <w:t>①</w:t>
      </w:r>
      <w:r>
        <w:rPr>
          <w:color w:val="000000" w:themeColor="text1"/>
          <w:highlight w:val="none"/>
        </w:rPr>
        <w:t>生态红线符合性</w:t>
      </w:r>
    </w:p>
    <w:p w14:paraId="71812973">
      <w:pPr>
        <w:bidi w:val="0"/>
        <w:spacing w:line="360" w:lineRule="auto"/>
        <w:rPr>
          <w:color w:val="000000" w:themeColor="text1"/>
          <w:highlight w:val="none"/>
        </w:rPr>
      </w:pPr>
      <w:r>
        <w:rPr>
          <w:rFonts w:hint="eastAsia"/>
          <w:color w:val="000000" w:themeColor="text1"/>
          <w:highlight w:val="none"/>
        </w:rPr>
        <w:t>本项目</w:t>
      </w:r>
      <w:r>
        <w:rPr>
          <w:rFonts w:hint="eastAsia"/>
          <w:color w:val="000000" w:themeColor="text1"/>
          <w:highlight w:val="none"/>
          <w:lang w:val="en-US" w:eastAsia="zh-CN"/>
        </w:rPr>
        <w:t>永久占地、</w:t>
      </w:r>
      <w:r>
        <w:rPr>
          <w:rFonts w:hint="eastAsia"/>
          <w:color w:val="000000" w:themeColor="text1"/>
          <w:highlight w:val="none"/>
        </w:rPr>
        <w:t>临时占地选址</w:t>
      </w:r>
      <w:r>
        <w:rPr>
          <w:rFonts w:hint="eastAsia"/>
          <w:color w:val="000000" w:themeColor="text1"/>
          <w:highlight w:val="none"/>
          <w:lang w:val="en-US" w:eastAsia="zh-CN"/>
        </w:rPr>
        <w:t>均</w:t>
      </w:r>
      <w:r>
        <w:rPr>
          <w:rFonts w:hint="eastAsia"/>
          <w:color w:val="000000" w:themeColor="text1"/>
          <w:highlight w:val="none"/>
        </w:rPr>
        <w:t>不占用生态保护红线，沿线永久占地占用的农田通过耕地补偿协议，</w:t>
      </w:r>
      <w:r>
        <w:rPr>
          <w:color w:val="000000" w:themeColor="text1"/>
          <w:highlight w:val="none"/>
        </w:rPr>
        <w:t>按时缴纳耕地开垦费，由地方有关部门负责开垦与项目占用数量相等、质量相当的耕地</w:t>
      </w:r>
      <w:r>
        <w:rPr>
          <w:rFonts w:hint="eastAsia"/>
          <w:color w:val="000000" w:themeColor="text1"/>
          <w:highlight w:val="none"/>
        </w:rPr>
        <w:t>，</w:t>
      </w:r>
      <w:r>
        <w:rPr>
          <w:color w:val="000000" w:themeColor="text1"/>
          <w:highlight w:val="none"/>
        </w:rPr>
        <w:t>占用草地采取补偿费、植被恢复费及附着物补偿费等方式进行植被恢复</w:t>
      </w:r>
      <w:r>
        <w:rPr>
          <w:rFonts w:hint="eastAsia"/>
          <w:color w:val="000000" w:themeColor="text1"/>
          <w:highlight w:val="none"/>
        </w:rPr>
        <w:t>，占用林地采取经济补偿、异地补偿及生态恢复等方式进行植被恢复。本项目建设与</w:t>
      </w:r>
      <w:r>
        <w:rPr>
          <w:color w:val="000000" w:themeColor="text1"/>
          <w:highlight w:val="none"/>
        </w:rPr>
        <w:t>《中华人民共和国土地管理法》</w:t>
      </w:r>
      <w:r>
        <w:rPr>
          <w:rFonts w:hint="eastAsia"/>
          <w:color w:val="000000" w:themeColor="text1"/>
          <w:highlight w:val="none"/>
        </w:rPr>
        <w:t>不冲突。</w:t>
      </w:r>
    </w:p>
    <w:p w14:paraId="1AB228E0">
      <w:pPr>
        <w:bidi w:val="0"/>
        <w:spacing w:line="360" w:lineRule="auto"/>
        <w:rPr>
          <w:color w:val="000000" w:themeColor="text1"/>
          <w:highlight w:val="none"/>
        </w:rPr>
      </w:pPr>
      <w:r>
        <w:rPr>
          <w:rFonts w:hint="eastAsia"/>
          <w:color w:val="000000" w:themeColor="text1"/>
          <w:highlight w:val="none"/>
          <w:lang w:val="en-US" w:eastAsia="zh-CN"/>
        </w:rPr>
        <w:t>经套核“三区三线”数据库，本项目占地范围内及评价范围内均不占用生态保护红线区和自然保护区</w:t>
      </w:r>
      <w:r>
        <w:rPr>
          <w:rFonts w:hint="eastAsia"/>
          <w:color w:val="000000" w:themeColor="text1"/>
          <w:highlight w:val="none"/>
          <w:lang w:eastAsia="zh-CN"/>
        </w:rPr>
        <w:t>，</w:t>
      </w:r>
      <w:r>
        <w:rPr>
          <w:rFonts w:hint="eastAsia"/>
          <w:color w:val="000000" w:themeColor="text1"/>
          <w:highlight w:val="none"/>
        </w:rPr>
        <w:t>符合中共中央办公厅、国务院办公厅联合印发的《关于在国土空间规划中统筹划定落实三条控制线的指导意见》（厅字</w:t>
      </w:r>
      <w:r>
        <w:rPr>
          <w:color w:val="000000" w:themeColor="text1"/>
          <w:highlight w:val="none"/>
        </w:rPr>
        <w:t>[2019]48</w:t>
      </w:r>
      <w:r>
        <w:rPr>
          <w:rFonts w:hint="eastAsia"/>
          <w:color w:val="000000" w:themeColor="text1"/>
          <w:highlight w:val="none"/>
        </w:rPr>
        <w:t>号）要求，符合中共中央办公厅、国务院办公厅联合印发的《关于划定并严守生态保护红线的若干意见》。项目在建设用地报批前，应将该项目纳入当地县级以上国土空间规划，按程序办理用地手续。</w:t>
      </w:r>
    </w:p>
    <w:p w14:paraId="6E911C31">
      <w:pPr>
        <w:bidi w:val="0"/>
        <w:spacing w:line="360" w:lineRule="auto"/>
        <w:rPr>
          <w:color w:val="000000" w:themeColor="text1"/>
          <w:highlight w:val="none"/>
        </w:rPr>
      </w:pPr>
      <w:r>
        <w:rPr>
          <w:rFonts w:hint="eastAsia"/>
          <w:color w:val="000000" w:themeColor="text1"/>
          <w:highlight w:val="none"/>
        </w:rPr>
        <w:t>综上所述，</w:t>
      </w:r>
      <w:r>
        <w:rPr>
          <w:color w:val="000000" w:themeColor="text1"/>
          <w:highlight w:val="none"/>
        </w:rPr>
        <w:t>本项目建设</w:t>
      </w:r>
      <w:r>
        <w:rPr>
          <w:rFonts w:hint="eastAsia"/>
          <w:color w:val="000000" w:themeColor="text1"/>
          <w:highlight w:val="none"/>
        </w:rPr>
        <w:t>与《</w:t>
      </w:r>
      <w:r>
        <w:rPr>
          <w:rFonts w:hint="eastAsia"/>
          <w:color w:val="000000" w:themeColor="text1"/>
          <w:highlight w:val="none"/>
          <w:lang w:eastAsia="zh-CN"/>
        </w:rPr>
        <w:t>鹤岗市</w:t>
      </w:r>
      <w:r>
        <w:rPr>
          <w:rFonts w:hint="eastAsia"/>
          <w:color w:val="000000" w:themeColor="text1"/>
          <w:highlight w:val="none"/>
        </w:rPr>
        <w:t>人民政府关于实施</w:t>
      </w:r>
      <w:r>
        <w:rPr>
          <w:rFonts w:hint="eastAsia"/>
          <w:color w:val="000000" w:themeColor="text1"/>
          <w:highlight w:val="none"/>
          <w:lang w:eastAsia="zh-CN"/>
        </w:rPr>
        <w:t>“</w:t>
      </w:r>
      <w:r>
        <w:rPr>
          <w:rFonts w:hint="eastAsia"/>
          <w:color w:val="000000" w:themeColor="text1"/>
          <w:highlight w:val="none"/>
        </w:rPr>
        <w:t>三线一单</w:t>
      </w:r>
      <w:r>
        <w:rPr>
          <w:rFonts w:hint="eastAsia"/>
          <w:color w:val="000000" w:themeColor="text1"/>
          <w:highlight w:val="none"/>
          <w:lang w:eastAsia="zh-CN"/>
        </w:rPr>
        <w:t>”</w:t>
      </w:r>
      <w:r>
        <w:rPr>
          <w:rFonts w:hint="eastAsia"/>
          <w:color w:val="000000" w:themeColor="text1"/>
          <w:highlight w:val="none"/>
        </w:rPr>
        <w:t>生态环境分区管控的意见》（</w:t>
      </w:r>
      <w:r>
        <w:rPr>
          <w:rFonts w:hint="eastAsia"/>
          <w:color w:val="000000" w:themeColor="text1"/>
          <w:highlight w:val="none"/>
          <w:lang w:eastAsia="zh-CN"/>
        </w:rPr>
        <w:t>鹤政发</w:t>
      </w:r>
      <w:r>
        <w:rPr>
          <w:rFonts w:hint="eastAsia"/>
          <w:color w:val="000000" w:themeColor="text1"/>
          <w:highlight w:val="none"/>
        </w:rPr>
        <w:t>〔2021〕</w:t>
      </w:r>
      <w:r>
        <w:rPr>
          <w:rFonts w:hint="eastAsia"/>
          <w:color w:val="000000" w:themeColor="text1"/>
          <w:highlight w:val="none"/>
          <w:lang w:val="en-US" w:eastAsia="zh-CN"/>
        </w:rPr>
        <w:t>6</w:t>
      </w:r>
      <w:r>
        <w:rPr>
          <w:rFonts w:hint="eastAsia"/>
          <w:color w:val="000000" w:themeColor="text1"/>
          <w:highlight w:val="none"/>
        </w:rPr>
        <w:t>号）</w:t>
      </w:r>
      <w:r>
        <w:rPr>
          <w:color w:val="000000" w:themeColor="text1"/>
          <w:highlight w:val="none"/>
        </w:rPr>
        <w:t>中生态保护红线的</w:t>
      </w:r>
      <w:r>
        <w:rPr>
          <w:rFonts w:hint="eastAsia"/>
          <w:color w:val="000000" w:themeColor="text1"/>
          <w:highlight w:val="none"/>
        </w:rPr>
        <w:t>管控</w:t>
      </w:r>
      <w:r>
        <w:rPr>
          <w:color w:val="000000" w:themeColor="text1"/>
          <w:highlight w:val="none"/>
        </w:rPr>
        <w:t>要求</w:t>
      </w:r>
      <w:r>
        <w:rPr>
          <w:rFonts w:hint="eastAsia"/>
          <w:color w:val="000000" w:themeColor="text1"/>
          <w:highlight w:val="none"/>
        </w:rPr>
        <w:t>不冲突</w:t>
      </w:r>
      <w:r>
        <w:rPr>
          <w:color w:val="000000" w:themeColor="text1"/>
          <w:highlight w:val="none"/>
        </w:rPr>
        <w:t>。</w:t>
      </w:r>
    </w:p>
    <w:p w14:paraId="764AF277">
      <w:pPr>
        <w:bidi w:val="0"/>
        <w:spacing w:line="360" w:lineRule="auto"/>
        <w:rPr>
          <w:color w:val="000000" w:themeColor="text1"/>
          <w:highlight w:val="none"/>
        </w:rPr>
      </w:pPr>
      <w:r>
        <w:rPr>
          <w:rFonts w:hint="eastAsia"/>
          <w:color w:val="000000" w:themeColor="text1"/>
          <w:highlight w:val="none"/>
          <w:lang w:val="en-US" w:eastAsia="zh-CN"/>
        </w:rPr>
        <w:t>②</w:t>
      </w:r>
      <w:r>
        <w:rPr>
          <w:color w:val="000000" w:themeColor="text1"/>
          <w:highlight w:val="none"/>
        </w:rPr>
        <w:t>环境质量底线符合性</w:t>
      </w:r>
    </w:p>
    <w:p w14:paraId="559CCCD2">
      <w:pPr>
        <w:bidi w:val="0"/>
        <w:spacing w:line="360" w:lineRule="auto"/>
        <w:rPr>
          <w:color w:val="000000" w:themeColor="text1"/>
          <w:highlight w:val="none"/>
        </w:rPr>
      </w:pPr>
      <w:r>
        <w:rPr>
          <w:rFonts w:hint="eastAsia"/>
          <w:color w:val="000000" w:themeColor="text1"/>
          <w:highlight w:val="none"/>
        </w:rPr>
        <w:t>1、大气环境</w:t>
      </w:r>
    </w:p>
    <w:p w14:paraId="0AF044DB">
      <w:pPr>
        <w:bidi w:val="0"/>
        <w:spacing w:line="360" w:lineRule="auto"/>
        <w:rPr>
          <w:color w:val="000000" w:themeColor="text1"/>
          <w:highlight w:val="none"/>
        </w:rPr>
      </w:pPr>
      <w:r>
        <w:rPr>
          <w:color w:val="000000" w:themeColor="text1"/>
          <w:highlight w:val="none"/>
        </w:rPr>
        <w:t>根据</w:t>
      </w:r>
      <w:r>
        <w:rPr>
          <w:rFonts w:hint="eastAsia"/>
          <w:color w:val="000000" w:themeColor="text1"/>
          <w:highlight w:val="none"/>
        </w:rPr>
        <w:t>《202</w:t>
      </w:r>
      <w:r>
        <w:rPr>
          <w:rFonts w:hint="eastAsia"/>
          <w:color w:val="000000" w:themeColor="text1"/>
          <w:highlight w:val="none"/>
          <w:lang w:val="en-US" w:eastAsia="zh-CN"/>
        </w:rPr>
        <w:t>4</w:t>
      </w:r>
      <w:r>
        <w:rPr>
          <w:rFonts w:hint="eastAsia"/>
          <w:color w:val="000000" w:themeColor="text1"/>
          <w:highlight w:val="none"/>
        </w:rPr>
        <w:t>年黑龙江省生态环境质量状况》</w:t>
      </w:r>
      <w:r>
        <w:rPr>
          <w:rFonts w:hint="eastAsia"/>
          <w:color w:val="000000" w:themeColor="text1"/>
          <w:highlight w:val="none"/>
          <w:lang w:eastAsia="zh-CN"/>
        </w:rPr>
        <w:t>，</w:t>
      </w:r>
      <w:r>
        <w:rPr>
          <w:color w:val="000000" w:themeColor="text1"/>
          <w:highlight w:val="none"/>
        </w:rPr>
        <w:t>本项目</w:t>
      </w:r>
      <w:r>
        <w:rPr>
          <w:rFonts w:hint="eastAsia"/>
          <w:color w:val="000000" w:themeColor="text1"/>
          <w:highlight w:val="none"/>
        </w:rPr>
        <w:t>路段</w:t>
      </w:r>
      <w:r>
        <w:rPr>
          <w:rFonts w:hint="eastAsia"/>
          <w:color w:val="000000" w:themeColor="text1"/>
          <w:highlight w:val="none"/>
          <w:lang w:val="en-US" w:eastAsia="zh-CN"/>
        </w:rPr>
        <w:t>所在地鹤岗</w:t>
      </w:r>
      <w:r>
        <w:rPr>
          <w:rFonts w:hint="eastAsia"/>
          <w:color w:val="000000" w:themeColor="text1"/>
          <w:highlight w:val="none"/>
        </w:rPr>
        <w:t>市</w:t>
      </w:r>
      <w:r>
        <w:rPr>
          <w:color w:val="000000" w:themeColor="text1"/>
          <w:highlight w:val="none"/>
        </w:rPr>
        <w:t>环境空气质量PM</w:t>
      </w:r>
      <w:r>
        <w:rPr>
          <w:color w:val="000000" w:themeColor="text1"/>
          <w:highlight w:val="none"/>
          <w:vertAlign w:val="subscript"/>
        </w:rPr>
        <w:t>2.5</w:t>
      </w:r>
      <w:r>
        <w:rPr>
          <w:rFonts w:hint="eastAsia"/>
          <w:color w:val="000000" w:themeColor="text1"/>
          <w:highlight w:val="none"/>
        </w:rPr>
        <w:t>、</w:t>
      </w:r>
      <w:r>
        <w:rPr>
          <w:color w:val="000000" w:themeColor="text1"/>
          <w:highlight w:val="none"/>
        </w:rPr>
        <w:t>SO</w:t>
      </w:r>
      <w:r>
        <w:rPr>
          <w:color w:val="000000" w:themeColor="text1"/>
          <w:highlight w:val="none"/>
          <w:vertAlign w:val="subscript"/>
        </w:rPr>
        <w:t>2</w:t>
      </w:r>
      <w:r>
        <w:rPr>
          <w:color w:val="000000" w:themeColor="text1"/>
          <w:highlight w:val="none"/>
        </w:rPr>
        <w:t>、NO</w:t>
      </w:r>
      <w:r>
        <w:rPr>
          <w:color w:val="000000" w:themeColor="text1"/>
          <w:highlight w:val="none"/>
          <w:vertAlign w:val="subscript"/>
        </w:rPr>
        <w:t>2</w:t>
      </w:r>
      <w:r>
        <w:rPr>
          <w:color w:val="000000" w:themeColor="text1"/>
          <w:highlight w:val="none"/>
        </w:rPr>
        <w:t>、CO、O</w:t>
      </w:r>
      <w:r>
        <w:rPr>
          <w:color w:val="000000" w:themeColor="text1"/>
          <w:highlight w:val="none"/>
          <w:vertAlign w:val="subscript"/>
        </w:rPr>
        <w:t>3</w:t>
      </w:r>
      <w:r>
        <w:rPr>
          <w:color w:val="000000" w:themeColor="text1"/>
          <w:highlight w:val="none"/>
        </w:rPr>
        <w:t>、PM</w:t>
      </w:r>
      <w:r>
        <w:rPr>
          <w:color w:val="000000" w:themeColor="text1"/>
          <w:highlight w:val="none"/>
          <w:vertAlign w:val="subscript"/>
        </w:rPr>
        <w:t>10</w:t>
      </w:r>
      <w:r>
        <w:rPr>
          <w:color w:val="000000" w:themeColor="text1"/>
          <w:highlight w:val="none"/>
        </w:rPr>
        <w:t>总体</w:t>
      </w:r>
      <w:r>
        <w:rPr>
          <w:rFonts w:hint="eastAsia"/>
          <w:color w:val="000000" w:themeColor="text1"/>
          <w:highlight w:val="none"/>
        </w:rPr>
        <w:t>均达</w:t>
      </w:r>
      <w:r>
        <w:rPr>
          <w:color w:val="000000" w:themeColor="text1"/>
          <w:highlight w:val="none"/>
        </w:rPr>
        <w:t>标，环境空气质量属达标区。</w:t>
      </w:r>
    </w:p>
    <w:p w14:paraId="6D4AF27F">
      <w:pPr>
        <w:bidi w:val="0"/>
        <w:spacing w:line="360" w:lineRule="auto"/>
        <w:rPr>
          <w:color w:val="000000" w:themeColor="text1"/>
          <w:highlight w:val="none"/>
        </w:rPr>
      </w:pPr>
      <w:r>
        <w:rPr>
          <w:color w:val="000000" w:themeColor="text1"/>
          <w:highlight w:val="none"/>
        </w:rPr>
        <w:t>根据</w:t>
      </w:r>
      <w:r>
        <w:rPr>
          <w:rFonts w:hint="eastAsia"/>
          <w:color w:val="000000" w:themeColor="text1"/>
          <w:highlight w:val="none"/>
          <w:lang w:eastAsia="zh-CN"/>
        </w:rPr>
        <w:t>黑龙江省华裕检测技术有限公司</w:t>
      </w:r>
      <w:r>
        <w:rPr>
          <w:color w:val="000000" w:themeColor="text1"/>
          <w:highlight w:val="none"/>
        </w:rPr>
        <w:t>监测数据，</w:t>
      </w:r>
      <w:r>
        <w:rPr>
          <w:rFonts w:hint="eastAsia"/>
          <w:color w:val="000000" w:themeColor="text1"/>
          <w:highlight w:val="none"/>
          <w:lang w:val="en-US" w:eastAsia="zh-CN"/>
        </w:rPr>
        <w:t>项目区下风向宝泉岭农场二队</w:t>
      </w:r>
      <w:r>
        <w:rPr>
          <w:rFonts w:hint="eastAsia"/>
          <w:color w:val="000000" w:themeColor="text1"/>
          <w:highlight w:val="none"/>
        </w:rPr>
        <w:t>TSP监测值均符合国家《环境空气质量标准》（</w:t>
      </w:r>
      <w:r>
        <w:rPr>
          <w:color w:val="000000" w:themeColor="text1"/>
          <w:highlight w:val="none"/>
        </w:rPr>
        <w:t>GB3095－2012）</w:t>
      </w:r>
      <w:r>
        <w:rPr>
          <w:rFonts w:hint="eastAsia"/>
          <w:color w:val="000000" w:themeColor="text1"/>
          <w:highlight w:val="none"/>
        </w:rPr>
        <w:t>及其修改单中</w:t>
      </w:r>
      <w:r>
        <w:rPr>
          <w:color w:val="000000" w:themeColor="text1"/>
          <w:highlight w:val="none"/>
        </w:rPr>
        <w:t>的</w:t>
      </w:r>
      <w:r>
        <w:rPr>
          <w:rFonts w:hint="eastAsia"/>
          <w:color w:val="000000" w:themeColor="text1"/>
          <w:highlight w:val="none"/>
        </w:rPr>
        <w:t>二</w:t>
      </w:r>
      <w:r>
        <w:rPr>
          <w:color w:val="000000" w:themeColor="text1"/>
          <w:highlight w:val="none"/>
        </w:rPr>
        <w:t>级标准要求。</w:t>
      </w:r>
    </w:p>
    <w:p w14:paraId="62CC872C">
      <w:pPr>
        <w:bidi w:val="0"/>
        <w:spacing w:line="360" w:lineRule="auto"/>
        <w:rPr>
          <w:color w:val="000000" w:themeColor="text1"/>
          <w:highlight w:val="none"/>
        </w:rPr>
      </w:pPr>
      <w:r>
        <w:rPr>
          <w:color w:val="000000" w:themeColor="text1"/>
          <w:highlight w:val="none"/>
        </w:rPr>
        <w:t>综上所述，本项目所在评价区域为达标区。</w:t>
      </w:r>
    </w:p>
    <w:p w14:paraId="19A2F6F7">
      <w:pPr>
        <w:bidi w:val="0"/>
        <w:spacing w:line="360" w:lineRule="auto"/>
        <w:rPr>
          <w:color w:val="000000" w:themeColor="text1"/>
          <w:highlight w:val="none"/>
        </w:rPr>
      </w:pPr>
      <w:r>
        <w:rPr>
          <w:rFonts w:hint="eastAsia"/>
          <w:color w:val="000000" w:themeColor="text1"/>
          <w:highlight w:val="none"/>
        </w:rPr>
        <w:t>本项目为公路建设项目，非工业类项目。本项目的实施对区域环境空气质量的影响减小，不会造成区域环境空气质量的明显下降，不会突破区域环境空气质量底线。</w:t>
      </w:r>
    </w:p>
    <w:p w14:paraId="36877650">
      <w:pPr>
        <w:bidi w:val="0"/>
        <w:spacing w:line="360" w:lineRule="auto"/>
        <w:rPr>
          <w:rFonts w:hint="default"/>
          <w:color w:val="000000" w:themeColor="text1"/>
          <w:highlight w:val="none"/>
        </w:rPr>
      </w:pPr>
      <w:r>
        <w:rPr>
          <w:rFonts w:hint="default"/>
          <w:color w:val="000000" w:themeColor="text1"/>
          <w:highlight w:val="none"/>
        </w:rPr>
        <w:t>2、水环境</w:t>
      </w:r>
    </w:p>
    <w:p w14:paraId="4B071D79">
      <w:pPr>
        <w:bidi w:val="0"/>
        <w:spacing w:line="360" w:lineRule="auto"/>
        <w:rPr>
          <w:rFonts w:hint="default"/>
          <w:color w:val="000000" w:themeColor="text1"/>
          <w:highlight w:val="none"/>
        </w:rPr>
      </w:pPr>
      <w:r>
        <w:rPr>
          <w:rFonts w:hint="default"/>
          <w:color w:val="000000" w:themeColor="text1"/>
          <w:highlight w:val="none"/>
        </w:rPr>
        <w:t>项目区域涉及的</w:t>
      </w:r>
      <w:r>
        <w:rPr>
          <w:rFonts w:hint="default"/>
          <w:color w:val="000000" w:themeColor="text1"/>
          <w:highlight w:val="none"/>
          <w:lang w:val="en-US" w:eastAsia="zh-CN"/>
        </w:rPr>
        <w:t>路北一支干渠和朝鲜河均无</w:t>
      </w:r>
      <w:r>
        <w:rPr>
          <w:rFonts w:hint="default"/>
          <w:color w:val="000000" w:themeColor="text1"/>
          <w:highlight w:val="none"/>
        </w:rPr>
        <w:t>规划水体类别，</w:t>
      </w:r>
      <w:r>
        <w:rPr>
          <w:rFonts w:hint="default"/>
          <w:color w:val="000000" w:themeColor="text1"/>
          <w:highlight w:val="none"/>
          <w:lang w:val="en-US" w:eastAsia="zh-CN"/>
        </w:rPr>
        <w:t>其</w:t>
      </w:r>
      <w:r>
        <w:rPr>
          <w:rFonts w:hint="default"/>
          <w:color w:val="000000" w:themeColor="text1"/>
          <w:highlight w:val="none"/>
        </w:rPr>
        <w:t>最终均汇入</w:t>
      </w:r>
      <w:r>
        <w:rPr>
          <w:rFonts w:hint="default"/>
          <w:color w:val="000000" w:themeColor="text1"/>
          <w:highlight w:val="none"/>
          <w:lang w:val="en-US" w:eastAsia="zh-CN"/>
        </w:rPr>
        <w:t>梧桐河</w:t>
      </w:r>
      <w:r>
        <w:rPr>
          <w:rFonts w:hint="default"/>
          <w:color w:val="000000" w:themeColor="text1"/>
          <w:highlight w:val="none"/>
        </w:rPr>
        <w:t>。</w:t>
      </w:r>
      <w:r>
        <w:rPr>
          <w:rFonts w:hint="default"/>
          <w:color w:val="000000" w:themeColor="text1"/>
          <w:highlight w:val="none"/>
          <w:lang w:val="en-US" w:eastAsia="zh-CN"/>
        </w:rPr>
        <w:t>根据《全国重要江河湖泊水功能区划（2011-2030年）（黑龙江省）》，梧桐河地表水体功能区划为Ⅳ类水体，因此本项目地表水体参照执行</w:t>
      </w:r>
      <w:r>
        <w:rPr>
          <w:rFonts w:hint="default"/>
          <w:color w:val="000000" w:themeColor="text1"/>
          <w:highlight w:val="none"/>
        </w:rPr>
        <w:t>《地表水环境质量标准》（GB3838-2002）中</w:t>
      </w:r>
      <w:r>
        <w:rPr>
          <w:rFonts w:hint="default"/>
          <w:color w:val="000000" w:themeColor="text1"/>
          <w:highlight w:val="none"/>
          <w:lang w:val="en-US" w:eastAsia="zh-CN"/>
        </w:rPr>
        <w:t>Ⅳ类标准</w:t>
      </w:r>
      <w:r>
        <w:rPr>
          <w:rFonts w:hint="default"/>
          <w:color w:val="000000" w:themeColor="text1"/>
          <w:highlight w:val="none"/>
        </w:rPr>
        <w:t>。</w:t>
      </w:r>
    </w:p>
    <w:p w14:paraId="15A97A9F">
      <w:pPr>
        <w:bidi w:val="0"/>
        <w:spacing w:line="360" w:lineRule="auto"/>
        <w:rPr>
          <w:color w:val="000000" w:themeColor="text1"/>
          <w:highlight w:val="none"/>
        </w:rPr>
      </w:pPr>
      <w:r>
        <w:rPr>
          <w:rFonts w:hint="eastAsia"/>
          <w:color w:val="000000" w:themeColor="text1"/>
          <w:highlight w:val="none"/>
        </w:rPr>
        <w:t>根据《2024年黑龙江省生态环境质量状况》可知，</w:t>
      </w:r>
      <w:r>
        <w:rPr>
          <w:rFonts w:hint="default" w:ascii="Times New Roman" w:hAnsi="Times New Roman" w:cs="Times New Roman"/>
          <w:color w:val="000000" w:themeColor="text1"/>
          <w:highlight w:val="none"/>
          <w:lang w:val="en-US" w:eastAsia="zh-CN"/>
        </w:rPr>
        <w:t>梧桐河</w:t>
      </w:r>
      <w:r>
        <w:rPr>
          <w:rFonts w:hint="default" w:ascii="Times New Roman" w:hAnsi="Times New Roman" w:cs="Times New Roman"/>
          <w:color w:val="000000" w:themeColor="text1"/>
          <w:highlight w:val="none"/>
        </w:rPr>
        <w:t>水质为Ⅲ类</w:t>
      </w:r>
      <w:r>
        <w:rPr>
          <w:rFonts w:hint="eastAsia"/>
          <w:color w:val="000000" w:themeColor="text1"/>
          <w:highlight w:val="none"/>
        </w:rPr>
        <w:t>，满足《全国重要江河湖泊水功能区划</w:t>
      </w:r>
      <w:r>
        <w:rPr>
          <w:rFonts w:hint="eastAsia"/>
          <w:color w:val="000000" w:themeColor="text1"/>
          <w:highlight w:val="none"/>
          <w:lang w:eastAsia="zh-CN"/>
        </w:rPr>
        <w:t>（</w:t>
      </w:r>
      <w:r>
        <w:rPr>
          <w:rFonts w:hint="eastAsia"/>
          <w:color w:val="000000" w:themeColor="text1"/>
          <w:highlight w:val="none"/>
        </w:rPr>
        <w:t>2011~2030</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水资源[2012]131号</w:t>
      </w:r>
      <w:r>
        <w:rPr>
          <w:rFonts w:hint="eastAsia"/>
          <w:color w:val="000000" w:themeColor="text1"/>
          <w:highlight w:val="none"/>
          <w:lang w:eastAsia="zh-CN"/>
        </w:rPr>
        <w:t>）</w:t>
      </w:r>
      <w:r>
        <w:rPr>
          <w:rFonts w:hint="eastAsia"/>
          <w:color w:val="000000" w:themeColor="text1"/>
          <w:highlight w:val="none"/>
        </w:rPr>
        <w:t>规定的水体功能区划要求。</w:t>
      </w:r>
    </w:p>
    <w:p w14:paraId="69D28E6C">
      <w:pPr>
        <w:bidi w:val="0"/>
        <w:spacing w:line="360" w:lineRule="auto"/>
        <w:rPr>
          <w:color w:val="000000" w:themeColor="text1"/>
          <w:highlight w:val="none"/>
        </w:rPr>
      </w:pPr>
      <w:r>
        <w:rPr>
          <w:rFonts w:hint="eastAsia"/>
          <w:color w:val="000000" w:themeColor="text1"/>
          <w:highlight w:val="none"/>
        </w:rPr>
        <w:t>本项目为公路建设项目</w:t>
      </w:r>
      <w:r>
        <w:rPr>
          <w:rFonts w:hint="eastAsia"/>
          <w:color w:val="000000" w:themeColor="text1"/>
          <w:highlight w:val="none"/>
          <w:lang w:eastAsia="zh-CN"/>
        </w:rPr>
        <w:t>，</w:t>
      </w:r>
      <w:r>
        <w:rPr>
          <w:rFonts w:hint="eastAsia"/>
          <w:color w:val="000000" w:themeColor="text1"/>
          <w:highlight w:val="none"/>
        </w:rPr>
        <w:t>非高耗水性项目，</w:t>
      </w:r>
      <w:r>
        <w:rPr>
          <w:rFonts w:hint="eastAsia"/>
          <w:color w:val="000000" w:themeColor="text1"/>
          <w:highlight w:val="none"/>
          <w:lang w:val="en-US" w:eastAsia="zh-CN"/>
        </w:rPr>
        <w:t>运营期无生产废水和生活污水产生，不直接向地表水体排放废水</w:t>
      </w:r>
      <w:r>
        <w:rPr>
          <w:rFonts w:hint="eastAsia"/>
          <w:color w:val="000000" w:themeColor="text1"/>
          <w:highlight w:val="none"/>
        </w:rPr>
        <w:t>，对周围水环境影响较小</w:t>
      </w:r>
      <w:r>
        <w:rPr>
          <w:color w:val="000000" w:themeColor="text1"/>
          <w:highlight w:val="none"/>
        </w:rPr>
        <w:t>。</w:t>
      </w:r>
      <w:r>
        <w:rPr>
          <w:rFonts w:hint="eastAsia"/>
          <w:color w:val="000000" w:themeColor="text1"/>
          <w:highlight w:val="none"/>
        </w:rPr>
        <w:t>本项目在施工期及运营期采取一系列的防控措施，保证污水做到合理处置，达标排放。本项目的建设不会突破区域水环境质量底线。</w:t>
      </w:r>
    </w:p>
    <w:p w14:paraId="6C0A1026">
      <w:pPr>
        <w:bidi w:val="0"/>
        <w:spacing w:line="360" w:lineRule="auto"/>
        <w:rPr>
          <w:color w:val="000000" w:themeColor="text1"/>
          <w:highlight w:val="none"/>
        </w:rPr>
      </w:pPr>
      <w:r>
        <w:rPr>
          <w:color w:val="000000" w:themeColor="text1"/>
          <w:highlight w:val="none"/>
        </w:rPr>
        <w:t>3</w:t>
      </w:r>
      <w:r>
        <w:rPr>
          <w:rFonts w:hint="eastAsia"/>
          <w:color w:val="000000" w:themeColor="text1"/>
          <w:highlight w:val="none"/>
        </w:rPr>
        <w:t>、</w:t>
      </w:r>
      <w:r>
        <w:rPr>
          <w:rFonts w:hint="eastAsia"/>
          <w:color w:val="000000" w:themeColor="text1"/>
          <w:highlight w:val="none"/>
          <w:lang w:val="en-US" w:eastAsia="zh-CN"/>
        </w:rPr>
        <w:t>声环境</w:t>
      </w:r>
    </w:p>
    <w:p w14:paraId="3E5496B9">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根据现状监测结果，沿线声环境昼间及夜间噪声值均满足《声环境质量标准》（GB3096-2008）2类标准。</w:t>
      </w:r>
    </w:p>
    <w:p w14:paraId="4C795C71">
      <w:pPr>
        <w:bidi w:val="0"/>
        <w:spacing w:line="360" w:lineRule="auto"/>
        <w:rPr>
          <w:color w:val="000000" w:themeColor="text1"/>
          <w:highlight w:val="none"/>
        </w:rPr>
      </w:pPr>
      <w:r>
        <w:rPr>
          <w:rFonts w:hint="eastAsia"/>
          <w:color w:val="000000" w:themeColor="text1"/>
          <w:highlight w:val="none"/>
          <w:lang w:val="en-US" w:eastAsia="zh-CN"/>
        </w:rPr>
        <w:t>运营期</w:t>
      </w:r>
      <w:r>
        <w:rPr>
          <w:rFonts w:hint="eastAsia"/>
          <w:color w:val="000000" w:themeColor="text1"/>
          <w:highlight w:val="none"/>
          <w:lang w:eastAsia="zh-CN"/>
        </w:rPr>
        <w:t>经预测</w:t>
      </w:r>
      <w:r>
        <w:rPr>
          <w:rFonts w:hint="eastAsia"/>
          <w:color w:val="000000" w:themeColor="text1"/>
          <w:highlight w:val="none"/>
          <w:lang w:val="en-US" w:eastAsia="zh-CN"/>
        </w:rPr>
        <w:t>近期、中期及</w:t>
      </w:r>
      <w:r>
        <w:rPr>
          <w:rFonts w:hint="eastAsia"/>
          <w:color w:val="000000" w:themeColor="text1"/>
          <w:highlight w:val="none"/>
          <w:lang w:eastAsia="zh-CN"/>
        </w:rPr>
        <w:t>远期</w:t>
      </w:r>
      <w:r>
        <w:rPr>
          <w:rFonts w:hint="eastAsia"/>
          <w:color w:val="000000" w:themeColor="text1"/>
          <w:highlight w:val="none"/>
        </w:rPr>
        <w:t>声环境</w:t>
      </w:r>
      <w:r>
        <w:rPr>
          <w:rFonts w:hint="eastAsia"/>
          <w:color w:val="000000" w:themeColor="text1"/>
          <w:highlight w:val="none"/>
          <w:lang w:val="en-US" w:eastAsia="zh-CN"/>
        </w:rPr>
        <w:t>采取一定措施后均</w:t>
      </w:r>
      <w:r>
        <w:rPr>
          <w:rFonts w:hint="eastAsia"/>
          <w:color w:val="000000" w:themeColor="text1"/>
          <w:highlight w:val="none"/>
        </w:rPr>
        <w:t>能够满足《声环境质量标准》（GB3096-2008）中相应4a类、</w:t>
      </w:r>
      <w:r>
        <w:rPr>
          <w:rFonts w:hint="eastAsia"/>
          <w:color w:val="000000" w:themeColor="text1"/>
          <w:highlight w:val="none"/>
          <w:lang w:val="en-US" w:eastAsia="zh-CN"/>
        </w:rPr>
        <w:t>2</w:t>
      </w:r>
      <w:r>
        <w:rPr>
          <w:rFonts w:hint="eastAsia"/>
          <w:color w:val="000000" w:themeColor="text1"/>
          <w:highlight w:val="none"/>
        </w:rPr>
        <w:t>类标准</w:t>
      </w:r>
      <w:r>
        <w:rPr>
          <w:rFonts w:hint="eastAsia"/>
          <w:color w:val="000000" w:themeColor="text1"/>
          <w:highlight w:val="none"/>
          <w:lang w:val="en-US" w:eastAsia="zh-CN"/>
        </w:rPr>
        <w:t>及</w:t>
      </w:r>
      <w:r>
        <w:rPr>
          <w:rFonts w:hint="eastAsia" w:ascii="Times New Roman" w:eastAsia="宋体"/>
          <w:snapToGrid w:val="0"/>
          <w:color w:val="000000" w:themeColor="text1"/>
          <w:highlight w:val="none"/>
          <w:lang w:val="en-US" w:eastAsia="zh-CN"/>
        </w:rPr>
        <w:t>《机场周围飞机噪声环境标准》（GB9660-88）二类区域的标准</w:t>
      </w:r>
      <w:r>
        <w:rPr>
          <w:rFonts w:hint="eastAsia"/>
          <w:color w:val="000000" w:themeColor="text1"/>
          <w:highlight w:val="none"/>
          <w:lang w:eastAsia="zh-CN"/>
        </w:rPr>
        <w:t>，</w:t>
      </w:r>
      <w:r>
        <w:rPr>
          <w:rFonts w:hint="eastAsia"/>
          <w:color w:val="000000" w:themeColor="text1"/>
          <w:highlight w:val="none"/>
        </w:rPr>
        <w:t>本项目的建设不会突破区域</w:t>
      </w:r>
      <w:r>
        <w:rPr>
          <w:rFonts w:hint="eastAsia"/>
          <w:color w:val="000000" w:themeColor="text1"/>
          <w:highlight w:val="none"/>
          <w:lang w:val="en-US" w:eastAsia="zh-CN"/>
        </w:rPr>
        <w:t>声</w:t>
      </w:r>
      <w:r>
        <w:rPr>
          <w:rFonts w:hint="eastAsia"/>
          <w:color w:val="000000" w:themeColor="text1"/>
          <w:highlight w:val="none"/>
        </w:rPr>
        <w:t>环境质量底线。</w:t>
      </w:r>
    </w:p>
    <w:p w14:paraId="01C55FFB">
      <w:pPr>
        <w:bidi w:val="0"/>
        <w:spacing w:line="360" w:lineRule="auto"/>
        <w:rPr>
          <w:color w:val="000000" w:themeColor="text1"/>
          <w:highlight w:val="none"/>
        </w:rPr>
      </w:pPr>
      <w:r>
        <w:rPr>
          <w:rFonts w:hint="eastAsia"/>
          <w:color w:val="000000" w:themeColor="text1"/>
          <w:highlight w:val="none"/>
          <w:lang w:val="en-US" w:eastAsia="zh-CN"/>
        </w:rPr>
        <w:t>③</w:t>
      </w:r>
      <w:r>
        <w:rPr>
          <w:color w:val="000000" w:themeColor="text1"/>
          <w:highlight w:val="none"/>
        </w:rPr>
        <w:t>资源利用上线符合性</w:t>
      </w:r>
    </w:p>
    <w:p w14:paraId="099920B4">
      <w:pPr>
        <w:bidi w:val="0"/>
        <w:spacing w:line="360" w:lineRule="auto"/>
        <w:rPr>
          <w:color w:val="000000" w:themeColor="text1"/>
          <w:highlight w:val="none"/>
        </w:rPr>
      </w:pPr>
      <w:r>
        <w:rPr>
          <w:rFonts w:hint="eastAsia"/>
          <w:color w:val="000000" w:themeColor="text1"/>
          <w:highlight w:val="none"/>
        </w:rPr>
        <w:t>本项目为</w:t>
      </w:r>
      <w:r>
        <w:rPr>
          <w:rFonts w:hint="eastAsia"/>
          <w:color w:val="000000" w:themeColor="text1"/>
          <w:highlight w:val="none"/>
          <w:lang w:val="en-US" w:eastAsia="zh-CN"/>
        </w:rPr>
        <w:t>新建黑龙江鹤岗机场场外配套工程（机场进场路建设工程）项目</w:t>
      </w:r>
      <w:r>
        <w:rPr>
          <w:rFonts w:hint="eastAsia"/>
          <w:color w:val="000000" w:themeColor="text1"/>
          <w:highlight w:val="none"/>
        </w:rPr>
        <w:t>，为交通运输业，不属于高耗水工业项目及服务业项目。</w:t>
      </w:r>
      <w:r>
        <w:rPr>
          <w:color w:val="000000" w:themeColor="text1"/>
          <w:highlight w:val="none"/>
        </w:rPr>
        <w:t>本项目</w:t>
      </w:r>
      <w:r>
        <w:rPr>
          <w:rFonts w:hint="eastAsia"/>
          <w:color w:val="000000" w:themeColor="text1"/>
          <w:highlight w:val="none"/>
          <w:lang w:val="en-US" w:eastAsia="zh-CN"/>
        </w:rPr>
        <w:t>不设</w:t>
      </w:r>
      <w:r>
        <w:rPr>
          <w:color w:val="000000" w:themeColor="text1"/>
          <w:highlight w:val="none"/>
        </w:rPr>
        <w:t>服务区、收费站</w:t>
      </w:r>
      <w:r>
        <w:rPr>
          <w:rFonts w:hint="eastAsia"/>
          <w:color w:val="000000" w:themeColor="text1"/>
          <w:highlight w:val="none"/>
          <w:lang w:val="en-US" w:eastAsia="zh-CN"/>
        </w:rPr>
        <w:t>和养护工区</w:t>
      </w:r>
      <w:r>
        <w:rPr>
          <w:color w:val="000000" w:themeColor="text1"/>
          <w:highlight w:val="none"/>
        </w:rPr>
        <w:t>，</w:t>
      </w:r>
      <w:r>
        <w:rPr>
          <w:rFonts w:hint="eastAsia"/>
          <w:color w:val="000000" w:themeColor="text1"/>
          <w:highlight w:val="none"/>
          <w:lang w:val="en-US" w:eastAsia="zh-CN"/>
        </w:rPr>
        <w:t>运营期无用水量</w:t>
      </w:r>
      <w:r>
        <w:rPr>
          <w:color w:val="000000" w:themeColor="text1"/>
          <w:highlight w:val="none"/>
        </w:rPr>
        <w:t>，本项目不会</w:t>
      </w:r>
      <w:r>
        <w:rPr>
          <w:rFonts w:hint="eastAsia"/>
          <w:color w:val="000000" w:themeColor="text1"/>
          <w:highlight w:val="none"/>
        </w:rPr>
        <w:t>突破</w:t>
      </w:r>
      <w:r>
        <w:rPr>
          <w:color w:val="000000" w:themeColor="text1"/>
          <w:highlight w:val="none"/>
        </w:rPr>
        <w:t>区域</w:t>
      </w:r>
      <w:r>
        <w:rPr>
          <w:rFonts w:hint="eastAsia"/>
          <w:color w:val="000000" w:themeColor="text1"/>
          <w:highlight w:val="none"/>
        </w:rPr>
        <w:t>水资源利用上线。</w:t>
      </w:r>
    </w:p>
    <w:p w14:paraId="66C4C326">
      <w:pPr>
        <w:bidi w:val="0"/>
        <w:spacing w:line="360" w:lineRule="auto"/>
        <w:rPr>
          <w:rFonts w:hint="eastAsia"/>
          <w:color w:val="000000" w:themeColor="text1"/>
          <w:highlight w:val="none"/>
        </w:rPr>
      </w:pPr>
      <w:r>
        <w:rPr>
          <w:rFonts w:hint="eastAsia"/>
          <w:color w:val="000000" w:themeColor="text1"/>
          <w:highlight w:val="none"/>
        </w:rPr>
        <w:t>本项目占用永久基本农田，</w:t>
      </w:r>
      <w:r>
        <w:rPr>
          <w:rFonts w:hint="eastAsia"/>
          <w:color w:val="000000" w:themeColor="text1"/>
          <w:highlight w:val="none"/>
          <w:lang w:val="en-US" w:eastAsia="zh-CN"/>
        </w:rPr>
        <w:t>根据</w:t>
      </w:r>
      <w:r>
        <w:rPr>
          <w:rFonts w:hint="eastAsia"/>
          <w:color w:val="000000" w:themeColor="text1"/>
          <w:highlight w:val="none"/>
        </w:rPr>
        <w:t>《自然资源部办公厅关于新建黑龙江鹤岗机场项目建设用地预审意见的函</w:t>
      </w:r>
      <w:r>
        <w:rPr>
          <w:rFonts w:hint="eastAsia"/>
          <w:color w:val="000000" w:themeColor="text1"/>
          <w:highlight w:val="none"/>
          <w:lang w:eastAsia="zh-CN"/>
        </w:rPr>
        <w:t>》</w:t>
      </w:r>
      <w:r>
        <w:rPr>
          <w:rFonts w:hint="eastAsia"/>
          <w:color w:val="000000" w:themeColor="text1"/>
          <w:highlight w:val="none"/>
        </w:rPr>
        <w:t>（自然资办函〔202</w:t>
      </w:r>
      <w:r>
        <w:rPr>
          <w:rFonts w:hint="eastAsia"/>
          <w:color w:val="000000" w:themeColor="text1"/>
          <w:highlight w:val="none"/>
          <w:lang w:val="en-US" w:eastAsia="zh-CN"/>
        </w:rPr>
        <w:t>3</w:t>
      </w:r>
      <w:r>
        <w:rPr>
          <w:rFonts w:hint="eastAsia"/>
          <w:color w:val="000000" w:themeColor="text1"/>
          <w:highlight w:val="none"/>
        </w:rPr>
        <w:t>〕1655号）</w:t>
      </w:r>
      <w:r>
        <w:rPr>
          <w:rFonts w:hint="eastAsia"/>
          <w:color w:val="000000" w:themeColor="text1"/>
          <w:highlight w:val="none"/>
          <w:lang w:val="en-US" w:eastAsia="zh-CN"/>
        </w:rPr>
        <w:t>及机场环评</w:t>
      </w:r>
      <w:r>
        <w:rPr>
          <w:rFonts w:hint="eastAsia"/>
          <w:color w:val="000000" w:themeColor="text1"/>
          <w:highlight w:val="none"/>
          <w:lang w:eastAsia="zh-CN"/>
        </w:rPr>
        <w:t>，</w:t>
      </w:r>
      <w:r>
        <w:rPr>
          <w:rFonts w:hint="eastAsia"/>
          <w:color w:val="000000" w:themeColor="text1"/>
          <w:highlight w:val="none"/>
          <w:lang w:val="en-US" w:eastAsia="zh-CN"/>
        </w:rPr>
        <w:t>新建黑龙江鹤岗机场项目共占用永久基本农田31.64公顷，其中进场道路占用永久基本农田9.9014公顷</w:t>
      </w:r>
      <w:r>
        <w:rPr>
          <w:rFonts w:hint="eastAsia"/>
          <w:color w:val="000000" w:themeColor="text1"/>
          <w:highlight w:val="none"/>
          <w:lang w:eastAsia="zh-CN"/>
        </w:rPr>
        <w:t>。</w:t>
      </w:r>
      <w:r>
        <w:rPr>
          <w:rFonts w:hint="eastAsia"/>
          <w:color w:val="000000" w:themeColor="text1"/>
          <w:highlight w:val="none"/>
          <w:lang w:val="en-US" w:eastAsia="zh-CN"/>
        </w:rPr>
        <w:t>在项目施工图设计过程中，根据实际情况，核算出用地面积约为191083m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其中永久基本农田120213m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），项目新增永久基本农田21199m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，征占手续正在办理中。</w:t>
      </w:r>
      <w:r>
        <w:rPr>
          <w:rFonts w:hint="eastAsia"/>
          <w:color w:val="000000" w:themeColor="text1"/>
          <w:highlight w:val="none"/>
        </w:rPr>
        <w:t>同时根据</w:t>
      </w:r>
      <w:r>
        <w:rPr>
          <w:rFonts w:hint="eastAsia"/>
          <w:color w:val="000000" w:themeColor="text1"/>
          <w:highlight w:val="none"/>
          <w:lang w:eastAsia="zh-CN"/>
        </w:rPr>
        <w:t>“</w:t>
      </w:r>
      <w:r>
        <w:rPr>
          <w:rFonts w:hint="eastAsia"/>
          <w:color w:val="000000" w:themeColor="text1"/>
          <w:highlight w:val="none"/>
        </w:rPr>
        <w:t>占多少，垦多少</w:t>
      </w:r>
      <w:r>
        <w:rPr>
          <w:rFonts w:hint="eastAsia"/>
          <w:color w:val="000000" w:themeColor="text1"/>
          <w:highlight w:val="none"/>
          <w:lang w:eastAsia="zh-CN"/>
        </w:rPr>
        <w:t>”</w:t>
      </w:r>
      <w:r>
        <w:rPr>
          <w:rFonts w:hint="eastAsia"/>
          <w:color w:val="000000" w:themeColor="text1"/>
          <w:highlight w:val="none"/>
        </w:rPr>
        <w:t>和</w:t>
      </w:r>
      <w:r>
        <w:rPr>
          <w:rFonts w:hint="eastAsia"/>
          <w:color w:val="000000" w:themeColor="text1"/>
          <w:highlight w:val="none"/>
          <w:lang w:eastAsia="zh-CN"/>
        </w:rPr>
        <w:t>“</w:t>
      </w:r>
      <w:r>
        <w:rPr>
          <w:rFonts w:hint="eastAsia"/>
          <w:color w:val="000000" w:themeColor="text1"/>
          <w:highlight w:val="none"/>
        </w:rPr>
        <w:t>占优补优、占周边补周边</w:t>
      </w:r>
      <w:r>
        <w:rPr>
          <w:rFonts w:hint="eastAsia"/>
          <w:color w:val="000000" w:themeColor="text1"/>
          <w:highlight w:val="none"/>
          <w:lang w:eastAsia="zh-CN"/>
        </w:rPr>
        <w:t>”</w:t>
      </w:r>
      <w:r>
        <w:rPr>
          <w:rFonts w:hint="eastAsia"/>
          <w:color w:val="000000" w:themeColor="text1"/>
          <w:highlight w:val="none"/>
        </w:rPr>
        <w:t>的原则补划数量和质量相当的永久基本农田。经补划后，不会减少永久基本农田质量和数量。</w:t>
      </w:r>
    </w:p>
    <w:p w14:paraId="14CD41B9">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本项目永久占地共19.1083hm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，其中水田0.6573hm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。建设单位对新增占用的林地、耕地均采取经济补偿措施，林地异地重建、耕地占一补一。因此，本项目对土地利用格局影响较小。</w:t>
      </w:r>
    </w:p>
    <w:p w14:paraId="4B97DC1C">
      <w:pPr>
        <w:bidi w:val="0"/>
        <w:spacing w:line="360" w:lineRule="auto"/>
        <w:rPr>
          <w:color w:val="000000" w:themeColor="text1"/>
          <w:szCs w:val="21"/>
          <w:highlight w:val="none"/>
        </w:rPr>
      </w:pPr>
      <w:r>
        <w:rPr>
          <w:rFonts w:hint="eastAsia"/>
          <w:color w:val="000000" w:themeColor="text1"/>
          <w:highlight w:val="none"/>
        </w:rPr>
        <w:t>综上所述，本项目建设符合区域水资源及土地资源利用上线要求。</w:t>
      </w:r>
    </w:p>
    <w:p w14:paraId="529EA2D0">
      <w:pPr>
        <w:bidi w:val="0"/>
        <w:spacing w:line="360" w:lineRule="auto"/>
        <w:rPr>
          <w:color w:val="000000" w:themeColor="text1"/>
          <w:highlight w:val="none"/>
        </w:rPr>
      </w:pPr>
      <w:r>
        <w:rPr>
          <w:rFonts w:hint="eastAsia"/>
          <w:color w:val="000000" w:themeColor="text1"/>
          <w:highlight w:val="none"/>
        </w:rPr>
        <w:t>④生态</w:t>
      </w:r>
      <w:r>
        <w:rPr>
          <w:color w:val="000000" w:themeColor="text1"/>
          <w:highlight w:val="none"/>
        </w:rPr>
        <w:t>环境准入清单</w:t>
      </w:r>
    </w:p>
    <w:p w14:paraId="50489D48">
      <w:pPr>
        <w:bidi w:val="0"/>
        <w:spacing w:line="360" w:lineRule="auto"/>
        <w:rPr>
          <w:color w:val="000000" w:themeColor="text1"/>
          <w:highlight w:val="none"/>
        </w:rPr>
      </w:pPr>
      <w:r>
        <w:rPr>
          <w:rFonts w:hint="eastAsia"/>
          <w:color w:val="000000" w:themeColor="text1"/>
          <w:highlight w:val="none"/>
        </w:rPr>
        <w:t>根据</w:t>
      </w:r>
      <w:r>
        <w:rPr>
          <w:rFonts w:hint="eastAsia"/>
          <w:color w:val="000000" w:themeColor="text1"/>
          <w:highlight w:val="none"/>
          <w:lang w:val="en-US" w:eastAsia="zh-CN"/>
        </w:rPr>
        <w:t>《黑龙江省人民政府关于实施“三线一单”生态环境分区管控的意见》（黑政发</w:t>
      </w:r>
      <w:r>
        <w:rPr>
          <w:rFonts w:hint="eastAsia"/>
          <w:color w:val="000000" w:themeColor="text1"/>
          <w:highlight w:val="none"/>
        </w:rPr>
        <w:t>〔202</w:t>
      </w:r>
      <w:r>
        <w:rPr>
          <w:rFonts w:hint="eastAsia"/>
          <w:color w:val="000000" w:themeColor="text1"/>
          <w:highlight w:val="none"/>
          <w:lang w:val="en-US" w:eastAsia="zh-CN"/>
        </w:rPr>
        <w:t>0</w:t>
      </w:r>
      <w:r>
        <w:rPr>
          <w:rFonts w:hint="eastAsia"/>
          <w:color w:val="000000" w:themeColor="text1"/>
          <w:highlight w:val="none"/>
        </w:rPr>
        <w:t>〕</w:t>
      </w:r>
      <w:r>
        <w:rPr>
          <w:rFonts w:hint="eastAsia"/>
          <w:color w:val="000000" w:themeColor="text1"/>
          <w:highlight w:val="none"/>
          <w:lang w:val="en-US" w:eastAsia="zh-CN"/>
        </w:rPr>
        <w:t>14号）</w:t>
      </w:r>
      <w:r>
        <w:rPr>
          <w:rFonts w:hint="eastAsia"/>
          <w:color w:val="000000" w:themeColor="text1"/>
          <w:highlight w:val="none"/>
        </w:rPr>
        <w:t>、《</w:t>
      </w:r>
      <w:r>
        <w:rPr>
          <w:rFonts w:hint="eastAsia"/>
          <w:color w:val="000000" w:themeColor="text1"/>
          <w:highlight w:val="none"/>
          <w:lang w:eastAsia="zh-CN"/>
        </w:rPr>
        <w:t>鹤岗市</w:t>
      </w:r>
      <w:r>
        <w:rPr>
          <w:rFonts w:hint="eastAsia"/>
          <w:color w:val="000000" w:themeColor="text1"/>
          <w:highlight w:val="none"/>
        </w:rPr>
        <w:t>人民政府关于实施</w:t>
      </w:r>
      <w:r>
        <w:rPr>
          <w:rFonts w:hint="eastAsia"/>
          <w:color w:val="000000" w:themeColor="text1"/>
          <w:highlight w:val="none"/>
          <w:lang w:eastAsia="zh-CN"/>
        </w:rPr>
        <w:t>“</w:t>
      </w:r>
      <w:r>
        <w:rPr>
          <w:rFonts w:hint="eastAsia"/>
          <w:color w:val="000000" w:themeColor="text1"/>
          <w:highlight w:val="none"/>
        </w:rPr>
        <w:t>三线一单</w:t>
      </w:r>
      <w:r>
        <w:rPr>
          <w:rFonts w:hint="eastAsia"/>
          <w:color w:val="000000" w:themeColor="text1"/>
          <w:highlight w:val="none"/>
          <w:lang w:eastAsia="zh-CN"/>
        </w:rPr>
        <w:t>”</w:t>
      </w:r>
      <w:r>
        <w:rPr>
          <w:rFonts w:hint="eastAsia"/>
          <w:color w:val="000000" w:themeColor="text1"/>
          <w:highlight w:val="none"/>
        </w:rPr>
        <w:t>生态环境分区管控的意见》（</w:t>
      </w:r>
      <w:r>
        <w:rPr>
          <w:rFonts w:hint="eastAsia"/>
          <w:color w:val="000000" w:themeColor="text1"/>
          <w:highlight w:val="none"/>
          <w:lang w:eastAsia="zh-CN"/>
        </w:rPr>
        <w:t>鹤政发</w:t>
      </w:r>
      <w:r>
        <w:rPr>
          <w:rFonts w:hint="eastAsia"/>
          <w:color w:val="000000" w:themeColor="text1"/>
          <w:highlight w:val="none"/>
        </w:rPr>
        <w:t>〔2021〕</w:t>
      </w:r>
      <w:r>
        <w:rPr>
          <w:rFonts w:hint="eastAsia"/>
          <w:color w:val="000000" w:themeColor="text1"/>
          <w:highlight w:val="none"/>
          <w:lang w:val="en-US" w:eastAsia="zh-CN"/>
        </w:rPr>
        <w:t>6</w:t>
      </w:r>
      <w:r>
        <w:rPr>
          <w:rFonts w:hint="eastAsia"/>
          <w:color w:val="000000" w:themeColor="text1"/>
          <w:highlight w:val="none"/>
        </w:rPr>
        <w:t>号）</w:t>
      </w:r>
      <w:r>
        <w:rPr>
          <w:rFonts w:hint="eastAsia"/>
          <w:color w:val="000000" w:themeColor="text1"/>
          <w:highlight w:val="none"/>
          <w:lang w:val="en-US" w:eastAsia="zh-CN"/>
        </w:rPr>
        <w:t>及《关于印发鹤岗市生态环境准入清单（2023年版）的通知》（2024年2月22日）</w:t>
      </w:r>
      <w:r>
        <w:rPr>
          <w:color w:val="000000" w:themeColor="text1"/>
          <w:highlight w:val="none"/>
        </w:rPr>
        <w:t>，</w:t>
      </w:r>
      <w:r>
        <w:rPr>
          <w:rFonts w:hint="eastAsia"/>
          <w:color w:val="000000" w:themeColor="text1"/>
          <w:highlight w:val="none"/>
          <w:lang w:val="en-US" w:eastAsia="zh-CN"/>
        </w:rPr>
        <w:t>本项目位于鹤岗市东山区一般管控单元，本项目与鹤岗市环境管控单元图位置关系见图1.5-4，本项目与鹤岗市地下水环境管控区要求符合性分析见</w:t>
      </w:r>
      <w:r>
        <w:rPr>
          <w:color w:val="000000" w:themeColor="text1"/>
          <w:highlight w:val="none"/>
        </w:rPr>
        <w:t>表</w:t>
      </w:r>
      <w:r>
        <w:rPr>
          <w:rFonts w:hint="eastAsia"/>
          <w:color w:val="000000" w:themeColor="text1"/>
          <w:highlight w:val="none"/>
          <w:lang w:val="en-US" w:eastAsia="zh-CN"/>
        </w:rPr>
        <w:t>1.5-7，本项目与鹤岗市生态环境准入清单符合性分析见表1.5-8</w:t>
      </w:r>
      <w:r>
        <w:rPr>
          <w:color w:val="000000" w:themeColor="text1"/>
          <w:highlight w:val="none"/>
        </w:rPr>
        <w:t>。</w:t>
      </w:r>
    </w:p>
    <w:p w14:paraId="05E4D980">
      <w:pPr>
        <w:pStyle w:val="42"/>
        <w:pageBreakBefore w:val="0"/>
        <w:wordWrap/>
        <w:topLinePunct w:val="0"/>
        <w:bidi w:val="0"/>
        <w:spacing w:line="360" w:lineRule="auto"/>
        <w:jc w:val="center"/>
        <w:rPr>
          <w:rFonts w:ascii="Times New Roman" w:eastAsia="宋体"/>
          <w:b/>
          <w:color w:val="000000" w:themeColor="text1"/>
          <w:kern w:val="2"/>
          <w:highlight w:val="none"/>
        </w:rPr>
      </w:pPr>
      <w:r>
        <w:rPr>
          <w:rFonts w:hint="eastAsia" w:ascii="Times New Roman" w:eastAsia="宋体"/>
          <w:b/>
          <w:color w:val="000000" w:themeColor="text1"/>
          <w:kern w:val="2"/>
          <w:highlight w:val="none"/>
        </w:rPr>
        <w:t>表</w:t>
      </w:r>
      <w:r>
        <w:rPr>
          <w:rFonts w:hint="eastAsia" w:ascii="Times New Roman" w:eastAsia="宋体"/>
          <w:b/>
          <w:color w:val="000000" w:themeColor="text1"/>
          <w:kern w:val="2"/>
          <w:highlight w:val="none"/>
          <w:lang w:val="en-US" w:eastAsia="zh-CN"/>
        </w:rPr>
        <w:t>1.5</w:t>
      </w:r>
      <w:r>
        <w:rPr>
          <w:rFonts w:ascii="Times New Roman" w:eastAsia="宋体"/>
          <w:b/>
          <w:color w:val="000000" w:themeColor="text1"/>
          <w:kern w:val="2"/>
          <w:highlight w:val="none"/>
        </w:rPr>
        <w:t>-</w:t>
      </w:r>
      <w:r>
        <w:rPr>
          <w:rFonts w:hint="eastAsia" w:ascii="Times New Roman" w:eastAsia="宋体"/>
          <w:b/>
          <w:color w:val="000000" w:themeColor="text1"/>
          <w:kern w:val="2"/>
          <w:highlight w:val="none"/>
          <w:lang w:val="en-US" w:eastAsia="zh-CN"/>
        </w:rPr>
        <w:t>7</w:t>
      </w:r>
      <w:r>
        <w:rPr>
          <w:rFonts w:ascii="Times New Roman" w:eastAsia="宋体"/>
          <w:b/>
          <w:color w:val="000000" w:themeColor="text1"/>
          <w:kern w:val="2"/>
          <w:highlight w:val="none"/>
        </w:rPr>
        <w:t xml:space="preserve"> </w:t>
      </w:r>
      <w:r>
        <w:rPr>
          <w:rFonts w:hint="eastAsia" w:ascii="Times New Roman" w:eastAsia="宋体"/>
          <w:b/>
          <w:color w:val="000000" w:themeColor="text1"/>
          <w:kern w:val="2"/>
          <w:highlight w:val="none"/>
          <w:lang w:val="en-US" w:eastAsia="zh-CN"/>
        </w:rPr>
        <w:t xml:space="preserve"> </w:t>
      </w:r>
      <w:r>
        <w:rPr>
          <w:rFonts w:hint="eastAsia" w:ascii="Times New Roman" w:eastAsia="宋体"/>
          <w:b/>
          <w:color w:val="000000" w:themeColor="text1"/>
          <w:kern w:val="2"/>
          <w:highlight w:val="none"/>
        </w:rPr>
        <w:t>与地下水环境管控区要求符合性分析一览表</w:t>
      </w:r>
    </w:p>
    <w:tbl>
      <w:tblPr>
        <w:tblStyle w:val="33"/>
        <w:tblW w:w="49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72"/>
        <w:gridCol w:w="706"/>
        <w:gridCol w:w="5810"/>
        <w:gridCol w:w="1130"/>
      </w:tblGrid>
      <w:tr w14:paraId="00798F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11" w:type="pct"/>
            <w:tcBorders>
              <w:tl2br w:val="nil"/>
              <w:tr2bl w:val="nil"/>
            </w:tcBorders>
            <w:noWrap w:val="0"/>
            <w:vAlign w:val="center"/>
          </w:tcPr>
          <w:p w14:paraId="44446F2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bidi="zh-CN"/>
              </w:rPr>
            </w:pPr>
            <w:r>
              <w:rPr>
                <w:rFonts w:hint="default" w:ascii="Times New Roman" w:hAnsi="Times New Roman" w:eastAsia="宋体" w:cs="Times New Roman"/>
                <w:color w:val="000000" w:themeColor="text1"/>
                <w:sz w:val="21"/>
                <w:szCs w:val="21"/>
                <w:highlight w:val="none"/>
                <w:lang w:bidi="zh-CN"/>
              </w:rPr>
              <w:t>环境管控</w:t>
            </w:r>
            <w:r>
              <w:rPr>
                <w:rFonts w:hint="eastAsia" w:ascii="Times New Roman" w:hAnsi="Times New Roman" w:eastAsia="宋体" w:cs="Times New Roman"/>
                <w:color w:val="000000" w:themeColor="text1"/>
                <w:sz w:val="21"/>
                <w:szCs w:val="21"/>
                <w:highlight w:val="none"/>
                <w:lang w:val="en-US" w:eastAsia="zh-CN" w:bidi="zh-CN"/>
              </w:rPr>
              <w:t>区</w:t>
            </w:r>
            <w:r>
              <w:rPr>
                <w:rFonts w:hint="default" w:ascii="Times New Roman" w:hAnsi="Times New Roman" w:eastAsia="宋体" w:cs="Times New Roman"/>
                <w:color w:val="000000" w:themeColor="text1"/>
                <w:sz w:val="21"/>
                <w:szCs w:val="21"/>
                <w:highlight w:val="none"/>
                <w:lang w:bidi="zh-CN"/>
              </w:rPr>
              <w:t>编码</w:t>
            </w:r>
          </w:p>
        </w:tc>
        <w:tc>
          <w:tcPr>
            <w:tcW w:w="414" w:type="pct"/>
            <w:tcBorders>
              <w:tl2br w:val="nil"/>
              <w:tr2bl w:val="nil"/>
            </w:tcBorders>
            <w:noWrap w:val="0"/>
            <w:vAlign w:val="center"/>
          </w:tcPr>
          <w:p w14:paraId="7330C23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bidi="zh-CN"/>
              </w:rPr>
            </w:pPr>
            <w:r>
              <w:rPr>
                <w:rFonts w:hint="default" w:ascii="Times New Roman" w:hAnsi="Times New Roman" w:eastAsia="宋体" w:cs="Times New Roman"/>
                <w:color w:val="000000" w:themeColor="text1"/>
                <w:sz w:val="21"/>
                <w:szCs w:val="21"/>
                <w:highlight w:val="none"/>
                <w:lang w:bidi="zh-CN"/>
              </w:rPr>
              <w:t>管控单元类别</w:t>
            </w:r>
          </w:p>
        </w:tc>
        <w:tc>
          <w:tcPr>
            <w:tcW w:w="3410" w:type="pct"/>
            <w:tcBorders>
              <w:tl2br w:val="nil"/>
              <w:tr2bl w:val="nil"/>
            </w:tcBorders>
            <w:noWrap w:val="0"/>
            <w:vAlign w:val="center"/>
          </w:tcPr>
          <w:p w14:paraId="40C1AF4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bidi="zh-CN"/>
              </w:rPr>
            </w:pPr>
            <w:r>
              <w:rPr>
                <w:rFonts w:hint="default" w:ascii="Times New Roman" w:hAnsi="Times New Roman" w:eastAsia="宋体" w:cs="Times New Roman"/>
                <w:color w:val="000000" w:themeColor="text1"/>
                <w:sz w:val="21"/>
                <w:szCs w:val="21"/>
                <w:highlight w:val="none"/>
                <w:lang w:bidi="zh-CN"/>
              </w:rPr>
              <w:t>管控要求</w:t>
            </w:r>
          </w:p>
        </w:tc>
        <w:tc>
          <w:tcPr>
            <w:tcW w:w="663" w:type="pct"/>
            <w:tcBorders>
              <w:tl2br w:val="nil"/>
              <w:tr2bl w:val="nil"/>
            </w:tcBorders>
            <w:noWrap w:val="0"/>
            <w:vAlign w:val="center"/>
          </w:tcPr>
          <w:p w14:paraId="3116550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bidi="zh-CN"/>
              </w:rPr>
            </w:pPr>
            <w:r>
              <w:rPr>
                <w:rFonts w:hint="default" w:ascii="Times New Roman" w:hAnsi="Times New Roman" w:eastAsia="宋体" w:cs="Times New Roman"/>
                <w:color w:val="000000" w:themeColor="text1"/>
                <w:sz w:val="21"/>
                <w:szCs w:val="21"/>
                <w:highlight w:val="none"/>
                <w:lang w:bidi="zh-CN"/>
              </w:rPr>
              <w:t>符合性分析</w:t>
            </w:r>
          </w:p>
        </w:tc>
      </w:tr>
      <w:tr w14:paraId="3DF4FE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11" w:type="pct"/>
            <w:tcBorders>
              <w:tl2br w:val="nil"/>
              <w:tr2bl w:val="nil"/>
            </w:tcBorders>
            <w:noWrap w:val="0"/>
            <w:vAlign w:val="center"/>
          </w:tcPr>
          <w:p w14:paraId="3919478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bidi="zh-CN"/>
              </w:rPr>
            </w:pPr>
            <w:r>
              <w:rPr>
                <w:rFonts w:hint="eastAsia" w:ascii="Times New Roman" w:hAnsi="Times New Roman" w:eastAsia="宋体" w:cs="Times New Roman"/>
                <w:color w:val="000000" w:themeColor="text1"/>
                <w:sz w:val="21"/>
                <w:szCs w:val="21"/>
                <w:highlight w:val="none"/>
                <w:lang w:val="en-US" w:eastAsia="zh-CN" w:bidi="zh-CN"/>
              </w:rPr>
              <w:t>YS2304066310001</w:t>
            </w:r>
          </w:p>
        </w:tc>
        <w:tc>
          <w:tcPr>
            <w:tcW w:w="414" w:type="pct"/>
            <w:tcBorders>
              <w:tl2br w:val="nil"/>
              <w:tr2bl w:val="nil"/>
            </w:tcBorders>
            <w:noWrap w:val="0"/>
            <w:vAlign w:val="center"/>
          </w:tcPr>
          <w:p w14:paraId="3C702CA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bidi="zh-CN"/>
              </w:rPr>
            </w:pPr>
            <w:r>
              <w:rPr>
                <w:rFonts w:hint="eastAsia" w:ascii="Times New Roman" w:hAnsi="Times New Roman" w:eastAsia="宋体" w:cs="Times New Roman"/>
                <w:color w:val="000000" w:themeColor="text1"/>
                <w:sz w:val="21"/>
                <w:szCs w:val="21"/>
                <w:highlight w:val="none"/>
                <w:lang w:val="en-US" w:eastAsia="zh-CN" w:bidi="zh-CN"/>
              </w:rPr>
              <w:t>鹤岗市东山区地下水环境一般管控区</w:t>
            </w:r>
          </w:p>
        </w:tc>
        <w:tc>
          <w:tcPr>
            <w:tcW w:w="3410" w:type="pct"/>
            <w:tcBorders>
              <w:tl2br w:val="nil"/>
              <w:tr2bl w:val="nil"/>
            </w:tcBorders>
            <w:noWrap w:val="0"/>
            <w:vAlign w:val="center"/>
          </w:tcPr>
          <w:p w14:paraId="09A8E71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bidi="zh-CN"/>
              </w:rPr>
            </w:pPr>
            <w:r>
              <w:rPr>
                <w:rFonts w:hint="default" w:ascii="Times New Roman" w:hAnsi="Times New Roman" w:eastAsia="宋体" w:cs="Times New Roman"/>
                <w:color w:val="000000" w:themeColor="text1"/>
                <w:sz w:val="21"/>
                <w:szCs w:val="21"/>
                <w:highlight w:val="none"/>
                <w:lang w:val="en-US" w:eastAsia="zh-CN" w:bidi="zh-CN"/>
              </w:rPr>
              <w:t>环境风险防控</w:t>
            </w:r>
          </w:p>
          <w:p w14:paraId="5A4EA0F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bidi="zh-CN"/>
              </w:rPr>
            </w:pPr>
            <w:r>
              <w:rPr>
                <w:rFonts w:hint="default" w:ascii="Times New Roman" w:hAnsi="Times New Roman" w:eastAsia="宋体" w:cs="Times New Roman"/>
                <w:color w:val="000000" w:themeColor="text1"/>
                <w:sz w:val="21"/>
                <w:szCs w:val="21"/>
                <w:highlight w:val="none"/>
                <w:lang w:val="en-US" w:eastAsia="zh-CN" w:bidi="zh-CN"/>
              </w:rPr>
              <w:t>1.土壤污染重点监管单位应当履行下列义务</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一</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严格控制有毒有害物质排放，并按年度向生态环境主管部门报告排放情况</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二</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建立土壤污染隐患排查制度，保证持续有效防止有毒有害物质渗漏、流失、扬散</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三</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制定、实施自行监测方案，并将监测数据报生态环境主管部门。2.重点单位新、改、扩建项目地下储罐储存有毒有害物质的，应当在项目投入生产或者使用之前，将地下储罐的信息报所在地设区的市级生态环境主管部门备案。3.重点单位应当建立土壤和地下水污染隐患排查治理制度，定期对重点区域、重点设施开展隐患排查。发现污染隐患的，应当制定整改方案，及时采取技术、管理措施消除隐患。隐患排查、治理情况应当如实记录并建立档案。重点区域包括涉及有毒有害物质的生产区，原材料及固体废物的堆存区、储放区和转运区等</w:t>
            </w:r>
            <w:r>
              <w:rPr>
                <w:rFonts w:hint="eastAsia" w:ascii="Times New Roman" w:hAnsi="Times New Roman" w:eastAsia="宋体" w:cs="Times New Roman"/>
                <w:color w:val="000000" w:themeColor="text1"/>
                <w:sz w:val="21"/>
                <w:szCs w:val="21"/>
                <w:highlight w:val="none"/>
                <w:lang w:val="en-US" w:eastAsia="zh-CN" w:bidi="zh-CN"/>
              </w:rPr>
              <w:t>；</w:t>
            </w:r>
            <w:r>
              <w:rPr>
                <w:rFonts w:hint="default" w:ascii="Times New Roman" w:hAnsi="Times New Roman" w:eastAsia="宋体" w:cs="Times New Roman"/>
                <w:color w:val="000000" w:themeColor="text1"/>
                <w:sz w:val="21"/>
                <w:szCs w:val="21"/>
                <w:highlight w:val="none"/>
                <w:lang w:val="en-US" w:eastAsia="zh-CN" w:bidi="zh-CN"/>
              </w:rPr>
              <w:t>重点设施包括涉及有毒有害物质的地下储罐、地下管线，以及污染治理设施等。4.化学品生产企业以及工业集聚区、矿山开采区、尾矿库、危险废物处置场、垃圾填埋场等的运营、管理单位，应当采取防渗漏等措施，并建设地下水水质监测井进行监测，防止地下水污染。5.重点单位通过新、改、扩建项目的土壤和地下水环境现状调查，发现项目用地污染物含量超过国家或者地方有关建设用地土壤污染风险管控标准的，土地使用权人或者污染责任人应当参照污染地块土壤环境管理有关规定开展详细调查、风险评估、风险管控、治理与修复等活动。</w:t>
            </w:r>
          </w:p>
        </w:tc>
        <w:tc>
          <w:tcPr>
            <w:tcW w:w="663" w:type="pct"/>
            <w:tcBorders>
              <w:tl2br w:val="nil"/>
              <w:tr2bl w:val="nil"/>
            </w:tcBorders>
            <w:noWrap w:val="0"/>
            <w:vAlign w:val="center"/>
          </w:tcPr>
          <w:p w14:paraId="546660F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bidi="zh-CN"/>
              </w:rPr>
            </w:pPr>
            <w:r>
              <w:rPr>
                <w:rFonts w:hint="default" w:ascii="Times New Roman" w:hAnsi="Times New Roman" w:eastAsia="宋体" w:cs="Times New Roman"/>
                <w:color w:val="000000" w:themeColor="text1"/>
                <w:sz w:val="21"/>
                <w:szCs w:val="21"/>
                <w:highlight w:val="none"/>
                <w:lang w:val="en-US" w:eastAsia="zh-CN" w:bidi="zh-CN"/>
              </w:rPr>
              <w:t>本项目为</w:t>
            </w:r>
            <w:r>
              <w:rPr>
                <w:rFonts w:hint="eastAsia" w:ascii="Times New Roman" w:hAnsi="Times New Roman" w:eastAsia="宋体" w:cs="Times New Roman"/>
                <w:color w:val="000000" w:themeColor="text1"/>
                <w:sz w:val="21"/>
                <w:szCs w:val="21"/>
                <w:highlight w:val="none"/>
                <w:lang w:val="en-US" w:eastAsia="zh-CN" w:bidi="zh-CN"/>
              </w:rPr>
              <w:t>公路建设项目</w:t>
            </w:r>
            <w:r>
              <w:rPr>
                <w:rFonts w:hint="default" w:ascii="Times New Roman" w:hAnsi="Times New Roman" w:eastAsia="宋体" w:cs="Times New Roman"/>
                <w:color w:val="000000" w:themeColor="text1"/>
                <w:sz w:val="21"/>
                <w:szCs w:val="21"/>
                <w:highlight w:val="none"/>
                <w:lang w:val="en-US" w:eastAsia="zh-CN" w:bidi="zh-CN"/>
              </w:rPr>
              <w:t>，不</w:t>
            </w:r>
            <w:r>
              <w:rPr>
                <w:rFonts w:hint="eastAsia" w:ascii="Times New Roman" w:hAnsi="Times New Roman" w:eastAsia="宋体" w:cs="Times New Roman"/>
                <w:color w:val="000000" w:themeColor="text1"/>
                <w:sz w:val="21"/>
                <w:szCs w:val="21"/>
                <w:highlight w:val="none"/>
                <w:lang w:val="en-US" w:eastAsia="zh-CN" w:bidi="zh-CN"/>
              </w:rPr>
              <w:t>属于土壤污染重点监管单位，不属于</w:t>
            </w:r>
            <w:r>
              <w:rPr>
                <w:rFonts w:hint="default" w:ascii="Times New Roman" w:hAnsi="Times New Roman" w:eastAsia="宋体" w:cs="Times New Roman"/>
                <w:color w:val="000000" w:themeColor="text1"/>
                <w:sz w:val="21"/>
                <w:szCs w:val="21"/>
                <w:highlight w:val="none"/>
                <w:lang w:val="en-US" w:eastAsia="zh-CN" w:bidi="zh-CN"/>
              </w:rPr>
              <w:t>重点单位新、改、扩建项目地下储罐储存有毒有害物质的</w:t>
            </w:r>
            <w:r>
              <w:rPr>
                <w:rFonts w:hint="eastAsia" w:ascii="Times New Roman" w:hAnsi="Times New Roman" w:eastAsia="宋体" w:cs="Times New Roman"/>
                <w:color w:val="000000" w:themeColor="text1"/>
                <w:sz w:val="21"/>
                <w:szCs w:val="21"/>
                <w:highlight w:val="none"/>
                <w:lang w:val="en-US" w:eastAsia="zh-CN" w:bidi="zh-CN"/>
              </w:rPr>
              <w:t>项目，符合一般管控区要求</w:t>
            </w:r>
            <w:r>
              <w:rPr>
                <w:rFonts w:hint="default" w:ascii="Times New Roman" w:hAnsi="Times New Roman" w:eastAsia="宋体" w:cs="Times New Roman"/>
                <w:color w:val="000000" w:themeColor="text1"/>
                <w:sz w:val="21"/>
                <w:szCs w:val="21"/>
                <w:highlight w:val="none"/>
                <w:lang w:val="en-US" w:eastAsia="zh-CN" w:bidi="zh-CN"/>
              </w:rPr>
              <w:t>。</w:t>
            </w:r>
          </w:p>
        </w:tc>
      </w:tr>
    </w:tbl>
    <w:p w14:paraId="7170EA41">
      <w:pPr>
        <w:pStyle w:val="42"/>
        <w:pageBreakBefore w:val="0"/>
        <w:wordWrap/>
        <w:topLinePunct w:val="0"/>
        <w:bidi w:val="0"/>
        <w:spacing w:line="360" w:lineRule="auto"/>
        <w:rPr>
          <w:color w:val="000000" w:themeColor="text1"/>
          <w:szCs w:val="32"/>
          <w:highlight w:val="none"/>
        </w:rPr>
        <w:sectPr>
          <w:footerReference r:id="rId13" w:type="default"/>
          <w:pgSz w:w="11906" w:h="16838"/>
          <w:pgMar w:top="1440" w:right="1797" w:bottom="1440" w:left="1797" w:header="907" w:footer="1021" w:gutter="0"/>
          <w:pgBorders>
            <w:top w:val="none" w:sz="0" w:space="0"/>
            <w:left w:val="none" w:sz="0" w:space="0"/>
            <w:bottom w:val="none" w:sz="0" w:space="0"/>
            <w:right w:val="none" w:sz="0" w:space="0"/>
          </w:pgBorders>
          <w:pgNumType w:fmt="decimal" w:start="1"/>
          <w:cols w:space="720" w:num="1"/>
          <w:docGrid w:linePitch="326" w:charSpace="0"/>
        </w:sectPr>
      </w:pPr>
    </w:p>
    <w:p w14:paraId="15E6E20C">
      <w:pPr>
        <w:pStyle w:val="42"/>
        <w:pageBreakBefore w:val="0"/>
        <w:wordWrap/>
        <w:topLinePunct w:val="0"/>
        <w:bidi w:val="0"/>
        <w:spacing w:line="360" w:lineRule="auto"/>
        <w:rPr>
          <w:color w:val="000000" w:themeColor="text1"/>
          <w:szCs w:val="32"/>
          <w:highlight w:val="none"/>
        </w:rPr>
        <w:sectPr>
          <w:type w:val="continuous"/>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p>
    <w:p w14:paraId="5F7A51A4">
      <w:pPr>
        <w:pageBreakBefore w:val="0"/>
        <w:wordWrap/>
        <w:topLinePunct w:val="0"/>
        <w:autoSpaceDE w:val="0"/>
        <w:autoSpaceDN w:val="0"/>
        <w:bidi w:val="0"/>
        <w:spacing w:line="360" w:lineRule="auto"/>
        <w:ind w:firstLine="482"/>
        <w:jc w:val="center"/>
        <w:rPr>
          <w:b/>
          <w:color w:val="000000" w:themeColor="text1"/>
          <w:highlight w:val="none"/>
        </w:rPr>
      </w:pPr>
      <w:r>
        <w:rPr>
          <w:b/>
          <w:color w:val="000000" w:themeColor="text1"/>
          <w:highlight w:val="none"/>
        </w:rPr>
        <w:t>表</w:t>
      </w:r>
      <w:r>
        <w:rPr>
          <w:rFonts w:hint="eastAsia"/>
          <w:b/>
          <w:color w:val="000000" w:themeColor="text1"/>
          <w:highlight w:val="none"/>
          <w:lang w:val="en-US" w:eastAsia="zh-CN"/>
        </w:rPr>
        <w:t>1.5</w:t>
      </w:r>
      <w:r>
        <w:rPr>
          <w:b/>
          <w:color w:val="000000" w:themeColor="text1"/>
          <w:highlight w:val="none"/>
        </w:rPr>
        <w:t>-</w:t>
      </w:r>
      <w:r>
        <w:rPr>
          <w:rFonts w:hint="eastAsia"/>
          <w:b/>
          <w:color w:val="000000" w:themeColor="text1"/>
          <w:highlight w:val="none"/>
          <w:lang w:val="en-US" w:eastAsia="zh-CN"/>
        </w:rPr>
        <w:t>8</w:t>
      </w:r>
      <w:r>
        <w:rPr>
          <w:b/>
          <w:color w:val="000000" w:themeColor="text1"/>
          <w:highlight w:val="none"/>
        </w:rPr>
        <w:t xml:space="preserve">  生态环境准入清单符合性分析</w:t>
      </w:r>
    </w:p>
    <w:tbl>
      <w:tblPr>
        <w:tblStyle w:val="3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05"/>
        <w:gridCol w:w="930"/>
        <w:gridCol w:w="795"/>
        <w:gridCol w:w="795"/>
        <w:gridCol w:w="5715"/>
        <w:gridCol w:w="4934"/>
      </w:tblGrid>
      <w:tr w14:paraId="7000CE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4" w:type="pct"/>
            <w:vAlign w:val="center"/>
          </w:tcPr>
          <w:p w14:paraId="5B2BD2C6">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rFonts w:hint="eastAsia"/>
                <w:snapToGrid w:val="0"/>
                <w:color w:val="000000" w:themeColor="text1"/>
                <w:kern w:val="0"/>
                <w:sz w:val="21"/>
                <w:szCs w:val="21"/>
                <w:highlight w:val="none"/>
                <w:lang w:val="en-US" w:eastAsia="zh-CN"/>
              </w:rPr>
              <w:t>环境</w:t>
            </w:r>
            <w:r>
              <w:rPr>
                <w:rFonts w:hint="eastAsia"/>
                <w:snapToGrid w:val="0"/>
                <w:color w:val="000000" w:themeColor="text1"/>
                <w:kern w:val="0"/>
                <w:sz w:val="21"/>
                <w:szCs w:val="21"/>
                <w:highlight w:val="none"/>
              </w:rPr>
              <w:t>管控单元编码</w:t>
            </w:r>
          </w:p>
        </w:tc>
        <w:tc>
          <w:tcPr>
            <w:tcW w:w="328" w:type="pct"/>
            <w:vAlign w:val="center"/>
          </w:tcPr>
          <w:p w14:paraId="0146CEA5">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环境管控单元名称</w:t>
            </w:r>
          </w:p>
        </w:tc>
        <w:tc>
          <w:tcPr>
            <w:tcW w:w="280" w:type="pct"/>
            <w:vAlign w:val="center"/>
          </w:tcPr>
          <w:p w14:paraId="3E31E25F">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管控单元类别</w:t>
            </w:r>
          </w:p>
        </w:tc>
        <w:tc>
          <w:tcPr>
            <w:tcW w:w="2296" w:type="pct"/>
            <w:gridSpan w:val="2"/>
            <w:vAlign w:val="center"/>
          </w:tcPr>
          <w:p w14:paraId="29B187DE">
            <w:pPr>
              <w:pageBreakBefore w:val="0"/>
              <w:wordWrap/>
              <w:topLinePunct w:val="0"/>
              <w:bidi w:val="0"/>
              <w:spacing w:line="240" w:lineRule="auto"/>
              <w:ind w:firstLine="0" w:firstLineChars="0"/>
              <w:jc w:val="center"/>
              <w:rPr>
                <w:rFonts w:hint="eastAsia" w:eastAsia="宋体"/>
                <w:snapToGrid w:val="0"/>
                <w:color w:val="000000" w:themeColor="text1"/>
                <w:kern w:val="0"/>
                <w:sz w:val="21"/>
                <w:szCs w:val="21"/>
                <w:highlight w:val="none"/>
                <w:lang w:eastAsia="zh-CN"/>
              </w:rPr>
            </w:pPr>
            <w:r>
              <w:rPr>
                <w:snapToGrid w:val="0"/>
                <w:color w:val="000000" w:themeColor="text1"/>
                <w:kern w:val="0"/>
                <w:sz w:val="21"/>
                <w:szCs w:val="21"/>
                <w:highlight w:val="none"/>
              </w:rPr>
              <w:t>管控要求</w:t>
            </w:r>
          </w:p>
        </w:tc>
        <w:tc>
          <w:tcPr>
            <w:tcW w:w="1740" w:type="pct"/>
            <w:vAlign w:val="center"/>
          </w:tcPr>
          <w:p w14:paraId="17B17941">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rFonts w:hint="eastAsia"/>
                <w:snapToGrid w:val="0"/>
                <w:color w:val="000000" w:themeColor="text1"/>
                <w:kern w:val="0"/>
                <w:sz w:val="21"/>
                <w:szCs w:val="21"/>
                <w:highlight w:val="none"/>
              </w:rPr>
              <w:t>符合性分析</w:t>
            </w:r>
          </w:p>
        </w:tc>
      </w:tr>
      <w:tr w14:paraId="7B1DAC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4" w:type="pct"/>
            <w:vAlign w:val="center"/>
          </w:tcPr>
          <w:p w14:paraId="1FE000D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color w:val="000000" w:themeColor="text1"/>
                <w:kern w:val="2"/>
                <w:sz w:val="21"/>
                <w:szCs w:val="21"/>
                <w:highlight w:val="none"/>
                <w:lang w:val="en-US" w:eastAsia="zh-CN" w:bidi="ar-SA"/>
              </w:rPr>
            </w:pPr>
            <w:r>
              <w:rPr>
                <w:rFonts w:hint="default" w:ascii="Times New Roman" w:hAnsi="Times New Roman" w:eastAsia="宋体" w:cs="Times New Roman"/>
                <w:color w:val="000000" w:themeColor="text1"/>
                <w:kern w:val="0"/>
                <w:sz w:val="21"/>
                <w:szCs w:val="21"/>
                <w:highlight w:val="none"/>
              </w:rPr>
              <w:t>ZH2304063000</w:t>
            </w:r>
            <w:r>
              <w:rPr>
                <w:rFonts w:hint="eastAsia" w:cs="Times New Roman"/>
                <w:color w:val="000000" w:themeColor="text1"/>
                <w:kern w:val="0"/>
                <w:sz w:val="21"/>
                <w:szCs w:val="21"/>
                <w:highlight w:val="none"/>
                <w:lang w:val="en-US" w:eastAsia="zh-CN"/>
              </w:rPr>
              <w:t>1</w:t>
            </w:r>
          </w:p>
        </w:tc>
        <w:tc>
          <w:tcPr>
            <w:tcW w:w="328" w:type="pct"/>
            <w:vAlign w:val="center"/>
          </w:tcPr>
          <w:p w14:paraId="1A5C74B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rPr>
              <w:t>东山区永久基本农田</w:t>
            </w:r>
          </w:p>
        </w:tc>
        <w:tc>
          <w:tcPr>
            <w:tcW w:w="280" w:type="pct"/>
            <w:vAlign w:val="center"/>
          </w:tcPr>
          <w:p w14:paraId="5824FFD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rPr>
            </w:pPr>
            <w:r>
              <w:rPr>
                <w:rFonts w:hint="default" w:ascii="Times New Roman" w:hAnsi="Times New Roman" w:eastAsia="宋体" w:cs="Times New Roman"/>
                <w:color w:val="000000" w:themeColor="text1"/>
                <w:sz w:val="21"/>
                <w:szCs w:val="21"/>
                <w:highlight w:val="none"/>
              </w:rPr>
              <w:t>一般管控单元</w:t>
            </w:r>
          </w:p>
        </w:tc>
        <w:tc>
          <w:tcPr>
            <w:tcW w:w="280" w:type="pct"/>
            <w:vAlign w:val="center"/>
          </w:tcPr>
          <w:p w14:paraId="4F0C97A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sz w:val="21"/>
                <w:szCs w:val="21"/>
                <w:highlight w:val="none"/>
                <w:lang w:val="en-US" w:eastAsia="zh-CN"/>
              </w:rPr>
              <w:t>资源开发效率要求</w:t>
            </w:r>
          </w:p>
        </w:tc>
        <w:tc>
          <w:tcPr>
            <w:tcW w:w="2016" w:type="pct"/>
            <w:vAlign w:val="center"/>
          </w:tcPr>
          <w:p w14:paraId="69D66287">
            <w:pPr>
              <w:pStyle w:val="42"/>
              <w:pageBreakBefore w:val="0"/>
              <w:wordWrap/>
              <w:topLinePunct w:val="0"/>
              <w:bidi w:val="0"/>
              <w:spacing w:line="240" w:lineRule="auto"/>
              <w:rPr>
                <w:rFonts w:hint="eastAsia" w:eastAsia="仿宋_GB2312"/>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bidi="zh-CN"/>
              </w:rPr>
              <w:t>1.严格永久基本农田占用和补划，永久基本农田经依法划定后，任何单位和个人不得擅自占用或者改变其用途。2.在永久基本农田集中区域，不得新建可能造成土壤污染的建设项目；已经建成的，应当限期关闭拆除。3.严禁占用永久基本农田发展林果业和挖塘养鱼严禁占用永久基本农田种植苗木、草皮等用于绿化装饰以及其他破坏耕作层的植物；严禁占用永久基本农田挖湖造景、建设绿化带；严禁新增占用永久基本农田建设畜禽养殖设施、水产养殖设施和破坏耕作层的种植业设施。4.禁止任何单位和个人破坏永久基本农田耕作层。5.禁止以设施农用地为名违规占用永久基本农田建设休闲旅游、仓储厂房等设施。6.禁止向农用地排放重金属或者其他有毒有害物质含量超标的污水、污泥，以及可能造成土壤污染的清淤底泥、尾矿、矿渣等。7.国家能源、交通、水利、军事设施等重点项目确实难以避让永久基本农田的，涉及农用地转用或者土地征收的，必须经过务院批准。8.一般建设项目不得占用永久基本农田；重大建设项目选址确实难以避让永久基本农田的，要按照“数量不减、质量不降、布局稳定”的要求，在储备区内选择数量相等、质量相当的地块进行补划。9.非农业建设依法占用永久基本农田的，建设单位应当将所占用耕地耕作层的土壤用于新开垦的耕地、劣质地或其他耕地的土壤改良。位于优先保护单元和重点管控单元内永久基本农田也同时执行此要求。</w:t>
            </w:r>
          </w:p>
        </w:tc>
        <w:tc>
          <w:tcPr>
            <w:tcW w:w="1740" w:type="pct"/>
            <w:vAlign w:val="center"/>
          </w:tcPr>
          <w:p w14:paraId="166F8F7F">
            <w:pPr>
              <w:pageBreakBefore w:val="0"/>
              <w:widowControl/>
              <w:wordWrap/>
              <w:topLinePunct w:val="0"/>
              <w:bidi w:val="0"/>
              <w:spacing w:line="240" w:lineRule="auto"/>
              <w:ind w:left="0" w:leftChars="0" w:firstLine="0" w:firstLineChars="0"/>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根据《自然资源部办公厅关于新建黑龙江鹤岗机场项目建设用地预审意见的函》（自然资办函〔2023〕1655号）及机场环评，新建黑龙江鹤岗机场项目共占用永久基本农田31.64公顷，其中进场道路占用永久基本农田9.9014公顷。在项目施工图设计过程中，根据实际情况，核算出用地面积约为191083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（其中永久基本农田120213m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），项目新增永久基本农田21199m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，征占手续正在办理中。</w:t>
            </w:r>
          </w:p>
          <w:p w14:paraId="2A721F40">
            <w:pPr>
              <w:pageBreakBefore w:val="0"/>
              <w:widowControl/>
              <w:wordWrap/>
              <w:topLinePunct w:val="0"/>
              <w:bidi w:val="0"/>
              <w:spacing w:line="240" w:lineRule="auto"/>
              <w:ind w:left="0" w:leftChars="0" w:firstLine="0" w:firstLineChars="0"/>
              <w:rPr>
                <w:snapToGrid w:val="0"/>
                <w:color w:val="000000" w:themeColor="text1"/>
                <w:kern w:val="0"/>
                <w:sz w:val="21"/>
                <w:szCs w:val="21"/>
                <w:highlight w:val="none"/>
              </w:rPr>
            </w:pPr>
            <w:r>
              <w:rPr>
                <w:rFonts w:hint="eastAsia"/>
                <w:color w:val="000000" w:themeColor="text1"/>
                <w:sz w:val="21"/>
                <w:szCs w:val="21"/>
                <w:highlight w:val="none"/>
                <w:lang w:val="en-US" w:eastAsia="zh-CN"/>
              </w:rPr>
              <w:t>本项目临时用地确实难以避让永久基本农田，本项目在建设过程中临时占地内不修建永久性建（构）筑物、经复垦能恢复原种植。本项目建设单位按法定程序申请临时用地并编制土地复垦方案，经县级自然资源主管部门批准可临时占用，并在市级自然资源主管部门备案，同时，通过耕地耕作层土壤剥离再利用等工程技术措施，减少对耕作层的破坏。临时用地到期后建设单位及时复垦恢复原种植条件，县级自然资源主管部门会同农业农村等相关主管部门开展土地复垦验收，验收合格的，继续按照永久基本农田保护和管理。</w:t>
            </w:r>
            <w:r>
              <w:rPr>
                <w:rFonts w:hint="eastAsia"/>
                <w:snapToGrid w:val="0"/>
                <w:color w:val="000000" w:themeColor="text1"/>
                <w:kern w:val="0"/>
                <w:sz w:val="21"/>
                <w:szCs w:val="21"/>
                <w:highlight w:val="none"/>
                <w:lang w:val="en-US" w:eastAsia="zh-CN"/>
              </w:rPr>
              <w:t>本项目建设符合鹤岗市东山区永久基本农田</w:t>
            </w:r>
            <w:r>
              <w:rPr>
                <w:rFonts w:hint="default" w:ascii="Times New Roman" w:hAnsi="Times New Roman" w:eastAsia="宋体" w:cs="Times New Roman"/>
                <w:color w:val="000000" w:themeColor="text1"/>
                <w:sz w:val="21"/>
                <w:szCs w:val="21"/>
                <w:highlight w:val="none"/>
              </w:rPr>
              <w:t>一般管控单元</w:t>
            </w:r>
            <w:r>
              <w:rPr>
                <w:rFonts w:hint="eastAsia"/>
                <w:snapToGrid w:val="0"/>
                <w:color w:val="000000" w:themeColor="text1"/>
                <w:kern w:val="0"/>
                <w:sz w:val="21"/>
                <w:szCs w:val="21"/>
                <w:highlight w:val="none"/>
                <w:lang w:val="en-US" w:eastAsia="zh-CN"/>
              </w:rPr>
              <w:t>要求。</w:t>
            </w:r>
          </w:p>
        </w:tc>
      </w:tr>
      <w:tr w14:paraId="25EAA9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54" w:type="pct"/>
            <w:vAlign w:val="center"/>
          </w:tcPr>
          <w:p w14:paraId="06EAAE9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rPr>
            </w:pPr>
            <w:r>
              <w:rPr>
                <w:rFonts w:hint="default" w:ascii="Times New Roman" w:hAnsi="Times New Roman" w:eastAsia="宋体" w:cs="Times New Roman"/>
                <w:color w:val="000000" w:themeColor="text1"/>
                <w:kern w:val="0"/>
                <w:sz w:val="21"/>
                <w:szCs w:val="21"/>
                <w:highlight w:val="none"/>
              </w:rPr>
              <w:t>ZH2304063000</w:t>
            </w:r>
            <w:r>
              <w:rPr>
                <w:rFonts w:hint="eastAsia" w:cs="Times New Roman"/>
                <w:color w:val="000000" w:themeColor="text1"/>
                <w:kern w:val="0"/>
                <w:sz w:val="21"/>
                <w:szCs w:val="21"/>
                <w:highlight w:val="none"/>
                <w:lang w:val="en-US" w:eastAsia="zh-CN"/>
              </w:rPr>
              <w:t>2</w:t>
            </w:r>
          </w:p>
        </w:tc>
        <w:tc>
          <w:tcPr>
            <w:tcW w:w="328" w:type="pct"/>
            <w:vAlign w:val="center"/>
          </w:tcPr>
          <w:p w14:paraId="401F63D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rPr>
            </w:pPr>
            <w:r>
              <w:rPr>
                <w:rFonts w:hint="eastAsia" w:cs="Times New Roman"/>
                <w:color w:val="000000" w:themeColor="text1"/>
                <w:kern w:val="0"/>
                <w:sz w:val="21"/>
                <w:szCs w:val="21"/>
                <w:highlight w:val="none"/>
                <w:lang w:val="en-US" w:eastAsia="zh-CN"/>
              </w:rPr>
              <w:t>东山区其他区域</w:t>
            </w:r>
          </w:p>
        </w:tc>
        <w:tc>
          <w:tcPr>
            <w:tcW w:w="280" w:type="pct"/>
            <w:vAlign w:val="center"/>
          </w:tcPr>
          <w:p w14:paraId="1668929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一般管控单元</w:t>
            </w:r>
          </w:p>
        </w:tc>
        <w:tc>
          <w:tcPr>
            <w:tcW w:w="280" w:type="pct"/>
            <w:vAlign w:val="center"/>
          </w:tcPr>
          <w:p w14:paraId="66EBCB7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空间布局约束</w:t>
            </w:r>
          </w:p>
        </w:tc>
        <w:tc>
          <w:tcPr>
            <w:tcW w:w="2016" w:type="pct"/>
            <w:shd w:val="clear" w:color="auto" w:fill="auto"/>
            <w:vAlign w:val="center"/>
          </w:tcPr>
          <w:p w14:paraId="7FFF7F2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bidi="zh-CN"/>
              </w:rPr>
            </w:pPr>
            <w:r>
              <w:rPr>
                <w:rFonts w:hint="eastAsia" w:ascii="Times New Roman" w:hAnsi="Times New Roman" w:eastAsia="宋体" w:cs="Times New Roman"/>
                <w:color w:val="000000" w:themeColor="text1"/>
                <w:sz w:val="21"/>
                <w:szCs w:val="21"/>
                <w:highlight w:val="none"/>
                <w:lang w:bidi="zh-CN"/>
              </w:rPr>
              <w:t>1.</w:t>
            </w:r>
            <w:r>
              <w:rPr>
                <w:rFonts w:hint="eastAsia" w:ascii="Times New Roman" w:hAnsi="Times New Roman" w:eastAsia="宋体" w:cs="Times New Roman"/>
                <w:color w:val="000000" w:themeColor="text1"/>
                <w:sz w:val="21"/>
                <w:szCs w:val="21"/>
                <w:highlight w:val="none"/>
                <w:lang w:val="zh-CN" w:bidi="zh-CN"/>
              </w:rPr>
              <w:t>引导工业项目向开发区集中，促进产业集聚、资源集约、绿色发展。</w:t>
            </w:r>
          </w:p>
          <w:p w14:paraId="72AF7B4D">
            <w:pPr>
              <w:pStyle w:val="42"/>
              <w:pageBreakBefore w:val="0"/>
              <w:wordWrap/>
              <w:topLinePunct w:val="0"/>
              <w:bidi w:val="0"/>
              <w:spacing w:line="240" w:lineRule="auto"/>
              <w:rPr>
                <w:rFonts w:hint="eastAsia" w:ascii="仿宋_GB2312" w:hAnsi="Times New Roman" w:eastAsia="仿宋_GB2312" w:cs="Times New Roman"/>
                <w:color w:val="000000" w:themeColor="text1"/>
                <w:sz w:val="21"/>
                <w:szCs w:val="21"/>
                <w:highlight w:val="none"/>
                <w:lang w:val="en-US" w:eastAsia="zh-CN" w:bidi="ar-SA"/>
              </w:rPr>
            </w:pPr>
            <w:r>
              <w:rPr>
                <w:rFonts w:hint="eastAsia" w:ascii="Times New Roman" w:hAnsi="Times New Roman" w:eastAsia="宋体" w:cs="Times New Roman"/>
                <w:color w:val="000000" w:themeColor="text1"/>
                <w:sz w:val="21"/>
                <w:szCs w:val="21"/>
                <w:highlight w:val="none"/>
                <w:lang w:bidi="zh-CN"/>
              </w:rPr>
              <w:t>2.</w:t>
            </w:r>
            <w:r>
              <w:rPr>
                <w:rFonts w:hint="eastAsia" w:ascii="Times New Roman" w:hAnsi="Times New Roman" w:eastAsia="宋体" w:cs="Times New Roman"/>
                <w:color w:val="000000" w:themeColor="text1"/>
                <w:sz w:val="21"/>
                <w:szCs w:val="21"/>
                <w:highlight w:val="none"/>
                <w:lang w:val="zh-CN" w:bidi="zh-CN"/>
              </w:rPr>
              <w:t>强化节能环保标准约束，严格行业规范、准入管理和节能审查，对电力、钢铁、建材、有色、化工、石油石化、船舶、煤炭、印染、造纸、制革、染料、焦化、电镀等行业中，环保、能耗、安全等不达标或生产、使用淘汰类产品的企业和产能，要依法依规有序退出。</w:t>
            </w:r>
          </w:p>
        </w:tc>
        <w:tc>
          <w:tcPr>
            <w:tcW w:w="1740" w:type="pct"/>
            <w:shd w:val="clear" w:color="auto" w:fill="auto"/>
            <w:vAlign w:val="center"/>
          </w:tcPr>
          <w:p w14:paraId="32965C7F">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rPr>
              <w:t>本项目为新建</w:t>
            </w:r>
            <w:r>
              <w:rPr>
                <w:rFonts w:hint="eastAsia"/>
                <w:snapToGrid w:val="0"/>
                <w:color w:val="000000" w:themeColor="text1"/>
                <w:kern w:val="0"/>
                <w:sz w:val="21"/>
                <w:szCs w:val="21"/>
                <w:highlight w:val="none"/>
                <w:lang w:val="en-US" w:eastAsia="zh-CN"/>
              </w:rPr>
              <w:t>鹤岗机场进场路项目，为二级</w:t>
            </w:r>
            <w:r>
              <w:rPr>
                <w:rFonts w:hint="eastAsia"/>
                <w:snapToGrid w:val="0"/>
                <w:color w:val="000000" w:themeColor="text1"/>
                <w:kern w:val="0"/>
                <w:sz w:val="21"/>
                <w:szCs w:val="21"/>
                <w:highlight w:val="none"/>
              </w:rPr>
              <w:t>公路，不属于</w:t>
            </w:r>
            <w:r>
              <w:rPr>
                <w:rFonts w:hint="eastAsia" w:ascii="Times New Roman" w:hAnsi="Times New Roman" w:eastAsia="宋体" w:cs="Times New Roman"/>
                <w:color w:val="000000" w:themeColor="text1"/>
                <w:sz w:val="21"/>
                <w:szCs w:val="21"/>
                <w:highlight w:val="none"/>
                <w:lang w:val="zh-CN" w:bidi="zh-CN"/>
              </w:rPr>
              <w:t>电力、钢铁、建材、有色、化工、石油石化、船舶、煤炭、印染、造纸、制革、染料、焦化、电镀等行业中</w:t>
            </w:r>
            <w:r>
              <w:rPr>
                <w:rFonts w:hint="eastAsia"/>
                <w:snapToGrid w:val="0"/>
                <w:color w:val="000000" w:themeColor="text1"/>
                <w:kern w:val="0"/>
                <w:sz w:val="21"/>
                <w:szCs w:val="21"/>
                <w:highlight w:val="none"/>
                <w:lang w:bidi="zh-CN"/>
              </w:rPr>
              <w:t>工业类项目。</w:t>
            </w:r>
            <w:r>
              <w:rPr>
                <w:rFonts w:hint="eastAsia"/>
                <w:snapToGrid w:val="0"/>
                <w:color w:val="000000" w:themeColor="text1"/>
                <w:kern w:val="0"/>
                <w:sz w:val="21"/>
                <w:szCs w:val="21"/>
                <w:highlight w:val="none"/>
                <w:lang w:val="en-US" w:eastAsia="zh-CN"/>
              </w:rPr>
              <w:t>本项目建设符合鹤岗市东山区其他区域</w:t>
            </w:r>
            <w:r>
              <w:rPr>
                <w:rFonts w:hint="default" w:ascii="Times New Roman" w:hAnsi="Times New Roman" w:eastAsia="宋体" w:cs="Times New Roman"/>
                <w:color w:val="000000" w:themeColor="text1"/>
                <w:sz w:val="21"/>
                <w:szCs w:val="21"/>
                <w:highlight w:val="none"/>
              </w:rPr>
              <w:t>一般管控单元</w:t>
            </w:r>
            <w:r>
              <w:rPr>
                <w:rFonts w:hint="eastAsia"/>
                <w:snapToGrid w:val="0"/>
                <w:color w:val="000000" w:themeColor="text1"/>
                <w:kern w:val="0"/>
                <w:sz w:val="21"/>
                <w:szCs w:val="21"/>
                <w:highlight w:val="none"/>
                <w:lang w:val="en-US" w:eastAsia="zh-CN"/>
              </w:rPr>
              <w:t>要求。</w:t>
            </w:r>
          </w:p>
        </w:tc>
      </w:tr>
    </w:tbl>
    <w:p w14:paraId="19F20097">
      <w:pPr>
        <w:pageBreakBefore w:val="0"/>
        <w:wordWrap/>
        <w:topLinePunct w:val="0"/>
        <w:autoSpaceDE w:val="0"/>
        <w:autoSpaceDN w:val="0"/>
        <w:bidi w:val="0"/>
        <w:spacing w:line="360" w:lineRule="auto"/>
        <w:textAlignment w:val="center"/>
        <w:rPr>
          <w:rFonts w:hint="eastAsia"/>
          <w:color w:val="000000" w:themeColor="text1"/>
          <w:highlight w:val="none"/>
        </w:rPr>
      </w:pPr>
      <w:r>
        <w:rPr>
          <w:rFonts w:hint="eastAsia"/>
          <w:color w:val="000000" w:themeColor="text1"/>
          <w:highlight w:val="none"/>
        </w:rPr>
        <w:t>综上所述，本项目的建设符合</w:t>
      </w:r>
      <w:r>
        <w:rPr>
          <w:rFonts w:hint="eastAsia"/>
          <w:color w:val="000000" w:themeColor="text1"/>
          <w:highlight w:val="none"/>
          <w:lang w:eastAsia="zh-CN"/>
        </w:rPr>
        <w:t>“</w:t>
      </w:r>
      <w:r>
        <w:rPr>
          <w:rFonts w:hint="eastAsia"/>
          <w:color w:val="000000" w:themeColor="text1"/>
          <w:highlight w:val="none"/>
        </w:rPr>
        <w:t>生态环境分区管控</w:t>
      </w:r>
      <w:r>
        <w:rPr>
          <w:rFonts w:hint="eastAsia"/>
          <w:color w:val="000000" w:themeColor="text1"/>
          <w:highlight w:val="none"/>
          <w:lang w:eastAsia="zh-CN"/>
        </w:rPr>
        <w:t>”</w:t>
      </w:r>
      <w:r>
        <w:rPr>
          <w:rFonts w:hint="eastAsia"/>
          <w:color w:val="000000" w:themeColor="text1"/>
          <w:highlight w:val="none"/>
        </w:rPr>
        <w:t>相关要求。</w:t>
      </w:r>
    </w:p>
    <w:p w14:paraId="4A950023">
      <w:pPr>
        <w:pStyle w:val="13"/>
        <w:jc w:val="center"/>
        <w:rPr>
          <w:rFonts w:hint="eastAsia"/>
          <w:color w:val="000000" w:themeColor="text1"/>
          <w:highlight w:val="none"/>
        </w:rPr>
      </w:pPr>
      <w:r>
        <w:rPr>
          <w:color w:val="000000" w:themeColor="text1"/>
          <w:highlight w:val="none"/>
        </w:rPr>
        <w:drawing>
          <wp:inline distT="0" distB="0" distL="114300" distR="114300">
            <wp:extent cx="8048625" cy="4857750"/>
            <wp:effectExtent l="0" t="0" r="9525" b="0"/>
            <wp:docPr id="1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8"/>
                    <pic:cNvPicPr>
                      <a:picLocks noChangeAspect="1"/>
                    </pic:cNvPicPr>
                  </pic:nvPicPr>
                  <pic:blipFill>
                    <a:blip r:embed="rId22"/>
                    <a:stretch>
                      <a:fillRect/>
                    </a:stretch>
                  </pic:blipFill>
                  <pic:spPr>
                    <a:xfrm>
                      <a:off x="0" y="0"/>
                      <a:ext cx="8048625" cy="4857750"/>
                    </a:xfrm>
                    <a:prstGeom prst="rect">
                      <a:avLst/>
                    </a:prstGeom>
                    <a:noFill/>
                    <a:ln>
                      <a:noFill/>
                    </a:ln>
                  </pic:spPr>
                </pic:pic>
              </a:graphicData>
            </a:graphic>
          </wp:inline>
        </w:drawing>
      </w:r>
    </w:p>
    <w:p w14:paraId="135A9F73">
      <w:pPr>
        <w:pStyle w:val="3"/>
        <w:pageBreakBefore w:val="0"/>
        <w:wordWrap/>
        <w:topLinePunct w:val="0"/>
        <w:bidi w:val="0"/>
        <w:spacing w:before="12" w:after="120" w:line="360" w:lineRule="auto"/>
        <w:jc w:val="center"/>
        <w:rPr>
          <w:rFonts w:hint="eastAsia"/>
          <w:color w:val="000000" w:themeColor="text1"/>
          <w:highlight w:val="none"/>
        </w:rPr>
      </w:pPr>
      <w:bookmarkStart w:id="89" w:name="_Toc1661"/>
      <w:r>
        <w:rPr>
          <w:rFonts w:hint="eastAsia" w:ascii="Times New Roman" w:hAnsi="Times New Roman" w:eastAsia="宋体" w:cs="Times New Roman"/>
          <w:b/>
          <w:color w:val="000000" w:themeColor="text1"/>
          <w:kern w:val="2"/>
          <w:sz w:val="24"/>
          <w:szCs w:val="24"/>
          <w:highlight w:val="none"/>
          <w:lang w:val="en-US" w:eastAsia="zh-CN" w:bidi="ar-SA"/>
        </w:rPr>
        <w:t xml:space="preserve">图1.5-2 </w:t>
      </w:r>
      <w:r>
        <w:rPr>
          <w:rFonts w:hint="eastAsia" w:cs="Times New Roman"/>
          <w:b/>
          <w:color w:val="000000" w:themeColor="text1"/>
          <w:kern w:val="2"/>
          <w:sz w:val="24"/>
          <w:szCs w:val="24"/>
          <w:highlight w:val="none"/>
          <w:lang w:val="en-US" w:eastAsia="zh-CN" w:bidi="ar-SA"/>
        </w:rPr>
        <w:t xml:space="preserve"> </w:t>
      </w:r>
      <w:r>
        <w:rPr>
          <w:rFonts w:hint="eastAsia" w:ascii="Times New Roman" w:hAnsi="Times New Roman" w:eastAsia="宋体" w:cs="Times New Roman"/>
          <w:b/>
          <w:color w:val="000000" w:themeColor="text1"/>
          <w:kern w:val="2"/>
          <w:sz w:val="24"/>
          <w:szCs w:val="24"/>
          <w:highlight w:val="none"/>
          <w:lang w:val="en-US" w:eastAsia="zh-CN" w:bidi="ar-SA"/>
        </w:rPr>
        <w:t>本项目与鹤岗市环境管控单元图位置关系图</w:t>
      </w:r>
      <w:bookmarkEnd w:id="89"/>
    </w:p>
    <w:p w14:paraId="00EB939E">
      <w:pPr>
        <w:pStyle w:val="3"/>
        <w:pageBreakBefore w:val="0"/>
        <w:wordWrap/>
        <w:topLinePunct w:val="0"/>
        <w:bidi w:val="0"/>
        <w:spacing w:before="12" w:after="120" w:line="360" w:lineRule="auto"/>
        <w:rPr>
          <w:rFonts w:hint="eastAsia"/>
          <w:color w:val="000000" w:themeColor="text1"/>
          <w:highlight w:val="none"/>
        </w:rPr>
        <w:sectPr>
          <w:footerReference r:id="rId14" w:type="default"/>
          <w:pgSz w:w="16838" w:h="11906" w:orient="landscape"/>
          <w:pgMar w:top="1797" w:right="1440" w:bottom="1797" w:left="1440" w:header="907" w:footer="1021" w:gutter="0"/>
          <w:pgBorders>
            <w:top w:val="none" w:sz="0" w:space="0"/>
            <w:left w:val="none" w:sz="0" w:space="0"/>
            <w:bottom w:val="none" w:sz="0" w:space="0"/>
            <w:right w:val="none" w:sz="0" w:space="0"/>
          </w:pgBorders>
          <w:pgNumType w:fmt="decimal"/>
          <w:cols w:space="720" w:num="1"/>
          <w:docGrid w:linePitch="326" w:charSpace="0"/>
        </w:sectPr>
      </w:pPr>
    </w:p>
    <w:p w14:paraId="6D771DA4">
      <w:pPr>
        <w:pStyle w:val="3"/>
        <w:pageBreakBefore w:val="0"/>
        <w:wordWrap/>
        <w:topLinePunct w:val="0"/>
        <w:bidi w:val="0"/>
        <w:spacing w:before="12" w:after="120" w:line="360" w:lineRule="auto"/>
        <w:rPr>
          <w:color w:val="000000" w:themeColor="text1"/>
          <w:highlight w:val="none"/>
        </w:rPr>
      </w:pPr>
      <w:bookmarkStart w:id="90" w:name="_Toc26103"/>
      <w:r>
        <w:rPr>
          <w:rFonts w:hint="eastAsia"/>
          <w:color w:val="000000" w:themeColor="text1"/>
          <w:highlight w:val="none"/>
        </w:rPr>
        <w:t>1.6</w:t>
      </w:r>
      <w:r>
        <w:rPr>
          <w:color w:val="000000" w:themeColor="text1"/>
          <w:highlight w:val="none"/>
        </w:rPr>
        <w:t>环境影响报告主要结论</w:t>
      </w:r>
      <w:bookmarkEnd w:id="85"/>
      <w:bookmarkEnd w:id="86"/>
      <w:bookmarkEnd w:id="87"/>
      <w:bookmarkEnd w:id="88"/>
      <w:bookmarkEnd w:id="90"/>
    </w:p>
    <w:p w14:paraId="6A53A307">
      <w:pPr>
        <w:pageBreakBefore w:val="0"/>
        <w:wordWrap/>
        <w:topLinePunct w:val="0"/>
        <w:bidi w:val="0"/>
        <w:spacing w:line="360" w:lineRule="auto"/>
        <w:rPr>
          <w:color w:val="000000" w:themeColor="text1"/>
          <w:highlight w:val="none"/>
        </w:rPr>
        <w:sectPr>
          <w:footerReference r:id="rId15" w:type="default"/>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r>
        <w:rPr>
          <w:color w:val="000000" w:themeColor="text1"/>
          <w:highlight w:val="none"/>
        </w:rPr>
        <w:t>本项目建设符合当前国家产业政策，选线基本合理。工程建设运行将完善</w:t>
      </w:r>
      <w:r>
        <w:rPr>
          <w:rFonts w:hint="eastAsia"/>
          <w:color w:val="000000" w:themeColor="text1"/>
          <w:highlight w:val="none"/>
          <w:lang w:val="en-US" w:eastAsia="zh-CN"/>
        </w:rPr>
        <w:t>鹤岗机场路网建设</w:t>
      </w:r>
      <w:r>
        <w:rPr>
          <w:color w:val="000000" w:themeColor="text1"/>
          <w:highlight w:val="none"/>
        </w:rPr>
        <w:t>，改善区域交通环境，促进地方经济发展。项目实施对周边水、气、声、生态环境有一定影响，但工程对环境的不利影响可通过采取相应环保对策措施予以减缓，同时要求施工过程中合理布设临时工程，采取相应环保措施降低对环境及敏感点的影响。该项目正面效应大于负面效应。因此，从环境保护角度分析，在严格实施环保对策措施的条件下，本项目选线与建设可行。</w:t>
      </w:r>
    </w:p>
    <w:p w14:paraId="7B6285A5">
      <w:pPr>
        <w:pStyle w:val="2"/>
        <w:pageBreakBefore w:val="0"/>
        <w:wordWrap/>
        <w:topLinePunct w:val="0"/>
        <w:bidi w:val="0"/>
        <w:spacing w:line="360" w:lineRule="auto"/>
        <w:ind w:left="0"/>
        <w:jc w:val="center"/>
        <w:rPr>
          <w:color w:val="000000" w:themeColor="text1"/>
          <w:highlight w:val="none"/>
        </w:rPr>
      </w:pPr>
      <w:bookmarkStart w:id="91" w:name="_Toc29494"/>
      <w:bookmarkStart w:id="92" w:name="_Toc18516"/>
      <w:bookmarkStart w:id="93" w:name="_Toc1660"/>
      <w:bookmarkStart w:id="94" w:name="_Toc21143"/>
      <w:bookmarkStart w:id="95" w:name="_Toc518574354"/>
      <w:r>
        <w:rPr>
          <w:rFonts w:hint="eastAsia"/>
          <w:color w:val="000000" w:themeColor="text1"/>
          <w:highlight w:val="none"/>
        </w:rPr>
        <w:t xml:space="preserve">2 </w:t>
      </w:r>
      <w:r>
        <w:rPr>
          <w:color w:val="000000" w:themeColor="text1"/>
          <w:highlight w:val="none"/>
        </w:rPr>
        <w:t>总则</w:t>
      </w:r>
      <w:bookmarkEnd w:id="91"/>
      <w:bookmarkEnd w:id="92"/>
      <w:bookmarkEnd w:id="93"/>
      <w:bookmarkEnd w:id="94"/>
      <w:bookmarkEnd w:id="95"/>
    </w:p>
    <w:p w14:paraId="6482E194">
      <w:pPr>
        <w:pStyle w:val="3"/>
        <w:pageBreakBefore w:val="0"/>
        <w:wordWrap/>
        <w:topLinePunct w:val="0"/>
        <w:bidi w:val="0"/>
        <w:spacing w:before="12" w:after="120" w:line="360" w:lineRule="auto"/>
        <w:rPr>
          <w:color w:val="000000" w:themeColor="text1"/>
          <w:highlight w:val="none"/>
        </w:rPr>
      </w:pPr>
      <w:bookmarkStart w:id="96" w:name="_Toc2629"/>
      <w:bookmarkStart w:id="97" w:name="_Toc20671"/>
      <w:bookmarkStart w:id="98" w:name="_Toc3771"/>
      <w:bookmarkStart w:id="99" w:name="_Toc518574355"/>
      <w:bookmarkStart w:id="100" w:name="_Toc16294"/>
      <w:r>
        <w:rPr>
          <w:rFonts w:hint="eastAsia"/>
          <w:color w:val="000000" w:themeColor="text1"/>
          <w:highlight w:val="none"/>
        </w:rPr>
        <w:t>2.1</w:t>
      </w:r>
      <w:r>
        <w:rPr>
          <w:color w:val="000000" w:themeColor="text1"/>
          <w:highlight w:val="none"/>
        </w:rPr>
        <w:t>编制依据</w:t>
      </w:r>
      <w:bookmarkEnd w:id="96"/>
      <w:bookmarkEnd w:id="97"/>
      <w:bookmarkEnd w:id="98"/>
      <w:bookmarkEnd w:id="99"/>
      <w:bookmarkEnd w:id="100"/>
    </w:p>
    <w:p w14:paraId="36932150">
      <w:pPr>
        <w:pStyle w:val="4"/>
        <w:pageBreakBefore w:val="0"/>
        <w:wordWrap/>
        <w:topLinePunct w:val="0"/>
        <w:bidi w:val="0"/>
        <w:spacing w:before="120" w:line="360" w:lineRule="auto"/>
        <w:rPr>
          <w:color w:val="000000" w:themeColor="text1"/>
          <w:highlight w:val="none"/>
        </w:rPr>
      </w:pPr>
      <w:bookmarkStart w:id="101" w:name="_Toc26087"/>
      <w:bookmarkStart w:id="102" w:name="_Toc17624"/>
      <w:r>
        <w:rPr>
          <w:rFonts w:hint="eastAsia"/>
          <w:color w:val="000000" w:themeColor="text1"/>
          <w:highlight w:val="none"/>
        </w:rPr>
        <w:t>2.1.1</w:t>
      </w:r>
      <w:r>
        <w:rPr>
          <w:color w:val="000000" w:themeColor="text1"/>
          <w:highlight w:val="none"/>
        </w:rPr>
        <w:t>国家法律规范及部门规章</w:t>
      </w:r>
      <w:bookmarkEnd w:id="101"/>
      <w:bookmarkEnd w:id="102"/>
    </w:p>
    <w:p w14:paraId="6E0A6543">
      <w:pPr>
        <w:pageBreakBefore w:val="0"/>
        <w:wordWrap/>
        <w:topLinePunct w:val="0"/>
        <w:bidi w:val="0"/>
        <w:spacing w:line="360" w:lineRule="auto"/>
        <w:rPr>
          <w:color w:val="000000" w:themeColor="text1"/>
          <w:highlight w:val="none"/>
        </w:rPr>
      </w:pPr>
      <w:r>
        <w:rPr>
          <w:color w:val="000000" w:themeColor="text1"/>
          <w:highlight w:val="none"/>
        </w:rPr>
        <w:t>（1）《中华人民共和国环境保护法》（2015年1月1日</w:t>
      </w:r>
      <w:r>
        <w:rPr>
          <w:rFonts w:hint="eastAsia"/>
          <w:color w:val="000000" w:themeColor="text1"/>
          <w:highlight w:val="none"/>
          <w:lang w:eastAsia="zh-CN"/>
        </w:rPr>
        <w:t>）</w:t>
      </w:r>
      <w:r>
        <w:rPr>
          <w:color w:val="000000" w:themeColor="text1"/>
          <w:highlight w:val="none"/>
        </w:rPr>
        <w:t>；</w:t>
      </w:r>
    </w:p>
    <w:p w14:paraId="0A002987">
      <w:pPr>
        <w:pStyle w:val="92"/>
        <w:pageBreakBefore w:val="0"/>
        <w:wordWrap/>
        <w:topLinePunct w:val="0"/>
        <w:bidi w:val="0"/>
        <w:spacing w:line="360" w:lineRule="auto"/>
        <w:rPr>
          <w:color w:val="000000" w:themeColor="text1"/>
          <w:highlight w:val="none"/>
        </w:rPr>
      </w:pPr>
      <w:r>
        <w:rPr>
          <w:color w:val="000000" w:themeColor="text1"/>
          <w:highlight w:val="none"/>
        </w:rPr>
        <w:t>（2）《中华人民共和国环境影响评价法》</w:t>
      </w:r>
      <w:r>
        <w:rPr>
          <w:rFonts w:hint="eastAsia"/>
          <w:color w:val="000000" w:themeColor="text1"/>
          <w:highlight w:val="none"/>
          <w:lang w:eastAsia="zh-CN"/>
        </w:rPr>
        <w:t>（</w:t>
      </w:r>
      <w:r>
        <w:rPr>
          <w:color w:val="000000" w:themeColor="text1"/>
          <w:highlight w:val="none"/>
        </w:rPr>
        <w:t>2018年12月29日修改）；</w:t>
      </w:r>
    </w:p>
    <w:p w14:paraId="2C4BC5EF">
      <w:pPr>
        <w:pageBreakBefore w:val="0"/>
        <w:wordWrap/>
        <w:topLinePunct w:val="0"/>
        <w:bidi w:val="0"/>
        <w:spacing w:line="360" w:lineRule="auto"/>
        <w:rPr>
          <w:color w:val="000000" w:themeColor="text1"/>
          <w:highlight w:val="none"/>
        </w:rPr>
      </w:pPr>
      <w:r>
        <w:rPr>
          <w:color w:val="000000" w:themeColor="text1"/>
          <w:highlight w:val="none"/>
        </w:rPr>
        <w:t>（3）《中华人民共和国大气污染防治法》</w:t>
      </w:r>
      <w:r>
        <w:rPr>
          <w:rFonts w:hint="eastAsia"/>
          <w:color w:val="000000" w:themeColor="text1"/>
          <w:highlight w:val="none"/>
          <w:lang w:eastAsia="zh-CN"/>
        </w:rPr>
        <w:t>（</w:t>
      </w:r>
      <w:r>
        <w:rPr>
          <w:color w:val="000000" w:themeColor="text1"/>
          <w:highlight w:val="none"/>
        </w:rPr>
        <w:t>2018年10月26日修正）；</w:t>
      </w:r>
    </w:p>
    <w:p w14:paraId="5CB7A8E7">
      <w:pPr>
        <w:pageBreakBefore w:val="0"/>
        <w:wordWrap/>
        <w:topLinePunct w:val="0"/>
        <w:bidi w:val="0"/>
        <w:spacing w:line="360" w:lineRule="auto"/>
        <w:rPr>
          <w:color w:val="000000" w:themeColor="text1"/>
          <w:highlight w:val="none"/>
        </w:rPr>
      </w:pPr>
      <w:r>
        <w:rPr>
          <w:color w:val="000000" w:themeColor="text1"/>
          <w:highlight w:val="none"/>
        </w:rPr>
        <w:t>（4）《中华人民共和国水法》（2016年7月2日修正）；</w:t>
      </w:r>
    </w:p>
    <w:p w14:paraId="43A6E326">
      <w:pPr>
        <w:pageBreakBefore w:val="0"/>
        <w:wordWrap/>
        <w:topLinePunct w:val="0"/>
        <w:bidi w:val="0"/>
        <w:spacing w:line="360" w:lineRule="auto"/>
        <w:rPr>
          <w:color w:val="000000" w:themeColor="text1"/>
          <w:highlight w:val="none"/>
        </w:rPr>
      </w:pPr>
      <w:r>
        <w:rPr>
          <w:color w:val="000000" w:themeColor="text1"/>
          <w:highlight w:val="none"/>
        </w:rPr>
        <w:t>（5）《中华人民共和国水污染防治法》（2018年1月1日修正）；</w:t>
      </w:r>
    </w:p>
    <w:p w14:paraId="15EC56D2">
      <w:pPr>
        <w:pageBreakBefore w:val="0"/>
        <w:wordWrap/>
        <w:topLinePunct w:val="0"/>
        <w:bidi w:val="0"/>
        <w:spacing w:line="360" w:lineRule="auto"/>
        <w:rPr>
          <w:color w:val="000000" w:themeColor="text1"/>
          <w:highlight w:val="none"/>
        </w:rPr>
      </w:pPr>
      <w:r>
        <w:rPr>
          <w:color w:val="000000" w:themeColor="text1"/>
          <w:highlight w:val="none"/>
        </w:rPr>
        <w:t>（6）《中华人民共和国噪声污染防治法》</w:t>
      </w:r>
      <w:r>
        <w:rPr>
          <w:color w:val="000000" w:themeColor="text1"/>
          <w:szCs w:val="22"/>
          <w:highlight w:val="none"/>
        </w:rPr>
        <w:t>（20</w:t>
      </w:r>
      <w:r>
        <w:rPr>
          <w:rFonts w:hint="eastAsia"/>
          <w:color w:val="000000" w:themeColor="text1"/>
          <w:szCs w:val="22"/>
          <w:highlight w:val="none"/>
        </w:rPr>
        <w:t>22</w:t>
      </w:r>
      <w:r>
        <w:rPr>
          <w:color w:val="000000" w:themeColor="text1"/>
          <w:szCs w:val="22"/>
          <w:highlight w:val="none"/>
        </w:rPr>
        <w:t>年</w:t>
      </w:r>
      <w:r>
        <w:rPr>
          <w:rFonts w:hint="eastAsia"/>
          <w:color w:val="000000" w:themeColor="text1"/>
          <w:szCs w:val="22"/>
          <w:highlight w:val="none"/>
        </w:rPr>
        <w:t>6</w:t>
      </w:r>
      <w:r>
        <w:rPr>
          <w:color w:val="000000" w:themeColor="text1"/>
          <w:szCs w:val="22"/>
          <w:highlight w:val="none"/>
        </w:rPr>
        <w:t>月</w:t>
      </w:r>
      <w:r>
        <w:rPr>
          <w:rFonts w:hint="eastAsia"/>
          <w:color w:val="000000" w:themeColor="text1"/>
          <w:szCs w:val="22"/>
          <w:highlight w:val="none"/>
        </w:rPr>
        <w:t>5</w:t>
      </w:r>
      <w:r>
        <w:rPr>
          <w:color w:val="000000" w:themeColor="text1"/>
          <w:szCs w:val="22"/>
          <w:highlight w:val="none"/>
        </w:rPr>
        <w:t>日</w:t>
      </w:r>
      <w:r>
        <w:rPr>
          <w:rFonts w:hint="eastAsia"/>
          <w:color w:val="000000" w:themeColor="text1"/>
          <w:szCs w:val="22"/>
          <w:highlight w:val="none"/>
        </w:rPr>
        <w:t>实施）</w:t>
      </w:r>
      <w:r>
        <w:rPr>
          <w:color w:val="000000" w:themeColor="text1"/>
          <w:highlight w:val="none"/>
        </w:rPr>
        <w:t>；</w:t>
      </w:r>
    </w:p>
    <w:p w14:paraId="16B94E20">
      <w:pPr>
        <w:pageBreakBefore w:val="0"/>
        <w:wordWrap/>
        <w:topLinePunct w:val="0"/>
        <w:bidi w:val="0"/>
        <w:spacing w:line="360" w:lineRule="auto"/>
        <w:rPr>
          <w:color w:val="000000" w:themeColor="text1"/>
          <w:highlight w:val="none"/>
        </w:rPr>
      </w:pPr>
      <w:r>
        <w:rPr>
          <w:color w:val="000000" w:themeColor="text1"/>
          <w:highlight w:val="none"/>
        </w:rPr>
        <w:t>（7）《中华人民共和国固体废物污染环境防治法》（2020年9月1日</w:t>
      </w:r>
      <w:r>
        <w:rPr>
          <w:rFonts w:hint="eastAsia"/>
          <w:color w:val="000000" w:themeColor="text1"/>
          <w:highlight w:val="none"/>
          <w:lang w:val="en-US" w:eastAsia="zh-CN"/>
        </w:rPr>
        <w:t>施行</w:t>
      </w:r>
      <w:r>
        <w:rPr>
          <w:color w:val="000000" w:themeColor="text1"/>
          <w:highlight w:val="none"/>
        </w:rPr>
        <w:t>）；</w:t>
      </w:r>
    </w:p>
    <w:p w14:paraId="7127EE7A">
      <w:pPr>
        <w:pageBreakBefore w:val="0"/>
        <w:wordWrap/>
        <w:topLinePunct w:val="0"/>
        <w:bidi w:val="0"/>
        <w:spacing w:line="360" w:lineRule="auto"/>
        <w:rPr>
          <w:color w:val="000000" w:themeColor="text1"/>
          <w:highlight w:val="none"/>
        </w:rPr>
      </w:pPr>
      <w:r>
        <w:rPr>
          <w:color w:val="000000" w:themeColor="text1"/>
          <w:highlight w:val="none"/>
        </w:rPr>
        <w:t>（8）《中华人民共和国防洪法》（2016年7月2日修正）；</w:t>
      </w:r>
    </w:p>
    <w:p w14:paraId="456CB756">
      <w:pPr>
        <w:pageBreakBefore w:val="0"/>
        <w:wordWrap/>
        <w:topLinePunct w:val="0"/>
        <w:bidi w:val="0"/>
        <w:spacing w:line="360" w:lineRule="auto"/>
        <w:rPr>
          <w:color w:val="000000" w:themeColor="text1"/>
          <w:highlight w:val="none"/>
        </w:rPr>
      </w:pPr>
      <w:r>
        <w:rPr>
          <w:color w:val="000000" w:themeColor="text1"/>
          <w:highlight w:val="none"/>
        </w:rPr>
        <w:t>（9）《中华人民共和国公路法》（2017年11月4日修正）；</w:t>
      </w:r>
    </w:p>
    <w:p w14:paraId="0F27AC46">
      <w:pPr>
        <w:pageBreakBefore w:val="0"/>
        <w:wordWrap/>
        <w:topLinePunct w:val="0"/>
        <w:bidi w:val="0"/>
        <w:spacing w:line="360" w:lineRule="auto"/>
        <w:rPr>
          <w:color w:val="000000" w:themeColor="text1"/>
          <w:highlight w:val="none"/>
        </w:rPr>
      </w:pPr>
      <w:r>
        <w:rPr>
          <w:color w:val="000000" w:themeColor="text1"/>
          <w:highlight w:val="none"/>
        </w:rPr>
        <w:t>（10）《中华人民共和国水土保持法》（2011年3月1日）；</w:t>
      </w:r>
    </w:p>
    <w:p w14:paraId="42A05EF4">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color w:val="000000" w:themeColor="text1"/>
          <w:highlight w:val="none"/>
        </w:rPr>
        <w:t>1</w:t>
      </w:r>
      <w:r>
        <w:rPr>
          <w:rFonts w:hint="eastAsia"/>
          <w:color w:val="000000" w:themeColor="text1"/>
          <w:highlight w:val="none"/>
        </w:rPr>
        <w:t>）</w:t>
      </w:r>
      <w:r>
        <w:rPr>
          <w:color w:val="000000" w:themeColor="text1"/>
          <w:highlight w:val="none"/>
        </w:rPr>
        <w:t>《中华人民共和国</w:t>
      </w:r>
      <w:r>
        <w:rPr>
          <w:rFonts w:hint="eastAsia"/>
          <w:color w:val="000000" w:themeColor="text1"/>
          <w:highlight w:val="none"/>
        </w:rPr>
        <w:t>文物保护</w:t>
      </w:r>
      <w:r>
        <w:rPr>
          <w:color w:val="000000" w:themeColor="text1"/>
          <w:highlight w:val="none"/>
        </w:rPr>
        <w:t>法》（2017年11月5日）；</w:t>
      </w:r>
    </w:p>
    <w:p w14:paraId="1D10BDFC">
      <w:pPr>
        <w:pageBreakBefore w:val="0"/>
        <w:wordWrap/>
        <w:topLinePunct w:val="0"/>
        <w:bidi w:val="0"/>
        <w:spacing w:line="360" w:lineRule="auto"/>
        <w:rPr>
          <w:color w:val="000000" w:themeColor="text1"/>
          <w:highlight w:val="none"/>
        </w:rPr>
      </w:pPr>
      <w:r>
        <w:rPr>
          <w:color w:val="000000" w:themeColor="text1"/>
          <w:highlight w:val="none"/>
        </w:rPr>
        <w:t>（12）《中华人民共和国土地管理法》（</w:t>
      </w:r>
      <w:r>
        <w:rPr>
          <w:rFonts w:hint="eastAsia"/>
          <w:color w:val="000000" w:themeColor="text1"/>
          <w:highlight w:val="none"/>
        </w:rPr>
        <w:t>2020年1月1日实施</w:t>
      </w:r>
      <w:r>
        <w:rPr>
          <w:color w:val="000000" w:themeColor="text1"/>
          <w:highlight w:val="none"/>
        </w:rPr>
        <w:t>）；</w:t>
      </w:r>
    </w:p>
    <w:p w14:paraId="37C9D692">
      <w:pPr>
        <w:pageBreakBefore w:val="0"/>
        <w:wordWrap/>
        <w:topLinePunct w:val="0"/>
        <w:bidi w:val="0"/>
        <w:spacing w:line="360" w:lineRule="auto"/>
        <w:rPr>
          <w:color w:val="000000" w:themeColor="text1"/>
          <w:kern w:val="0"/>
          <w:szCs w:val="32"/>
          <w:highlight w:val="none"/>
        </w:rPr>
      </w:pPr>
      <w:r>
        <w:rPr>
          <w:rFonts w:hint="eastAsia"/>
          <w:color w:val="000000" w:themeColor="text1"/>
          <w:highlight w:val="none"/>
        </w:rPr>
        <w:t>（1</w:t>
      </w:r>
      <w:r>
        <w:rPr>
          <w:color w:val="000000" w:themeColor="text1"/>
          <w:highlight w:val="none"/>
        </w:rPr>
        <w:t>3</w:t>
      </w:r>
      <w:r>
        <w:rPr>
          <w:rFonts w:hint="eastAsia"/>
          <w:color w:val="000000" w:themeColor="text1"/>
          <w:highlight w:val="none"/>
        </w:rPr>
        <w:t>）《中华人民共和国森林法》，</w:t>
      </w:r>
      <w:r>
        <w:rPr>
          <w:color w:val="000000" w:themeColor="text1"/>
          <w:highlight w:val="none"/>
        </w:rPr>
        <w:t>2020</w:t>
      </w:r>
      <w:r>
        <w:rPr>
          <w:rFonts w:hint="eastAsia"/>
          <w:color w:val="000000" w:themeColor="text1"/>
          <w:highlight w:val="none"/>
        </w:rPr>
        <w:t>年</w:t>
      </w:r>
      <w:r>
        <w:rPr>
          <w:color w:val="000000" w:themeColor="text1"/>
          <w:highlight w:val="none"/>
        </w:rPr>
        <w:t>7</w:t>
      </w:r>
      <w:r>
        <w:rPr>
          <w:rFonts w:hint="eastAsia"/>
          <w:color w:val="000000" w:themeColor="text1"/>
          <w:highlight w:val="none"/>
        </w:rPr>
        <w:t>月</w:t>
      </w:r>
      <w:r>
        <w:rPr>
          <w:color w:val="000000" w:themeColor="text1"/>
          <w:highlight w:val="none"/>
        </w:rPr>
        <w:t>1</w:t>
      </w:r>
      <w:r>
        <w:rPr>
          <w:rFonts w:hint="eastAsia"/>
          <w:color w:val="000000" w:themeColor="text1"/>
          <w:highlight w:val="none"/>
        </w:rPr>
        <w:t>日起施行；</w:t>
      </w:r>
    </w:p>
    <w:p w14:paraId="37FAC35A">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color w:val="000000" w:themeColor="text1"/>
          <w:highlight w:val="none"/>
        </w:rPr>
        <w:t>4</w:t>
      </w:r>
      <w:r>
        <w:rPr>
          <w:rFonts w:hint="eastAsia"/>
          <w:color w:val="000000" w:themeColor="text1"/>
          <w:highlight w:val="none"/>
        </w:rPr>
        <w:t>）《中华人民共和国野生植物保护条例》，</w:t>
      </w:r>
      <w:r>
        <w:rPr>
          <w:color w:val="000000" w:themeColor="text1"/>
          <w:highlight w:val="none"/>
        </w:rPr>
        <w:t>2017</w:t>
      </w:r>
      <w:r>
        <w:rPr>
          <w:rFonts w:hint="eastAsia"/>
          <w:color w:val="000000" w:themeColor="text1"/>
          <w:highlight w:val="none"/>
        </w:rPr>
        <w:t>年</w:t>
      </w:r>
      <w:r>
        <w:rPr>
          <w:color w:val="000000" w:themeColor="text1"/>
          <w:highlight w:val="none"/>
        </w:rPr>
        <w:t>10</w:t>
      </w:r>
      <w:r>
        <w:rPr>
          <w:rFonts w:hint="eastAsia"/>
          <w:color w:val="000000" w:themeColor="text1"/>
          <w:highlight w:val="none"/>
        </w:rPr>
        <w:t>月</w:t>
      </w:r>
      <w:r>
        <w:rPr>
          <w:color w:val="000000" w:themeColor="text1"/>
          <w:highlight w:val="none"/>
        </w:rPr>
        <w:t>7</w:t>
      </w:r>
      <w:r>
        <w:rPr>
          <w:rFonts w:hint="eastAsia"/>
          <w:color w:val="000000" w:themeColor="text1"/>
          <w:highlight w:val="none"/>
        </w:rPr>
        <w:t>日起施行；</w:t>
      </w:r>
    </w:p>
    <w:p w14:paraId="7A2002EC">
      <w:pPr>
        <w:pageBreakBefore w:val="0"/>
        <w:wordWrap/>
        <w:topLinePunct w:val="0"/>
        <w:bidi w:val="0"/>
        <w:spacing w:line="360" w:lineRule="auto"/>
        <w:rPr>
          <w:color w:val="000000" w:themeColor="text1"/>
          <w:highlight w:val="none"/>
        </w:rPr>
      </w:pPr>
      <w:r>
        <w:rPr>
          <w:color w:val="000000" w:themeColor="text1"/>
          <w:highlight w:val="none"/>
        </w:rPr>
        <w:t>（15）《</w:t>
      </w:r>
      <w:r>
        <w:rPr>
          <w:rFonts w:hint="eastAsia"/>
          <w:color w:val="000000" w:themeColor="text1"/>
          <w:highlight w:val="none"/>
          <w:lang w:val="en-US" w:eastAsia="zh-CN"/>
        </w:rPr>
        <w:t>中华人民共和国野生动物保护法》，（</w:t>
      </w:r>
      <w:r>
        <w:rPr>
          <w:rFonts w:hint="default"/>
          <w:color w:val="000000" w:themeColor="text1"/>
          <w:highlight w:val="none"/>
          <w:lang w:val="en-US" w:eastAsia="zh-CN"/>
        </w:rPr>
        <w:t>2018</w:t>
      </w:r>
      <w:r>
        <w:rPr>
          <w:rFonts w:hint="eastAsia"/>
          <w:color w:val="000000" w:themeColor="text1"/>
          <w:highlight w:val="none"/>
          <w:lang w:val="en-US" w:eastAsia="zh-CN"/>
        </w:rPr>
        <w:t>年</w:t>
      </w:r>
      <w:r>
        <w:rPr>
          <w:rFonts w:hint="default"/>
          <w:color w:val="000000" w:themeColor="text1"/>
          <w:highlight w:val="none"/>
          <w:lang w:val="en-US" w:eastAsia="zh-CN"/>
        </w:rPr>
        <w:t>10</w:t>
      </w:r>
      <w:r>
        <w:rPr>
          <w:rFonts w:hint="eastAsia"/>
          <w:color w:val="000000" w:themeColor="text1"/>
          <w:highlight w:val="none"/>
          <w:lang w:val="en-US" w:eastAsia="zh-CN"/>
        </w:rPr>
        <w:t>月</w:t>
      </w:r>
      <w:r>
        <w:rPr>
          <w:rFonts w:hint="default"/>
          <w:color w:val="000000" w:themeColor="text1"/>
          <w:highlight w:val="none"/>
          <w:lang w:val="en-US" w:eastAsia="zh-CN"/>
        </w:rPr>
        <w:t>26</w:t>
      </w:r>
      <w:r>
        <w:rPr>
          <w:rFonts w:hint="eastAsia"/>
          <w:color w:val="000000" w:themeColor="text1"/>
          <w:highlight w:val="none"/>
          <w:lang w:val="en-US" w:eastAsia="zh-CN"/>
        </w:rPr>
        <w:t>日修订）</w:t>
      </w:r>
      <w:r>
        <w:rPr>
          <w:color w:val="000000" w:themeColor="text1"/>
          <w:highlight w:val="none"/>
        </w:rPr>
        <w:t>；</w:t>
      </w:r>
    </w:p>
    <w:p w14:paraId="672CA29A">
      <w:pPr>
        <w:pageBreakBefore w:val="0"/>
        <w:wordWrap/>
        <w:topLinePunct w:val="0"/>
        <w:bidi w:val="0"/>
        <w:spacing w:line="360" w:lineRule="auto"/>
        <w:rPr>
          <w:color w:val="000000" w:themeColor="text1"/>
          <w:highlight w:val="none"/>
        </w:rPr>
      </w:pPr>
      <w:r>
        <w:rPr>
          <w:color w:val="000000" w:themeColor="text1"/>
          <w:highlight w:val="none"/>
        </w:rPr>
        <w:t>（16）《中华人民共和国自然保护区条例》（中华人民共和国国务院令第687号，2017年10月7日修订）；</w:t>
      </w:r>
    </w:p>
    <w:p w14:paraId="11D4A969">
      <w:pPr>
        <w:pStyle w:val="92"/>
        <w:pageBreakBefore w:val="0"/>
        <w:wordWrap/>
        <w:topLinePunct w:val="0"/>
        <w:bidi w:val="0"/>
        <w:spacing w:line="360" w:lineRule="auto"/>
        <w:rPr>
          <w:color w:val="000000" w:themeColor="text1"/>
          <w:highlight w:val="none"/>
        </w:rPr>
      </w:pPr>
      <w:r>
        <w:rPr>
          <w:color w:val="000000" w:themeColor="text1"/>
          <w:highlight w:val="none"/>
        </w:rPr>
        <w:t>（17）《中华人民共和国河道管理条例》（国务院令第698号，2018年4月4日修订）；</w:t>
      </w:r>
    </w:p>
    <w:p w14:paraId="1B4C30FC">
      <w:pPr>
        <w:pageBreakBefore w:val="0"/>
        <w:wordWrap/>
        <w:topLinePunct w:val="0"/>
        <w:bidi w:val="0"/>
        <w:spacing w:line="360" w:lineRule="auto"/>
        <w:rPr>
          <w:color w:val="000000" w:themeColor="text1"/>
          <w:highlight w:val="none"/>
        </w:rPr>
      </w:pPr>
      <w:r>
        <w:rPr>
          <w:color w:val="000000" w:themeColor="text1"/>
          <w:highlight w:val="none"/>
        </w:rPr>
        <w:t>（18）《基本农田保护条例》（国务院第257号令，2011年1月8日修订）；</w:t>
      </w:r>
    </w:p>
    <w:p w14:paraId="42067FB6">
      <w:pPr>
        <w:pageBreakBefore w:val="0"/>
        <w:wordWrap/>
        <w:topLinePunct w:val="0"/>
        <w:bidi w:val="0"/>
        <w:spacing w:line="360" w:lineRule="auto"/>
        <w:rPr>
          <w:color w:val="000000" w:themeColor="text1"/>
          <w:highlight w:val="none"/>
        </w:rPr>
      </w:pPr>
      <w:r>
        <w:rPr>
          <w:color w:val="000000" w:themeColor="text1"/>
          <w:highlight w:val="none"/>
        </w:rPr>
        <w:t>（19）《土地复垦条例》（国务院令第592号，2011年3月5日实施）；</w:t>
      </w:r>
    </w:p>
    <w:p w14:paraId="13959FE9">
      <w:pPr>
        <w:pageBreakBefore w:val="0"/>
        <w:wordWrap/>
        <w:topLinePunct w:val="0"/>
        <w:bidi w:val="0"/>
        <w:spacing w:line="360" w:lineRule="auto"/>
        <w:rPr>
          <w:color w:val="000000" w:themeColor="text1"/>
          <w:kern w:val="0"/>
          <w:highlight w:val="none"/>
        </w:rPr>
      </w:pPr>
      <w:r>
        <w:rPr>
          <w:color w:val="000000" w:themeColor="text1"/>
          <w:highlight w:val="none"/>
        </w:rPr>
        <w:t>（20）《关于进一步加强土地整理复垦开发工作的通知》（国土资发［2008］176</w:t>
      </w:r>
      <w:r>
        <w:rPr>
          <w:color w:val="000000" w:themeColor="text1"/>
          <w:kern w:val="0"/>
          <w:highlight w:val="none"/>
        </w:rPr>
        <w:t>号）；</w:t>
      </w:r>
    </w:p>
    <w:p w14:paraId="6DF81555">
      <w:pPr>
        <w:pageBreakBefore w:val="0"/>
        <w:wordWrap/>
        <w:topLinePunct w:val="0"/>
        <w:bidi w:val="0"/>
        <w:spacing w:line="360" w:lineRule="auto"/>
        <w:rPr>
          <w:color w:val="000000" w:themeColor="text1"/>
          <w:highlight w:val="none"/>
        </w:rPr>
      </w:pPr>
      <w:r>
        <w:rPr>
          <w:color w:val="000000" w:themeColor="text1"/>
          <w:highlight w:val="none"/>
        </w:rPr>
        <w:t>（21）《建设项目环境影响评价分类管理名录》（2021</w:t>
      </w:r>
      <w:r>
        <w:rPr>
          <w:rFonts w:hint="eastAsia"/>
          <w:color w:val="000000" w:themeColor="text1"/>
          <w:highlight w:val="none"/>
        </w:rPr>
        <w:t>年版</w:t>
      </w:r>
      <w:r>
        <w:rPr>
          <w:color w:val="000000" w:themeColor="text1"/>
          <w:highlight w:val="none"/>
        </w:rPr>
        <w:t>）；</w:t>
      </w:r>
    </w:p>
    <w:p w14:paraId="73BE68C2">
      <w:pPr>
        <w:pageBreakBefore w:val="0"/>
        <w:wordWrap/>
        <w:topLinePunct w:val="0"/>
        <w:bidi w:val="0"/>
        <w:spacing w:line="360" w:lineRule="auto"/>
        <w:rPr>
          <w:color w:val="000000" w:themeColor="text1"/>
          <w:highlight w:val="none"/>
        </w:rPr>
      </w:pPr>
      <w:r>
        <w:rPr>
          <w:color w:val="000000" w:themeColor="text1"/>
          <w:highlight w:val="none"/>
        </w:rPr>
        <w:t>（22）国家环境保护总局文件《关于进一步加强建设项目环境保护工作的通知》（环发[2001]19号）；</w:t>
      </w:r>
    </w:p>
    <w:p w14:paraId="7FE52B03">
      <w:pPr>
        <w:pageBreakBefore w:val="0"/>
        <w:wordWrap/>
        <w:topLinePunct w:val="0"/>
        <w:bidi w:val="0"/>
        <w:spacing w:line="360" w:lineRule="auto"/>
        <w:rPr>
          <w:color w:val="000000" w:themeColor="text1"/>
          <w:highlight w:val="none"/>
        </w:rPr>
      </w:pPr>
      <w:r>
        <w:rPr>
          <w:color w:val="000000" w:themeColor="text1"/>
          <w:highlight w:val="none"/>
        </w:rPr>
        <w:t>（23）《产业结构调整指导目录</w:t>
      </w:r>
      <w:r>
        <w:rPr>
          <w:rFonts w:hint="eastAsia"/>
          <w:color w:val="000000" w:themeColor="text1"/>
          <w:highlight w:val="none"/>
          <w:lang w:eastAsia="zh-CN"/>
        </w:rPr>
        <w:t>（</w:t>
      </w:r>
      <w:r>
        <w:rPr>
          <w:color w:val="000000" w:themeColor="text1"/>
          <w:highlight w:val="none"/>
        </w:rPr>
        <w:t>20</w:t>
      </w:r>
      <w:r>
        <w:rPr>
          <w:rFonts w:hint="eastAsia"/>
          <w:color w:val="000000" w:themeColor="text1"/>
          <w:highlight w:val="none"/>
          <w:lang w:val="en-US" w:eastAsia="zh-CN"/>
        </w:rPr>
        <w:t>24</w:t>
      </w:r>
      <w:r>
        <w:rPr>
          <w:color w:val="000000" w:themeColor="text1"/>
          <w:highlight w:val="none"/>
        </w:rPr>
        <w:t>年本</w:t>
      </w:r>
      <w:r>
        <w:rPr>
          <w:rFonts w:hint="eastAsia"/>
          <w:color w:val="000000" w:themeColor="text1"/>
          <w:highlight w:val="none"/>
          <w:lang w:eastAsia="zh-CN"/>
        </w:rPr>
        <w:t>）</w:t>
      </w:r>
      <w:r>
        <w:rPr>
          <w:color w:val="000000" w:themeColor="text1"/>
          <w:highlight w:val="none"/>
        </w:rPr>
        <w:t>》，</w:t>
      </w:r>
      <w:r>
        <w:rPr>
          <w:rFonts w:hint="eastAsia"/>
          <w:color w:val="000000" w:themeColor="text1"/>
          <w:highlight w:val="none"/>
        </w:rPr>
        <w:t>中华人民共和国</w:t>
      </w:r>
      <w:r>
        <w:rPr>
          <w:color w:val="000000" w:themeColor="text1"/>
          <w:highlight w:val="none"/>
        </w:rPr>
        <w:t>国家发展和改革委员会</w:t>
      </w:r>
      <w:r>
        <w:rPr>
          <w:rFonts w:hint="eastAsia"/>
          <w:color w:val="000000" w:themeColor="text1"/>
          <w:highlight w:val="none"/>
          <w:lang w:val="en-US" w:eastAsia="zh-CN"/>
        </w:rPr>
        <w:t>7</w:t>
      </w:r>
      <w:r>
        <w:rPr>
          <w:rFonts w:hint="eastAsia"/>
          <w:color w:val="000000" w:themeColor="text1"/>
          <w:highlight w:val="none"/>
        </w:rPr>
        <w:t>号令</w:t>
      </w:r>
      <w:r>
        <w:rPr>
          <w:color w:val="000000" w:themeColor="text1"/>
          <w:highlight w:val="none"/>
        </w:rPr>
        <w:t>（20</w:t>
      </w:r>
      <w:r>
        <w:rPr>
          <w:rFonts w:hint="eastAsia"/>
          <w:color w:val="000000" w:themeColor="text1"/>
          <w:highlight w:val="none"/>
          <w:lang w:val="en-US" w:eastAsia="zh-CN"/>
        </w:rPr>
        <w:t>23</w:t>
      </w:r>
      <w:r>
        <w:rPr>
          <w:color w:val="000000" w:themeColor="text1"/>
          <w:highlight w:val="none"/>
        </w:rPr>
        <w:t>年</w:t>
      </w:r>
      <w:r>
        <w:rPr>
          <w:rFonts w:hint="eastAsia"/>
          <w:color w:val="000000" w:themeColor="text1"/>
          <w:highlight w:val="none"/>
          <w:lang w:val="en-US" w:eastAsia="zh-CN"/>
        </w:rPr>
        <w:t>12</w:t>
      </w:r>
      <w:r>
        <w:rPr>
          <w:color w:val="000000" w:themeColor="text1"/>
          <w:highlight w:val="none"/>
        </w:rPr>
        <w:t>月</w:t>
      </w:r>
      <w:r>
        <w:rPr>
          <w:rFonts w:hint="eastAsia"/>
          <w:color w:val="000000" w:themeColor="text1"/>
          <w:highlight w:val="none"/>
          <w:lang w:val="en-US" w:eastAsia="zh-CN"/>
        </w:rPr>
        <w:t>27</w:t>
      </w:r>
      <w:r>
        <w:rPr>
          <w:color w:val="000000" w:themeColor="text1"/>
          <w:highlight w:val="none"/>
        </w:rPr>
        <w:t>日）；</w:t>
      </w:r>
    </w:p>
    <w:p w14:paraId="094E1DF4">
      <w:pPr>
        <w:pageBreakBefore w:val="0"/>
        <w:wordWrap/>
        <w:topLinePunct w:val="0"/>
        <w:bidi w:val="0"/>
        <w:spacing w:line="360" w:lineRule="auto"/>
        <w:rPr>
          <w:color w:val="000000" w:themeColor="text1"/>
          <w:highlight w:val="none"/>
        </w:rPr>
      </w:pPr>
      <w:r>
        <w:rPr>
          <w:color w:val="000000" w:themeColor="text1"/>
          <w:highlight w:val="none"/>
        </w:rPr>
        <w:t>（24）《关于在公路建设中实行最严格的耕地保护制度的若干意见》（交通部，交公路发（2004）164号）；</w:t>
      </w:r>
    </w:p>
    <w:p w14:paraId="316AC045">
      <w:pPr>
        <w:pageBreakBefore w:val="0"/>
        <w:wordWrap/>
        <w:topLinePunct w:val="0"/>
        <w:bidi w:val="0"/>
        <w:spacing w:line="360" w:lineRule="auto"/>
        <w:rPr>
          <w:color w:val="000000" w:themeColor="text1"/>
          <w:highlight w:val="none"/>
        </w:rPr>
      </w:pPr>
      <w:r>
        <w:rPr>
          <w:color w:val="000000" w:themeColor="text1"/>
          <w:highlight w:val="none"/>
        </w:rPr>
        <w:t>（25）《关于切实做好征地补偿安置工作的通知》（国土资发</w:t>
      </w:r>
      <w:r>
        <w:rPr>
          <w:rFonts w:hint="eastAsia"/>
          <w:color w:val="000000" w:themeColor="text1"/>
          <w:highlight w:val="none"/>
          <w:lang w:eastAsia="zh-CN"/>
        </w:rPr>
        <w:t>（</w:t>
      </w:r>
      <w:r>
        <w:rPr>
          <w:color w:val="000000" w:themeColor="text1"/>
          <w:highlight w:val="none"/>
        </w:rPr>
        <w:t>2001</w:t>
      </w:r>
      <w:r>
        <w:rPr>
          <w:rFonts w:hint="eastAsia"/>
          <w:color w:val="000000" w:themeColor="text1"/>
          <w:highlight w:val="none"/>
          <w:lang w:eastAsia="zh-CN"/>
        </w:rPr>
        <w:t>）</w:t>
      </w:r>
      <w:r>
        <w:rPr>
          <w:color w:val="000000" w:themeColor="text1"/>
          <w:highlight w:val="none"/>
        </w:rPr>
        <w:t>358号）；</w:t>
      </w:r>
    </w:p>
    <w:p w14:paraId="414AF26F">
      <w:pPr>
        <w:pageBreakBefore w:val="0"/>
        <w:wordWrap/>
        <w:topLinePunct w:val="0"/>
        <w:bidi w:val="0"/>
        <w:spacing w:line="360" w:lineRule="auto"/>
        <w:rPr>
          <w:color w:val="000000" w:themeColor="text1"/>
          <w:highlight w:val="none"/>
        </w:rPr>
      </w:pPr>
      <w:r>
        <w:rPr>
          <w:color w:val="000000" w:themeColor="text1"/>
          <w:highlight w:val="none"/>
        </w:rPr>
        <w:t>（26）《关于切实维护被征地农民合法权益的通知》（国土资发[2002]225号）；</w:t>
      </w:r>
    </w:p>
    <w:p w14:paraId="25FBC921">
      <w:pPr>
        <w:pageBreakBefore w:val="0"/>
        <w:wordWrap/>
        <w:topLinePunct w:val="0"/>
        <w:bidi w:val="0"/>
        <w:spacing w:line="360" w:lineRule="auto"/>
        <w:rPr>
          <w:color w:val="000000" w:themeColor="text1"/>
          <w:highlight w:val="none"/>
        </w:rPr>
      </w:pPr>
      <w:r>
        <w:rPr>
          <w:color w:val="000000" w:themeColor="text1"/>
          <w:highlight w:val="none"/>
        </w:rPr>
        <w:t>（27）国家环保总局《关于公路、铁路</w:t>
      </w:r>
      <w:r>
        <w:rPr>
          <w:rFonts w:hint="eastAsia"/>
          <w:color w:val="000000" w:themeColor="text1"/>
          <w:highlight w:val="none"/>
          <w:lang w:eastAsia="zh-CN"/>
        </w:rPr>
        <w:t>（</w:t>
      </w:r>
      <w:r>
        <w:rPr>
          <w:color w:val="000000" w:themeColor="text1"/>
          <w:highlight w:val="none"/>
        </w:rPr>
        <w:t>含轻轨</w:t>
      </w:r>
      <w:r>
        <w:rPr>
          <w:rFonts w:hint="eastAsia"/>
          <w:color w:val="000000" w:themeColor="text1"/>
          <w:highlight w:val="none"/>
          <w:lang w:eastAsia="zh-CN"/>
        </w:rPr>
        <w:t>）</w:t>
      </w:r>
      <w:r>
        <w:rPr>
          <w:color w:val="000000" w:themeColor="text1"/>
          <w:highlight w:val="none"/>
        </w:rPr>
        <w:t>等建设项目的环境影响评价中环境噪声有关问题的通知》环发[2003]94号；</w:t>
      </w:r>
    </w:p>
    <w:p w14:paraId="1B4388BA">
      <w:pPr>
        <w:pageBreakBefore w:val="0"/>
        <w:wordWrap/>
        <w:topLinePunct w:val="0"/>
        <w:bidi w:val="0"/>
        <w:spacing w:line="360" w:lineRule="auto"/>
        <w:rPr>
          <w:color w:val="000000" w:themeColor="text1"/>
          <w:highlight w:val="none"/>
        </w:rPr>
      </w:pPr>
      <w:r>
        <w:rPr>
          <w:color w:val="000000" w:themeColor="text1"/>
          <w:highlight w:val="none"/>
        </w:rPr>
        <w:t>（28）《关于加强公路规划和建设环境影响评价工作的通知》（环发[2007]184号）；</w:t>
      </w:r>
    </w:p>
    <w:p w14:paraId="0EA13720">
      <w:pPr>
        <w:pageBreakBefore w:val="0"/>
        <w:wordWrap/>
        <w:topLinePunct w:val="0"/>
        <w:bidi w:val="0"/>
        <w:spacing w:line="360" w:lineRule="auto"/>
        <w:rPr>
          <w:color w:val="000000" w:themeColor="text1"/>
          <w:highlight w:val="none"/>
        </w:rPr>
      </w:pPr>
      <w:r>
        <w:rPr>
          <w:color w:val="000000" w:themeColor="text1"/>
          <w:highlight w:val="none"/>
        </w:rPr>
        <w:t>（29）《关于进一步加强环境影响评价管理防范环境风险的通知》，环发[2012]77号；</w:t>
      </w:r>
    </w:p>
    <w:p w14:paraId="3EF85613">
      <w:pPr>
        <w:pageBreakBefore w:val="0"/>
        <w:wordWrap/>
        <w:topLinePunct w:val="0"/>
        <w:bidi w:val="0"/>
        <w:spacing w:line="360" w:lineRule="auto"/>
        <w:rPr>
          <w:color w:val="000000" w:themeColor="text1"/>
          <w:highlight w:val="none"/>
        </w:rPr>
      </w:pPr>
      <w:r>
        <w:rPr>
          <w:color w:val="000000" w:themeColor="text1"/>
          <w:highlight w:val="none"/>
        </w:rPr>
        <w:t>（30）《关于切实加强风险防范严格环境影响评价管理的通知》，环发[2012]98号；</w:t>
      </w:r>
    </w:p>
    <w:p w14:paraId="39FDE50D">
      <w:pPr>
        <w:pageBreakBefore w:val="0"/>
        <w:wordWrap/>
        <w:topLinePunct w:val="0"/>
        <w:bidi w:val="0"/>
        <w:spacing w:line="360" w:lineRule="auto"/>
        <w:rPr>
          <w:color w:val="000000" w:themeColor="text1"/>
          <w:highlight w:val="none"/>
        </w:rPr>
      </w:pPr>
      <w:r>
        <w:rPr>
          <w:color w:val="000000" w:themeColor="text1"/>
          <w:highlight w:val="none"/>
        </w:rPr>
        <w:t>（31）《关于加强环境噪声污染防治工作改善城乡声环境质量的指导意见》（环发[2010]144号）；</w:t>
      </w:r>
    </w:p>
    <w:p w14:paraId="46A654AE">
      <w:pPr>
        <w:pageBreakBefore w:val="0"/>
        <w:wordWrap/>
        <w:topLinePunct w:val="0"/>
        <w:bidi w:val="0"/>
        <w:spacing w:line="360" w:lineRule="auto"/>
        <w:rPr>
          <w:color w:val="000000" w:themeColor="text1"/>
          <w:highlight w:val="none"/>
        </w:rPr>
      </w:pPr>
      <w:r>
        <w:rPr>
          <w:color w:val="000000" w:themeColor="text1"/>
          <w:highlight w:val="none"/>
        </w:rPr>
        <w:t>（32）关于发布《地面交通噪声污染防治技术政策》的通知（环发[2010]7号）；</w:t>
      </w:r>
    </w:p>
    <w:p w14:paraId="7E64B5FF">
      <w:pPr>
        <w:pageBreakBefore w:val="0"/>
        <w:wordWrap/>
        <w:topLinePunct w:val="0"/>
        <w:bidi w:val="0"/>
        <w:spacing w:line="360" w:lineRule="auto"/>
        <w:rPr>
          <w:color w:val="000000" w:themeColor="text1"/>
          <w:highlight w:val="none"/>
        </w:rPr>
      </w:pPr>
      <w:r>
        <w:rPr>
          <w:color w:val="000000" w:themeColor="text1"/>
          <w:highlight w:val="none"/>
        </w:rPr>
        <w:t>（33）《道路危险货物运输管理规定》（交通部令2013 年第2 号，2013 年7 月1日）；</w:t>
      </w:r>
    </w:p>
    <w:p w14:paraId="252C99D0">
      <w:pPr>
        <w:pageBreakBefore w:val="0"/>
        <w:wordWrap/>
        <w:topLinePunct w:val="0"/>
        <w:bidi w:val="0"/>
        <w:spacing w:line="360" w:lineRule="auto"/>
        <w:rPr>
          <w:color w:val="000000" w:themeColor="text1"/>
          <w:highlight w:val="none"/>
        </w:rPr>
      </w:pPr>
      <w:r>
        <w:rPr>
          <w:color w:val="000000" w:themeColor="text1"/>
          <w:highlight w:val="none"/>
        </w:rPr>
        <w:t>（34）《危险化学品安全管理条例》（2002年3月15日，2011年2月16日修订）；</w:t>
      </w:r>
    </w:p>
    <w:p w14:paraId="315CB9C6">
      <w:pPr>
        <w:pageBreakBefore w:val="0"/>
        <w:wordWrap/>
        <w:topLinePunct w:val="0"/>
        <w:bidi w:val="0"/>
        <w:spacing w:line="360" w:lineRule="auto"/>
        <w:rPr>
          <w:color w:val="000000" w:themeColor="text1"/>
          <w:highlight w:val="none"/>
        </w:rPr>
      </w:pPr>
      <w:r>
        <w:rPr>
          <w:color w:val="000000" w:themeColor="text1"/>
          <w:highlight w:val="none"/>
        </w:rPr>
        <w:t>（35）《国务院关于印发大气污染防治行动计划的通知》（国发〔2013〕37号）；</w:t>
      </w:r>
    </w:p>
    <w:p w14:paraId="6EBAF9AF">
      <w:pPr>
        <w:pageBreakBefore w:val="0"/>
        <w:wordWrap/>
        <w:topLinePunct w:val="0"/>
        <w:bidi w:val="0"/>
        <w:spacing w:line="360" w:lineRule="auto"/>
        <w:rPr>
          <w:color w:val="000000" w:themeColor="text1"/>
          <w:highlight w:val="none"/>
        </w:rPr>
      </w:pPr>
      <w:r>
        <w:rPr>
          <w:color w:val="000000" w:themeColor="text1"/>
          <w:highlight w:val="none"/>
        </w:rPr>
        <w:t>（36）《国务院关于印发水污染防治行动计划的通知》（国发[2015]17号）；</w:t>
      </w:r>
    </w:p>
    <w:p w14:paraId="61AE10AF">
      <w:pPr>
        <w:pageBreakBefore w:val="0"/>
        <w:wordWrap/>
        <w:topLinePunct w:val="0"/>
        <w:bidi w:val="0"/>
        <w:spacing w:line="360" w:lineRule="auto"/>
        <w:rPr>
          <w:color w:val="000000" w:themeColor="text1"/>
          <w:highlight w:val="none"/>
        </w:rPr>
      </w:pPr>
      <w:r>
        <w:rPr>
          <w:color w:val="000000" w:themeColor="text1"/>
          <w:highlight w:val="none"/>
        </w:rPr>
        <w:t>（37）《环境影响评价公众参与办法》（生态环境部令 第4号，2019年1月1日施行）；</w:t>
      </w:r>
    </w:p>
    <w:p w14:paraId="5E95DAC3">
      <w:pPr>
        <w:pageBreakBefore w:val="0"/>
        <w:wordWrap/>
        <w:topLinePunct w:val="0"/>
        <w:bidi w:val="0"/>
        <w:spacing w:line="360" w:lineRule="auto"/>
        <w:rPr>
          <w:color w:val="000000" w:themeColor="text1"/>
          <w:highlight w:val="none"/>
        </w:rPr>
      </w:pPr>
      <w:r>
        <w:rPr>
          <w:color w:val="000000" w:themeColor="text1"/>
          <w:highlight w:val="none"/>
        </w:rPr>
        <w:t>（38）《关于进一步加强水生生物资源保护严格环境影响评价管理的通知》（环发[2013]86号）；</w:t>
      </w:r>
    </w:p>
    <w:p w14:paraId="624C29F4">
      <w:pPr>
        <w:pageBreakBefore w:val="0"/>
        <w:wordWrap/>
        <w:topLinePunct w:val="0"/>
        <w:bidi w:val="0"/>
        <w:spacing w:line="360" w:lineRule="auto"/>
        <w:rPr>
          <w:color w:val="000000" w:themeColor="text1"/>
          <w:highlight w:val="none"/>
        </w:rPr>
      </w:pPr>
      <w:r>
        <w:rPr>
          <w:color w:val="000000" w:themeColor="text1"/>
          <w:highlight w:val="none"/>
        </w:rPr>
        <w:t>（39）《国务院关于印发中国水生生物资源养护行动纲要的通知》（国发[2006]9号）</w:t>
      </w:r>
    </w:p>
    <w:p w14:paraId="6A2FB32E">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40</w:t>
      </w:r>
      <w:r>
        <w:rPr>
          <w:rFonts w:hint="eastAsia"/>
          <w:color w:val="000000" w:themeColor="text1"/>
          <w:highlight w:val="none"/>
        </w:rPr>
        <w:t>）《关于加强环境保护重点工作的意见》（国发〔</w:t>
      </w:r>
      <w:r>
        <w:rPr>
          <w:color w:val="000000" w:themeColor="text1"/>
          <w:highlight w:val="none"/>
        </w:rPr>
        <w:t>2011</w:t>
      </w:r>
      <w:r>
        <w:rPr>
          <w:rFonts w:hint="eastAsia"/>
          <w:color w:val="000000" w:themeColor="text1"/>
          <w:highlight w:val="none"/>
        </w:rPr>
        <w:t>〕</w:t>
      </w:r>
      <w:r>
        <w:rPr>
          <w:color w:val="000000" w:themeColor="text1"/>
          <w:highlight w:val="none"/>
        </w:rPr>
        <w:t>35</w:t>
      </w:r>
      <w:r>
        <w:rPr>
          <w:rFonts w:hint="eastAsia"/>
          <w:color w:val="000000" w:themeColor="text1"/>
          <w:highlight w:val="none"/>
        </w:rPr>
        <w:t>号）；</w:t>
      </w:r>
    </w:p>
    <w:p w14:paraId="1DA8CA03">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color w:val="000000" w:themeColor="text1"/>
          <w:highlight w:val="none"/>
        </w:rPr>
        <w:t>4</w:t>
      </w:r>
      <w:r>
        <w:rPr>
          <w:rFonts w:hint="eastAsia"/>
          <w:color w:val="000000" w:themeColor="text1"/>
          <w:highlight w:val="none"/>
          <w:lang w:val="en-US" w:eastAsia="zh-CN"/>
        </w:rPr>
        <w:t>1</w:t>
      </w:r>
      <w:r>
        <w:rPr>
          <w:rFonts w:hint="eastAsia"/>
          <w:color w:val="000000" w:themeColor="text1"/>
          <w:highlight w:val="none"/>
        </w:rPr>
        <w:t>）《关于进一步加强生态环境保护工作的意见》（环发〔</w:t>
      </w:r>
      <w:r>
        <w:rPr>
          <w:color w:val="000000" w:themeColor="text1"/>
          <w:highlight w:val="none"/>
        </w:rPr>
        <w:t>2007</w:t>
      </w:r>
      <w:r>
        <w:rPr>
          <w:rFonts w:hint="eastAsia"/>
          <w:color w:val="000000" w:themeColor="text1"/>
          <w:highlight w:val="none"/>
        </w:rPr>
        <w:t>〕</w:t>
      </w:r>
      <w:r>
        <w:rPr>
          <w:color w:val="000000" w:themeColor="text1"/>
          <w:highlight w:val="none"/>
        </w:rPr>
        <w:t>37</w:t>
      </w:r>
      <w:r>
        <w:rPr>
          <w:rFonts w:hint="eastAsia"/>
          <w:color w:val="000000" w:themeColor="text1"/>
          <w:highlight w:val="none"/>
        </w:rPr>
        <w:t>号）；</w:t>
      </w:r>
    </w:p>
    <w:p w14:paraId="761797A9">
      <w:pPr>
        <w:pageBreakBefore w:val="0"/>
        <w:wordWrap/>
        <w:topLinePunct w:val="0"/>
        <w:bidi w:val="0"/>
        <w:spacing w:line="360" w:lineRule="auto"/>
        <w:rPr>
          <w:color w:val="000000" w:themeColor="text1"/>
          <w:highlight w:val="none"/>
        </w:rPr>
      </w:pPr>
      <w:r>
        <w:rPr>
          <w:rFonts w:hint="eastAsia"/>
          <w:color w:val="000000" w:themeColor="text1"/>
          <w:highlight w:val="none"/>
        </w:rPr>
        <w:t>（4</w:t>
      </w:r>
      <w:r>
        <w:rPr>
          <w:rFonts w:hint="eastAsia"/>
          <w:color w:val="000000" w:themeColor="text1"/>
          <w:highlight w:val="none"/>
          <w:lang w:val="en-US" w:eastAsia="zh-CN"/>
        </w:rPr>
        <w:t>2</w:t>
      </w:r>
      <w:r>
        <w:rPr>
          <w:rFonts w:hint="eastAsia"/>
          <w:color w:val="000000" w:themeColor="text1"/>
          <w:highlight w:val="none"/>
        </w:rPr>
        <w:t>）《自然资源部农业部关于加强和改进永久基本农田保护工作的通知》，（自然资规〔</w:t>
      </w:r>
      <w:r>
        <w:rPr>
          <w:color w:val="000000" w:themeColor="text1"/>
          <w:highlight w:val="none"/>
        </w:rPr>
        <w:t>2019</w:t>
      </w:r>
      <w:r>
        <w:rPr>
          <w:rFonts w:hint="eastAsia"/>
          <w:color w:val="000000" w:themeColor="text1"/>
          <w:highlight w:val="none"/>
        </w:rPr>
        <w:t>〕</w:t>
      </w:r>
      <w:r>
        <w:rPr>
          <w:color w:val="000000" w:themeColor="text1"/>
          <w:highlight w:val="none"/>
        </w:rPr>
        <w:t>1</w:t>
      </w:r>
      <w:r>
        <w:rPr>
          <w:rFonts w:hint="eastAsia"/>
          <w:color w:val="000000" w:themeColor="text1"/>
          <w:highlight w:val="none"/>
        </w:rPr>
        <w:t>号）；</w:t>
      </w:r>
    </w:p>
    <w:p w14:paraId="486A231D">
      <w:pPr>
        <w:pageBreakBefore w:val="0"/>
        <w:wordWrap/>
        <w:topLinePunct w:val="0"/>
        <w:bidi w:val="0"/>
        <w:spacing w:line="360" w:lineRule="auto"/>
        <w:rPr>
          <w:color w:val="000000" w:themeColor="text1"/>
          <w:highlight w:val="none"/>
        </w:rPr>
      </w:pPr>
      <w:r>
        <w:rPr>
          <w:rFonts w:hint="eastAsia"/>
          <w:color w:val="000000" w:themeColor="text1"/>
          <w:highlight w:val="none"/>
        </w:rPr>
        <w:t>（4</w:t>
      </w:r>
      <w:r>
        <w:rPr>
          <w:rFonts w:hint="eastAsia"/>
          <w:color w:val="000000" w:themeColor="text1"/>
          <w:highlight w:val="none"/>
          <w:lang w:val="en-US" w:eastAsia="zh-CN"/>
        </w:rPr>
        <w:t>3</w:t>
      </w:r>
      <w:r>
        <w:rPr>
          <w:rFonts w:hint="eastAsia"/>
          <w:color w:val="000000" w:themeColor="text1"/>
          <w:highlight w:val="none"/>
        </w:rPr>
        <w:t>）《关于进一步加强公路水路交通运输规划环境影响评价工作的通知》，环发〔</w:t>
      </w:r>
      <w:r>
        <w:rPr>
          <w:color w:val="000000" w:themeColor="text1"/>
          <w:highlight w:val="none"/>
        </w:rPr>
        <w:t>2012</w:t>
      </w:r>
      <w:r>
        <w:rPr>
          <w:rFonts w:hint="eastAsia"/>
          <w:color w:val="000000" w:themeColor="text1"/>
          <w:highlight w:val="none"/>
        </w:rPr>
        <w:t>〕</w:t>
      </w:r>
      <w:r>
        <w:rPr>
          <w:color w:val="000000" w:themeColor="text1"/>
          <w:highlight w:val="none"/>
        </w:rPr>
        <w:t>49</w:t>
      </w:r>
      <w:r>
        <w:rPr>
          <w:rFonts w:hint="eastAsia"/>
          <w:color w:val="000000" w:themeColor="text1"/>
          <w:highlight w:val="none"/>
        </w:rPr>
        <w:t>号；</w:t>
      </w:r>
    </w:p>
    <w:p w14:paraId="13EFA7D6">
      <w:pPr>
        <w:pageBreakBefore w:val="0"/>
        <w:wordWrap/>
        <w:topLinePunct w:val="0"/>
        <w:bidi w:val="0"/>
        <w:spacing w:line="360" w:lineRule="auto"/>
        <w:rPr>
          <w:color w:val="000000" w:themeColor="text1"/>
          <w:highlight w:val="none"/>
        </w:rPr>
      </w:pPr>
      <w:r>
        <w:rPr>
          <w:rFonts w:hint="eastAsia"/>
          <w:color w:val="000000" w:themeColor="text1"/>
          <w:highlight w:val="none"/>
        </w:rPr>
        <w:t>（4</w:t>
      </w:r>
      <w:r>
        <w:rPr>
          <w:rFonts w:hint="eastAsia"/>
          <w:color w:val="000000" w:themeColor="text1"/>
          <w:highlight w:val="none"/>
          <w:lang w:val="en-US" w:eastAsia="zh-CN"/>
        </w:rPr>
        <w:t>4</w:t>
      </w:r>
      <w:r>
        <w:rPr>
          <w:rFonts w:hint="eastAsia"/>
          <w:color w:val="000000" w:themeColor="text1"/>
          <w:highlight w:val="none"/>
        </w:rPr>
        <w:t>）</w:t>
      </w:r>
      <w:r>
        <w:rPr>
          <w:color w:val="000000" w:themeColor="text1"/>
          <w:highlight w:val="none"/>
        </w:rPr>
        <w:t>《建设项目使用林地审核审批管理办法》（国家林业局令2016第42号）</w:t>
      </w:r>
      <w:r>
        <w:rPr>
          <w:rFonts w:hint="eastAsia"/>
          <w:color w:val="000000" w:themeColor="text1"/>
          <w:highlight w:val="none"/>
        </w:rPr>
        <w:t>；</w:t>
      </w:r>
    </w:p>
    <w:p w14:paraId="2E01A792">
      <w:pPr>
        <w:pageBreakBefore w:val="0"/>
        <w:wordWrap/>
        <w:topLinePunct w:val="0"/>
        <w:bidi w:val="0"/>
        <w:spacing w:line="360" w:lineRule="auto"/>
        <w:rPr>
          <w:color w:val="000000" w:themeColor="text1"/>
          <w:highlight w:val="none"/>
        </w:rPr>
      </w:pPr>
      <w:r>
        <w:rPr>
          <w:rFonts w:hint="eastAsia"/>
          <w:color w:val="000000" w:themeColor="text1"/>
          <w:highlight w:val="none"/>
        </w:rPr>
        <w:t>（4</w:t>
      </w:r>
      <w:r>
        <w:rPr>
          <w:rFonts w:hint="eastAsia"/>
          <w:color w:val="000000" w:themeColor="text1"/>
          <w:highlight w:val="none"/>
          <w:lang w:val="en-US" w:eastAsia="zh-CN"/>
        </w:rPr>
        <w:t>5</w:t>
      </w:r>
      <w:r>
        <w:rPr>
          <w:rFonts w:hint="eastAsia"/>
          <w:color w:val="000000" w:themeColor="text1"/>
          <w:highlight w:val="none"/>
        </w:rPr>
        <w:t>）国家林业局 财政部关于印发《国家级公益林区界定办法》和《国家级公益林管理办法》的通知（林资发[</w:t>
      </w:r>
      <w:r>
        <w:rPr>
          <w:color w:val="000000" w:themeColor="text1"/>
          <w:highlight w:val="none"/>
        </w:rPr>
        <w:t>2017]34</w:t>
      </w:r>
      <w:r>
        <w:rPr>
          <w:rFonts w:hint="eastAsia"/>
          <w:color w:val="000000" w:themeColor="text1"/>
          <w:highlight w:val="none"/>
        </w:rPr>
        <w:t>号）；</w:t>
      </w:r>
    </w:p>
    <w:p w14:paraId="7BC714B8">
      <w:pPr>
        <w:pageBreakBefore w:val="0"/>
        <w:wordWrap/>
        <w:topLinePunct w:val="0"/>
        <w:bidi w:val="0"/>
        <w:spacing w:line="360" w:lineRule="auto"/>
        <w:rPr>
          <w:color w:val="000000" w:themeColor="text1"/>
          <w:highlight w:val="none"/>
        </w:rPr>
      </w:pPr>
      <w:r>
        <w:rPr>
          <w:rFonts w:hint="eastAsia"/>
          <w:color w:val="000000" w:themeColor="text1"/>
          <w:highlight w:val="none"/>
        </w:rPr>
        <w:t>（4</w:t>
      </w:r>
      <w:r>
        <w:rPr>
          <w:rFonts w:hint="eastAsia"/>
          <w:color w:val="000000" w:themeColor="text1"/>
          <w:highlight w:val="none"/>
          <w:lang w:val="en-US" w:eastAsia="zh-CN"/>
        </w:rPr>
        <w:t>6</w:t>
      </w:r>
      <w:r>
        <w:rPr>
          <w:rFonts w:hint="eastAsia"/>
          <w:color w:val="000000" w:themeColor="text1"/>
          <w:highlight w:val="none"/>
        </w:rPr>
        <w:t>）《关于划定并严守生态保护红线的若干意见》；</w:t>
      </w:r>
    </w:p>
    <w:p w14:paraId="14193B62">
      <w:pPr>
        <w:pageBreakBefore w:val="0"/>
        <w:wordWrap/>
        <w:topLinePunct w:val="0"/>
        <w:bidi w:val="0"/>
        <w:spacing w:line="360" w:lineRule="auto"/>
        <w:rPr>
          <w:color w:val="000000" w:themeColor="text1"/>
          <w:highlight w:val="none"/>
        </w:rPr>
      </w:pPr>
      <w:r>
        <w:rPr>
          <w:rFonts w:hint="eastAsia"/>
          <w:color w:val="000000" w:themeColor="text1"/>
          <w:highlight w:val="none"/>
        </w:rPr>
        <w:t>（4</w:t>
      </w:r>
      <w:r>
        <w:rPr>
          <w:rFonts w:hint="eastAsia"/>
          <w:color w:val="000000" w:themeColor="text1"/>
          <w:highlight w:val="none"/>
          <w:lang w:val="en-US" w:eastAsia="zh-CN"/>
        </w:rPr>
        <w:t>7</w:t>
      </w:r>
      <w:r>
        <w:rPr>
          <w:rFonts w:hint="eastAsia"/>
          <w:color w:val="000000" w:themeColor="text1"/>
          <w:highlight w:val="none"/>
        </w:rPr>
        <w:t>）《自然资源部关于规范临时用地管理的通知》（自然资规〔2021〕2号）。</w:t>
      </w:r>
    </w:p>
    <w:p w14:paraId="2323EF3B">
      <w:pPr>
        <w:pStyle w:val="4"/>
        <w:pageBreakBefore w:val="0"/>
        <w:wordWrap/>
        <w:topLinePunct w:val="0"/>
        <w:bidi w:val="0"/>
        <w:spacing w:before="120" w:line="360" w:lineRule="auto"/>
        <w:rPr>
          <w:color w:val="000000" w:themeColor="text1"/>
          <w:highlight w:val="none"/>
        </w:rPr>
      </w:pPr>
      <w:bookmarkStart w:id="103" w:name="_Toc4062"/>
      <w:bookmarkStart w:id="104" w:name="_Toc27541"/>
      <w:r>
        <w:rPr>
          <w:rFonts w:hint="eastAsia"/>
          <w:color w:val="000000" w:themeColor="text1"/>
          <w:highlight w:val="none"/>
        </w:rPr>
        <w:t>2.1.2</w:t>
      </w:r>
      <w:r>
        <w:rPr>
          <w:color w:val="000000" w:themeColor="text1"/>
          <w:highlight w:val="none"/>
        </w:rPr>
        <w:t>地方性法规及相关文件</w:t>
      </w:r>
      <w:bookmarkEnd w:id="103"/>
      <w:bookmarkEnd w:id="104"/>
    </w:p>
    <w:p w14:paraId="314B85AD">
      <w:pPr>
        <w:pageBreakBefore w:val="0"/>
        <w:wordWrap/>
        <w:topLinePunct w:val="0"/>
        <w:bidi w:val="0"/>
        <w:spacing w:line="360" w:lineRule="auto"/>
        <w:rPr>
          <w:color w:val="000000" w:themeColor="text1"/>
          <w:highlight w:val="none"/>
        </w:rPr>
      </w:pPr>
      <w:r>
        <w:rPr>
          <w:color w:val="000000" w:themeColor="text1"/>
          <w:highlight w:val="none"/>
        </w:rPr>
        <w:t>（1）《黑龙江省大气污染防治条例》（黑龙江省第十二届人民代表大会第六次会议公告第4号），2017年5月1日；</w:t>
      </w:r>
    </w:p>
    <w:p w14:paraId="660F561F">
      <w:pPr>
        <w:pageBreakBefore w:val="0"/>
        <w:wordWrap/>
        <w:topLinePunct w:val="0"/>
        <w:bidi w:val="0"/>
        <w:spacing w:line="360" w:lineRule="auto"/>
        <w:rPr>
          <w:color w:val="000000" w:themeColor="text1"/>
          <w:highlight w:val="none"/>
        </w:rPr>
      </w:pPr>
      <w:r>
        <w:rPr>
          <w:color w:val="000000" w:themeColor="text1"/>
          <w:highlight w:val="none"/>
        </w:rPr>
        <w:t>（2）</w:t>
      </w:r>
      <w:r>
        <w:rPr>
          <w:rFonts w:hint="eastAsia"/>
          <w:color w:val="000000" w:themeColor="text1"/>
          <w:highlight w:val="none"/>
          <w:lang w:val="en-US" w:eastAsia="zh-CN"/>
        </w:rPr>
        <w:t>《黑龙江省建设项目环境保护管理办法》（黑龙江省人民政府令第</w:t>
      </w:r>
      <w:r>
        <w:rPr>
          <w:rFonts w:hint="default"/>
          <w:color w:val="000000" w:themeColor="text1"/>
          <w:highlight w:val="none"/>
          <w:lang w:val="en-US" w:eastAsia="zh-CN"/>
        </w:rPr>
        <w:t>23</w:t>
      </w:r>
      <w:r>
        <w:rPr>
          <w:rFonts w:hint="eastAsia"/>
          <w:color w:val="000000" w:themeColor="text1"/>
          <w:highlight w:val="none"/>
          <w:lang w:val="en-US" w:eastAsia="zh-CN"/>
        </w:rPr>
        <w:t>号）；</w:t>
      </w:r>
    </w:p>
    <w:p w14:paraId="716BCF6A">
      <w:pPr>
        <w:pageBreakBefore w:val="0"/>
        <w:wordWrap/>
        <w:topLinePunct w:val="0"/>
        <w:bidi w:val="0"/>
        <w:spacing w:line="360" w:lineRule="auto"/>
        <w:rPr>
          <w:color w:val="000000" w:themeColor="text1"/>
          <w:highlight w:val="none"/>
        </w:rPr>
      </w:pPr>
      <w:r>
        <w:rPr>
          <w:color w:val="000000" w:themeColor="text1"/>
          <w:highlight w:val="none"/>
        </w:rPr>
        <w:t>（3）《黑龙江省人民政府关于印发黑龙江省水污染防治工作方案的通知》（黑政发〔2016〕3号）；</w:t>
      </w:r>
    </w:p>
    <w:p w14:paraId="18721250">
      <w:pPr>
        <w:pageBreakBefore w:val="0"/>
        <w:wordWrap/>
        <w:topLinePunct w:val="0"/>
        <w:bidi w:val="0"/>
        <w:spacing w:line="360" w:lineRule="auto"/>
        <w:rPr>
          <w:color w:val="000000" w:themeColor="text1"/>
          <w:highlight w:val="none"/>
        </w:rPr>
      </w:pPr>
      <w:r>
        <w:rPr>
          <w:color w:val="000000" w:themeColor="text1"/>
          <w:highlight w:val="none"/>
        </w:rPr>
        <w:t>（4）关于转发《水利部国家发展和改革委员会环境保护部关于印发全国重要江河湖泊水功能区划（2011-2030年）的通知》的通知，黑水发〔2012〕359号；</w:t>
      </w:r>
    </w:p>
    <w:p w14:paraId="3F3D15B9">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5</w:t>
      </w:r>
      <w:r>
        <w:rPr>
          <w:color w:val="000000" w:themeColor="text1"/>
          <w:highlight w:val="none"/>
        </w:rPr>
        <w:t>）《黑龙江省人民政府关于印发黑龙江省主体功能区规划的通知》（黑政发[2012]29号）；</w:t>
      </w:r>
    </w:p>
    <w:p w14:paraId="09AA0996">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6</w:t>
      </w:r>
      <w:r>
        <w:rPr>
          <w:color w:val="000000" w:themeColor="text1"/>
          <w:highlight w:val="none"/>
        </w:rPr>
        <w:t>）《黑龙江省草原条例》（2018年6月28日修正）。</w:t>
      </w:r>
    </w:p>
    <w:p w14:paraId="00E5186D">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7</w:t>
      </w:r>
      <w:r>
        <w:rPr>
          <w:rFonts w:hint="eastAsia"/>
          <w:color w:val="000000" w:themeColor="text1"/>
          <w:highlight w:val="none"/>
        </w:rPr>
        <w:t>）《黑龙江省实施</w:t>
      </w:r>
      <w:r>
        <w:rPr>
          <w:color w:val="000000" w:themeColor="text1"/>
          <w:highlight w:val="none"/>
        </w:rPr>
        <w:t>&lt;</w:t>
      </w:r>
      <w:r>
        <w:rPr>
          <w:rFonts w:hint="eastAsia"/>
          <w:color w:val="000000" w:themeColor="text1"/>
          <w:highlight w:val="none"/>
        </w:rPr>
        <w:t>中华人民共和国水土保持法</w:t>
      </w:r>
      <w:r>
        <w:rPr>
          <w:color w:val="000000" w:themeColor="text1"/>
          <w:highlight w:val="none"/>
        </w:rPr>
        <w:t>&gt;</w:t>
      </w:r>
      <w:r>
        <w:rPr>
          <w:rFonts w:hint="eastAsia"/>
          <w:color w:val="000000" w:themeColor="text1"/>
          <w:highlight w:val="none"/>
        </w:rPr>
        <w:t>办法》，</w:t>
      </w:r>
      <w:r>
        <w:rPr>
          <w:color w:val="000000" w:themeColor="text1"/>
          <w:highlight w:val="none"/>
        </w:rPr>
        <w:t>201</w:t>
      </w:r>
      <w:r>
        <w:rPr>
          <w:rFonts w:hint="eastAsia"/>
          <w:color w:val="000000" w:themeColor="text1"/>
          <w:highlight w:val="none"/>
          <w:lang w:val="en-US" w:eastAsia="zh-CN"/>
        </w:rPr>
        <w:t>6</w:t>
      </w:r>
      <w:r>
        <w:rPr>
          <w:rFonts w:hint="eastAsia"/>
          <w:color w:val="000000" w:themeColor="text1"/>
          <w:highlight w:val="none"/>
        </w:rPr>
        <w:t>年</w:t>
      </w:r>
      <w:r>
        <w:rPr>
          <w:rFonts w:hint="eastAsia"/>
          <w:color w:val="000000" w:themeColor="text1"/>
          <w:highlight w:val="none"/>
          <w:lang w:val="en-US" w:eastAsia="zh-CN"/>
        </w:rPr>
        <w:t>修正</w:t>
      </w:r>
      <w:r>
        <w:rPr>
          <w:rFonts w:hint="eastAsia"/>
          <w:color w:val="000000" w:themeColor="text1"/>
          <w:highlight w:val="none"/>
        </w:rPr>
        <w:t>；</w:t>
      </w:r>
    </w:p>
    <w:p w14:paraId="40B457B1">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8</w:t>
      </w:r>
      <w:r>
        <w:rPr>
          <w:rFonts w:hint="eastAsia"/>
          <w:color w:val="000000" w:themeColor="text1"/>
          <w:highlight w:val="none"/>
        </w:rPr>
        <w:t>）《黑龙江省野生动物保护条例》，</w:t>
      </w:r>
      <w:r>
        <w:rPr>
          <w:color w:val="000000" w:themeColor="text1"/>
          <w:highlight w:val="none"/>
        </w:rPr>
        <w:t>2018</w:t>
      </w:r>
      <w:r>
        <w:rPr>
          <w:rFonts w:hint="eastAsia"/>
          <w:color w:val="000000" w:themeColor="text1"/>
          <w:highlight w:val="none"/>
        </w:rPr>
        <w:t>年</w:t>
      </w:r>
      <w:r>
        <w:rPr>
          <w:color w:val="000000" w:themeColor="text1"/>
          <w:highlight w:val="none"/>
        </w:rPr>
        <w:t>6</w:t>
      </w:r>
      <w:r>
        <w:rPr>
          <w:rFonts w:hint="eastAsia"/>
          <w:color w:val="000000" w:themeColor="text1"/>
          <w:highlight w:val="none"/>
        </w:rPr>
        <w:t>月</w:t>
      </w:r>
      <w:r>
        <w:rPr>
          <w:color w:val="000000" w:themeColor="text1"/>
          <w:highlight w:val="none"/>
        </w:rPr>
        <w:t>28</w:t>
      </w:r>
      <w:r>
        <w:rPr>
          <w:rFonts w:hint="eastAsia"/>
          <w:color w:val="000000" w:themeColor="text1"/>
          <w:highlight w:val="none"/>
        </w:rPr>
        <w:t>日起施行；</w:t>
      </w:r>
    </w:p>
    <w:p w14:paraId="755E136F">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9</w:t>
      </w:r>
      <w:r>
        <w:rPr>
          <w:rFonts w:hint="eastAsia"/>
          <w:color w:val="000000" w:themeColor="text1"/>
          <w:highlight w:val="none"/>
        </w:rPr>
        <w:t>）《黑龙江省居民居住环境保护办法》，</w:t>
      </w:r>
      <w:r>
        <w:rPr>
          <w:color w:val="000000" w:themeColor="text1"/>
          <w:highlight w:val="none"/>
        </w:rPr>
        <w:t>2009</w:t>
      </w:r>
      <w:r>
        <w:rPr>
          <w:rFonts w:hint="eastAsia"/>
          <w:color w:val="000000" w:themeColor="text1"/>
          <w:highlight w:val="none"/>
        </w:rPr>
        <w:t>年</w:t>
      </w:r>
      <w:r>
        <w:rPr>
          <w:color w:val="000000" w:themeColor="text1"/>
          <w:highlight w:val="none"/>
        </w:rPr>
        <w:t>1</w:t>
      </w:r>
      <w:r>
        <w:rPr>
          <w:rFonts w:hint="eastAsia"/>
          <w:color w:val="000000" w:themeColor="text1"/>
          <w:highlight w:val="none"/>
        </w:rPr>
        <w:t>月</w:t>
      </w:r>
      <w:r>
        <w:rPr>
          <w:color w:val="000000" w:themeColor="text1"/>
          <w:highlight w:val="none"/>
        </w:rPr>
        <w:t>5</w:t>
      </w:r>
      <w:r>
        <w:rPr>
          <w:rFonts w:hint="eastAsia"/>
          <w:color w:val="000000" w:themeColor="text1"/>
          <w:highlight w:val="none"/>
        </w:rPr>
        <w:t>日起施行</w:t>
      </w:r>
    </w:p>
    <w:p w14:paraId="5BB7802B">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0</w:t>
      </w:r>
      <w:r>
        <w:rPr>
          <w:rFonts w:hint="eastAsia"/>
          <w:color w:val="000000" w:themeColor="text1"/>
          <w:highlight w:val="none"/>
        </w:rPr>
        <w:t>）《黑龙江省土地管理条例》，</w:t>
      </w:r>
      <w:r>
        <w:rPr>
          <w:color w:val="000000" w:themeColor="text1"/>
          <w:highlight w:val="none"/>
        </w:rPr>
        <w:t>2018</w:t>
      </w:r>
      <w:r>
        <w:rPr>
          <w:rFonts w:hint="eastAsia"/>
          <w:color w:val="000000" w:themeColor="text1"/>
          <w:highlight w:val="none"/>
        </w:rPr>
        <w:t>年</w:t>
      </w:r>
      <w:r>
        <w:rPr>
          <w:color w:val="000000" w:themeColor="text1"/>
          <w:highlight w:val="none"/>
        </w:rPr>
        <w:t>6</w:t>
      </w:r>
      <w:r>
        <w:rPr>
          <w:rFonts w:hint="eastAsia"/>
          <w:color w:val="000000" w:themeColor="text1"/>
          <w:highlight w:val="none"/>
        </w:rPr>
        <w:t>月</w:t>
      </w:r>
      <w:r>
        <w:rPr>
          <w:color w:val="000000" w:themeColor="text1"/>
          <w:highlight w:val="none"/>
        </w:rPr>
        <w:t>28</w:t>
      </w:r>
      <w:r>
        <w:rPr>
          <w:rFonts w:hint="eastAsia"/>
          <w:color w:val="000000" w:themeColor="text1"/>
          <w:highlight w:val="none"/>
        </w:rPr>
        <w:t>日起施行；</w:t>
      </w:r>
    </w:p>
    <w:p w14:paraId="78C2CE80">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color w:val="000000" w:themeColor="text1"/>
          <w:highlight w:val="none"/>
        </w:rPr>
        <w:t>1</w:t>
      </w:r>
      <w:r>
        <w:rPr>
          <w:rFonts w:hint="eastAsia"/>
          <w:color w:val="000000" w:themeColor="text1"/>
          <w:highlight w:val="none"/>
          <w:lang w:val="en-US" w:eastAsia="zh-CN"/>
        </w:rPr>
        <w:t>1</w:t>
      </w:r>
      <w:r>
        <w:rPr>
          <w:rFonts w:hint="eastAsia"/>
          <w:color w:val="000000" w:themeColor="text1"/>
          <w:highlight w:val="none"/>
        </w:rPr>
        <w:t>）《黑龙江省基本农田保护条例》，</w:t>
      </w:r>
      <w:r>
        <w:rPr>
          <w:color w:val="000000" w:themeColor="text1"/>
          <w:highlight w:val="none"/>
        </w:rPr>
        <w:t>1999</w:t>
      </w:r>
      <w:r>
        <w:rPr>
          <w:rFonts w:hint="eastAsia"/>
          <w:color w:val="000000" w:themeColor="text1"/>
          <w:highlight w:val="none"/>
        </w:rPr>
        <w:t>年</w:t>
      </w:r>
      <w:r>
        <w:rPr>
          <w:color w:val="000000" w:themeColor="text1"/>
          <w:highlight w:val="none"/>
        </w:rPr>
        <w:t>12</w:t>
      </w:r>
      <w:r>
        <w:rPr>
          <w:rFonts w:hint="eastAsia"/>
          <w:color w:val="000000" w:themeColor="text1"/>
          <w:highlight w:val="none"/>
        </w:rPr>
        <w:t>月</w:t>
      </w:r>
      <w:r>
        <w:rPr>
          <w:color w:val="000000" w:themeColor="text1"/>
          <w:highlight w:val="none"/>
        </w:rPr>
        <w:t>18</w:t>
      </w:r>
      <w:r>
        <w:rPr>
          <w:rFonts w:hint="eastAsia"/>
          <w:color w:val="000000" w:themeColor="text1"/>
          <w:highlight w:val="none"/>
        </w:rPr>
        <w:t>日起施行；</w:t>
      </w:r>
    </w:p>
    <w:p w14:paraId="67773C2F">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2</w:t>
      </w:r>
      <w:r>
        <w:rPr>
          <w:rFonts w:hint="eastAsia"/>
          <w:color w:val="000000" w:themeColor="text1"/>
          <w:highlight w:val="none"/>
        </w:rPr>
        <w:t>）《黑龙江省人民政府关于实施三线一单生态环境分区管控的意见》（黑政发〔</w:t>
      </w:r>
      <w:r>
        <w:rPr>
          <w:color w:val="000000" w:themeColor="text1"/>
          <w:highlight w:val="none"/>
        </w:rPr>
        <w:t>2020</w:t>
      </w:r>
      <w:r>
        <w:rPr>
          <w:rFonts w:hint="eastAsia"/>
          <w:color w:val="000000" w:themeColor="text1"/>
          <w:highlight w:val="none"/>
        </w:rPr>
        <w:t>〕</w:t>
      </w:r>
      <w:r>
        <w:rPr>
          <w:color w:val="000000" w:themeColor="text1"/>
          <w:highlight w:val="none"/>
        </w:rPr>
        <w:t>14</w:t>
      </w:r>
      <w:r>
        <w:rPr>
          <w:rFonts w:hint="eastAsia"/>
          <w:color w:val="000000" w:themeColor="text1"/>
          <w:highlight w:val="none"/>
        </w:rPr>
        <w:t>号），</w:t>
      </w:r>
      <w:r>
        <w:rPr>
          <w:color w:val="000000" w:themeColor="text1"/>
          <w:highlight w:val="none"/>
        </w:rPr>
        <w:t>2020</w:t>
      </w:r>
      <w:r>
        <w:rPr>
          <w:rFonts w:hint="eastAsia"/>
          <w:color w:val="000000" w:themeColor="text1"/>
          <w:highlight w:val="none"/>
        </w:rPr>
        <w:t>年</w:t>
      </w:r>
      <w:r>
        <w:rPr>
          <w:color w:val="000000" w:themeColor="text1"/>
          <w:highlight w:val="none"/>
        </w:rPr>
        <w:t>12</w:t>
      </w:r>
      <w:r>
        <w:rPr>
          <w:rFonts w:hint="eastAsia"/>
          <w:color w:val="000000" w:themeColor="text1"/>
          <w:highlight w:val="none"/>
        </w:rPr>
        <w:t>月</w:t>
      </w:r>
      <w:r>
        <w:rPr>
          <w:color w:val="000000" w:themeColor="text1"/>
          <w:highlight w:val="none"/>
        </w:rPr>
        <w:t>16</w:t>
      </w:r>
      <w:r>
        <w:rPr>
          <w:rFonts w:hint="eastAsia"/>
          <w:color w:val="000000" w:themeColor="text1"/>
          <w:highlight w:val="none"/>
        </w:rPr>
        <w:t>日起施行；</w:t>
      </w:r>
    </w:p>
    <w:p w14:paraId="7EE5B335">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3</w:t>
      </w:r>
      <w:r>
        <w:rPr>
          <w:rFonts w:hint="eastAsia"/>
          <w:color w:val="000000" w:themeColor="text1"/>
          <w:highlight w:val="none"/>
        </w:rPr>
        <w:t>）</w:t>
      </w:r>
      <w:r>
        <w:rPr>
          <w:rFonts w:hint="eastAsia"/>
          <w:color w:val="000000" w:themeColor="text1"/>
          <w:szCs w:val="21"/>
          <w:highlight w:val="none"/>
        </w:rPr>
        <w:t>《</w:t>
      </w:r>
      <w:r>
        <w:rPr>
          <w:rFonts w:hint="eastAsia"/>
          <w:color w:val="000000" w:themeColor="text1"/>
          <w:szCs w:val="21"/>
          <w:highlight w:val="none"/>
          <w:lang w:val="en-US" w:eastAsia="zh-CN"/>
        </w:rPr>
        <w:t>鹤岗市人民政府关于实施“三线一单”生态环境分区管控的意见》（鹤政发〔2021〕6号）；</w:t>
      </w:r>
    </w:p>
    <w:p w14:paraId="6EB83240">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color w:val="000000" w:themeColor="text1"/>
          <w:highlight w:val="none"/>
        </w:rPr>
        <w:t>1</w:t>
      </w:r>
      <w:r>
        <w:rPr>
          <w:rFonts w:hint="eastAsia"/>
          <w:color w:val="000000" w:themeColor="text1"/>
          <w:highlight w:val="none"/>
          <w:lang w:val="en-US" w:eastAsia="zh-CN"/>
        </w:rPr>
        <w:t>4</w:t>
      </w:r>
      <w:r>
        <w:rPr>
          <w:rFonts w:hint="eastAsia"/>
          <w:color w:val="000000" w:themeColor="text1"/>
          <w:highlight w:val="none"/>
        </w:rPr>
        <w:t>）《黑龙江省环境保护条例》，</w:t>
      </w:r>
      <w:r>
        <w:rPr>
          <w:color w:val="000000" w:themeColor="text1"/>
          <w:highlight w:val="none"/>
        </w:rPr>
        <w:t>2018</w:t>
      </w:r>
      <w:r>
        <w:rPr>
          <w:rFonts w:hint="eastAsia"/>
          <w:color w:val="000000" w:themeColor="text1"/>
          <w:highlight w:val="none"/>
        </w:rPr>
        <w:t>年</w:t>
      </w:r>
      <w:r>
        <w:rPr>
          <w:color w:val="000000" w:themeColor="text1"/>
          <w:highlight w:val="none"/>
        </w:rPr>
        <w:t>4</w:t>
      </w:r>
      <w:r>
        <w:rPr>
          <w:rFonts w:hint="eastAsia"/>
          <w:color w:val="000000" w:themeColor="text1"/>
          <w:highlight w:val="none"/>
        </w:rPr>
        <w:t>月</w:t>
      </w:r>
      <w:r>
        <w:rPr>
          <w:color w:val="000000" w:themeColor="text1"/>
          <w:highlight w:val="none"/>
        </w:rPr>
        <w:t>26</w:t>
      </w:r>
      <w:r>
        <w:rPr>
          <w:rFonts w:hint="eastAsia"/>
          <w:color w:val="000000" w:themeColor="text1"/>
          <w:highlight w:val="none"/>
        </w:rPr>
        <w:t>日起施行；</w:t>
      </w:r>
    </w:p>
    <w:p w14:paraId="216EE231">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5</w:t>
      </w:r>
      <w:r>
        <w:rPr>
          <w:rFonts w:hint="eastAsia"/>
          <w:color w:val="000000" w:themeColor="text1"/>
          <w:highlight w:val="none"/>
        </w:rPr>
        <w:t>）《黑龙江省防沙治沙条例》，</w:t>
      </w:r>
      <w:r>
        <w:rPr>
          <w:color w:val="000000" w:themeColor="text1"/>
          <w:highlight w:val="none"/>
        </w:rPr>
        <w:t>20</w:t>
      </w:r>
      <w:r>
        <w:rPr>
          <w:rFonts w:hint="eastAsia"/>
          <w:color w:val="000000" w:themeColor="text1"/>
          <w:highlight w:val="none"/>
        </w:rPr>
        <w:t>0</w:t>
      </w:r>
      <w:r>
        <w:rPr>
          <w:color w:val="000000" w:themeColor="text1"/>
          <w:highlight w:val="none"/>
        </w:rPr>
        <w:t>8</w:t>
      </w:r>
      <w:r>
        <w:rPr>
          <w:rFonts w:hint="eastAsia"/>
          <w:color w:val="000000" w:themeColor="text1"/>
          <w:highlight w:val="none"/>
        </w:rPr>
        <w:t>年12月1日起施行；</w:t>
      </w:r>
    </w:p>
    <w:p w14:paraId="542F72B9">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6</w:t>
      </w:r>
      <w:r>
        <w:rPr>
          <w:rFonts w:hint="eastAsia"/>
          <w:color w:val="000000" w:themeColor="text1"/>
          <w:highlight w:val="none"/>
        </w:rPr>
        <w:t>）《黑龙江省</w:t>
      </w:r>
      <w:r>
        <w:rPr>
          <w:rFonts w:hint="eastAsia"/>
          <w:color w:val="000000" w:themeColor="text1"/>
          <w:highlight w:val="none"/>
          <w:lang w:eastAsia="zh-CN"/>
        </w:rPr>
        <w:t>“</w:t>
      </w:r>
      <w:r>
        <w:rPr>
          <w:rFonts w:hint="eastAsia"/>
          <w:color w:val="000000" w:themeColor="text1"/>
          <w:highlight w:val="none"/>
        </w:rPr>
        <w:t>十四五</w:t>
      </w:r>
      <w:r>
        <w:rPr>
          <w:rFonts w:hint="eastAsia"/>
          <w:color w:val="000000" w:themeColor="text1"/>
          <w:highlight w:val="none"/>
          <w:lang w:eastAsia="zh-CN"/>
        </w:rPr>
        <w:t>”</w:t>
      </w:r>
      <w:r>
        <w:rPr>
          <w:rFonts w:hint="eastAsia"/>
          <w:color w:val="000000" w:themeColor="text1"/>
          <w:highlight w:val="none"/>
        </w:rPr>
        <w:t>生态环境保护规划》；</w:t>
      </w:r>
    </w:p>
    <w:p w14:paraId="51EF1B9A">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17</w:t>
      </w:r>
      <w:r>
        <w:rPr>
          <w:rFonts w:hint="eastAsia"/>
          <w:color w:val="000000" w:themeColor="text1"/>
          <w:highlight w:val="none"/>
        </w:rPr>
        <w:t>）《黑龙江省黑土地保护工程方案（2021-2025年）》；</w:t>
      </w:r>
    </w:p>
    <w:p w14:paraId="7D400122">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18</w:t>
      </w:r>
      <w:r>
        <w:rPr>
          <w:rFonts w:hint="eastAsia"/>
          <w:color w:val="000000" w:themeColor="text1"/>
          <w:highlight w:val="none"/>
        </w:rPr>
        <w:t>）《黑龙江省黑土地保护利用条例》（202</w:t>
      </w:r>
      <w:r>
        <w:rPr>
          <w:rFonts w:hint="eastAsia"/>
          <w:color w:val="000000" w:themeColor="text1"/>
          <w:highlight w:val="none"/>
          <w:lang w:val="en-US" w:eastAsia="zh-CN"/>
        </w:rPr>
        <w:t>4</w:t>
      </w:r>
      <w:r>
        <w:rPr>
          <w:rFonts w:hint="eastAsia"/>
          <w:color w:val="000000" w:themeColor="text1"/>
          <w:highlight w:val="none"/>
        </w:rPr>
        <w:t>年3月1日施行）；</w:t>
      </w:r>
    </w:p>
    <w:p w14:paraId="3558761E">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19</w:t>
      </w:r>
      <w:r>
        <w:rPr>
          <w:rFonts w:hint="eastAsia"/>
          <w:color w:val="000000" w:themeColor="text1"/>
          <w:highlight w:val="none"/>
        </w:rPr>
        <w:t>）《黑龙江省</w:t>
      </w:r>
      <w:r>
        <w:rPr>
          <w:rFonts w:hint="eastAsia"/>
          <w:color w:val="000000" w:themeColor="text1"/>
          <w:highlight w:val="none"/>
          <w:lang w:eastAsia="zh-CN"/>
        </w:rPr>
        <w:t>“</w:t>
      </w:r>
      <w:r>
        <w:rPr>
          <w:rFonts w:hint="eastAsia"/>
          <w:color w:val="000000" w:themeColor="text1"/>
          <w:highlight w:val="none"/>
        </w:rPr>
        <w:t>十四五</w:t>
      </w:r>
      <w:r>
        <w:rPr>
          <w:rFonts w:hint="eastAsia"/>
          <w:color w:val="000000" w:themeColor="text1"/>
          <w:highlight w:val="none"/>
          <w:lang w:eastAsia="zh-CN"/>
        </w:rPr>
        <w:t>”</w:t>
      </w:r>
      <w:r>
        <w:rPr>
          <w:rFonts w:hint="eastAsia"/>
          <w:color w:val="000000" w:themeColor="text1"/>
          <w:highlight w:val="none"/>
        </w:rPr>
        <w:t>黑土地保护规划》；</w:t>
      </w:r>
    </w:p>
    <w:p w14:paraId="55C93087">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rPr>
        <w:t>（2</w:t>
      </w:r>
      <w:r>
        <w:rPr>
          <w:rFonts w:hint="eastAsia"/>
          <w:color w:val="000000" w:themeColor="text1"/>
          <w:highlight w:val="none"/>
          <w:lang w:val="en-US" w:eastAsia="zh-CN"/>
        </w:rPr>
        <w:t>0</w:t>
      </w:r>
      <w:r>
        <w:rPr>
          <w:rFonts w:hint="eastAsia"/>
          <w:color w:val="000000" w:themeColor="text1"/>
          <w:highlight w:val="none"/>
        </w:rPr>
        <w:t>）《</w:t>
      </w:r>
      <w:r>
        <w:rPr>
          <w:color w:val="000000" w:themeColor="text1"/>
          <w:highlight w:val="none"/>
        </w:rPr>
        <w:t>黑龙江省人民政府办公厅关于建设占用耕地耕作层土壤剥离利用工作的指导意见（试行）</w:t>
      </w:r>
      <w:r>
        <w:rPr>
          <w:rFonts w:hint="eastAsia"/>
          <w:color w:val="000000" w:themeColor="text1"/>
          <w:highlight w:val="none"/>
        </w:rPr>
        <w:t>》（</w:t>
      </w:r>
      <w:r>
        <w:rPr>
          <w:color w:val="000000" w:themeColor="text1"/>
          <w:highlight w:val="none"/>
        </w:rPr>
        <w:t>黑政办规〔2021〕18号</w:t>
      </w:r>
      <w:r>
        <w:rPr>
          <w:rFonts w:hint="eastAsia"/>
          <w:color w:val="000000" w:themeColor="text1"/>
          <w:highlight w:val="none"/>
        </w:rPr>
        <w:t>）</w:t>
      </w:r>
      <w:r>
        <w:rPr>
          <w:rFonts w:hint="eastAsia"/>
          <w:color w:val="000000" w:themeColor="text1"/>
          <w:highlight w:val="none"/>
          <w:lang w:eastAsia="zh-CN"/>
        </w:rPr>
        <w:t>；</w:t>
      </w:r>
    </w:p>
    <w:p w14:paraId="13414341">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lang w:val="en-US" w:eastAsia="zh-CN"/>
        </w:rPr>
        <w:t>（21）《关于印发鹤岗市水污染防治行动计划工作实施方案的通知》（鹤政发</w:t>
      </w:r>
      <w:r>
        <w:rPr>
          <w:color w:val="000000" w:themeColor="text1"/>
          <w:highlight w:val="none"/>
        </w:rPr>
        <w:t>〔</w:t>
      </w:r>
      <w:r>
        <w:rPr>
          <w:rFonts w:hint="eastAsia"/>
          <w:color w:val="000000" w:themeColor="text1"/>
          <w:highlight w:val="none"/>
          <w:lang w:val="en-US" w:eastAsia="zh-CN"/>
        </w:rPr>
        <w:t>2016</w:t>
      </w:r>
      <w:r>
        <w:rPr>
          <w:color w:val="000000" w:themeColor="text1"/>
          <w:highlight w:val="none"/>
        </w:rPr>
        <w:t>〕</w:t>
      </w:r>
      <w:r>
        <w:rPr>
          <w:rFonts w:hint="eastAsia"/>
          <w:color w:val="000000" w:themeColor="text1"/>
          <w:highlight w:val="none"/>
          <w:lang w:val="en-US" w:eastAsia="zh-CN"/>
        </w:rPr>
        <w:t xml:space="preserve">3 号）； </w:t>
      </w:r>
    </w:p>
    <w:p w14:paraId="065012B9">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lang w:val="en-US" w:eastAsia="zh-CN"/>
        </w:rPr>
        <w:t>（22）《鹤岗市人民政府关于印发鹤岗市空气质量持续改善行动计划实施方案的通知》（鹤政发〔2024〕7号）；</w:t>
      </w:r>
    </w:p>
    <w:p w14:paraId="2D49D49B">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（23）《关于印发鹤岗市土壤污染防治实施方案的通知》（鹤政规</w:t>
      </w:r>
      <w:r>
        <w:rPr>
          <w:rFonts w:hint="eastAsia"/>
          <w:color w:val="000000" w:themeColor="text1"/>
          <w:highlight w:val="none"/>
        </w:rPr>
        <w:t>〔</w:t>
      </w:r>
      <w:r>
        <w:rPr>
          <w:rFonts w:hint="eastAsia"/>
          <w:color w:val="000000" w:themeColor="text1"/>
          <w:highlight w:val="none"/>
          <w:lang w:val="en-US" w:eastAsia="zh-CN"/>
        </w:rPr>
        <w:t>2017</w:t>
      </w:r>
      <w:r>
        <w:rPr>
          <w:rFonts w:hint="eastAsia"/>
          <w:color w:val="000000" w:themeColor="text1"/>
          <w:highlight w:val="none"/>
        </w:rPr>
        <w:t>〕</w:t>
      </w:r>
      <w:r>
        <w:rPr>
          <w:rFonts w:hint="eastAsia"/>
          <w:color w:val="000000" w:themeColor="text1"/>
          <w:highlight w:val="none"/>
          <w:lang w:val="en-US" w:eastAsia="zh-CN"/>
        </w:rPr>
        <w:t>21号）。</w:t>
      </w:r>
    </w:p>
    <w:p w14:paraId="187AD9E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（24）《鹤岗市国土空间总体规划（2021-2035年）》（鹤岗市自然资源局2023年2月）；</w:t>
      </w:r>
    </w:p>
    <w:p w14:paraId="6BCA24A4">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（25）《鹤岗市“十四五”生态环境保护规划》（鹤政</w:t>
      </w:r>
      <w:r>
        <w:rPr>
          <w:rFonts w:hint="default"/>
          <w:color w:val="000000" w:themeColor="text1"/>
          <w:highlight w:val="none"/>
          <w:lang w:val="en-US" w:eastAsia="zh-CN"/>
        </w:rPr>
        <w:t>规〔2022〕8号</w:t>
      </w:r>
      <w:r>
        <w:rPr>
          <w:rFonts w:hint="eastAsia"/>
          <w:color w:val="000000" w:themeColor="text1"/>
          <w:highlight w:val="none"/>
          <w:lang w:val="en-US" w:eastAsia="zh-CN"/>
        </w:rPr>
        <w:t>）；</w:t>
      </w:r>
    </w:p>
    <w:p w14:paraId="54960142">
      <w:pPr>
        <w:pageBreakBefore w:val="0"/>
        <w:wordWrap/>
        <w:topLinePunct w:val="0"/>
        <w:bidi w:val="0"/>
        <w:spacing w:line="360" w:lineRule="auto"/>
        <w:rPr>
          <w:rFonts w:hint="eastAsia"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（26）《鹤岗市生态环境准入清单（2023年版）》（2023年12月）；</w:t>
      </w:r>
    </w:p>
    <w:p w14:paraId="0E2EABD9">
      <w:pPr>
        <w:pageBreakBefore w:val="0"/>
        <w:wordWrap/>
        <w:topLinePunct w:val="0"/>
        <w:bidi w:val="0"/>
        <w:spacing w:line="360" w:lineRule="auto"/>
        <w:rPr>
          <w:rFonts w:hint="eastAsia" w:ascii="Times New Roman" w:hAnsi="Times New Roman" w:eastAsia="宋体" w:cs="Times New Roman"/>
          <w:color w:val="000000" w:themeColor="text1"/>
          <w:highlight w:val="none"/>
        </w:rPr>
      </w:pPr>
      <w:r>
        <w:rPr>
          <w:rFonts w:hint="eastAsia" w:ascii="Times New Roman" w:hAnsi="Times New Roman" w:eastAsia="宋体" w:cs="Times New Roman"/>
          <w:color w:val="000000" w:themeColor="text1"/>
          <w:highlight w:val="none"/>
          <w:lang w:val="en-US" w:eastAsia="zh-CN"/>
        </w:rPr>
        <w:t>（27）《黑龙江省固体废物污染环境防治条例》</w:t>
      </w:r>
      <w:r>
        <w:rPr>
          <w:rFonts w:hint="eastAsia" w:ascii="Times New Roman" w:hAnsi="Times New Roman" w:eastAsia="宋体" w:cs="Times New Roman"/>
          <w:color w:val="000000" w:themeColor="text1"/>
          <w:highlight w:val="none"/>
        </w:rPr>
        <w:t>（202</w:t>
      </w:r>
      <w:r>
        <w:rPr>
          <w:rFonts w:hint="eastAsia" w:ascii="Times New Roman" w:hAnsi="Times New Roman" w:eastAsia="宋体" w:cs="Times New Roman"/>
          <w:color w:val="000000" w:themeColor="text1"/>
          <w:highlight w:val="none"/>
          <w:lang w:val="en-US" w:eastAsia="zh-CN"/>
        </w:rPr>
        <w:t>5</w:t>
      </w:r>
      <w:r>
        <w:rPr>
          <w:rFonts w:hint="eastAsia" w:ascii="Times New Roman" w:hAnsi="Times New Roman" w:eastAsia="宋体" w:cs="Times New Roman"/>
          <w:color w:val="000000" w:themeColor="text1"/>
          <w:highlight w:val="none"/>
        </w:rPr>
        <w:t>年</w:t>
      </w:r>
      <w:r>
        <w:rPr>
          <w:rFonts w:hint="eastAsia" w:ascii="Times New Roman" w:hAnsi="Times New Roman" w:eastAsia="宋体" w:cs="Times New Roman"/>
          <w:color w:val="000000" w:themeColor="text1"/>
          <w:highlight w:val="none"/>
          <w:lang w:val="en-US" w:eastAsia="zh-CN"/>
        </w:rPr>
        <w:t>1</w:t>
      </w:r>
      <w:r>
        <w:rPr>
          <w:rFonts w:hint="eastAsia" w:ascii="Times New Roman" w:hAnsi="Times New Roman" w:eastAsia="宋体" w:cs="Times New Roman"/>
          <w:color w:val="000000" w:themeColor="text1"/>
          <w:highlight w:val="none"/>
        </w:rPr>
        <w:t>月1日施行）；</w:t>
      </w:r>
    </w:p>
    <w:p w14:paraId="477ED642">
      <w:pPr>
        <w:pageBreakBefore w:val="0"/>
        <w:wordWrap/>
        <w:topLinePunct w:val="0"/>
        <w:bidi w:val="0"/>
        <w:spacing w:line="360" w:lineRule="auto"/>
        <w:rPr>
          <w:rFonts w:hint="eastAsia"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（28）《鹤岗市人民政府关于印发鹤岗市空气质量持续改善行动计划实施方案的通知》（鹤政发〔2024〕7号）</w:t>
      </w:r>
    </w:p>
    <w:p w14:paraId="128AE3D2">
      <w:pPr>
        <w:pStyle w:val="4"/>
        <w:pageBreakBefore w:val="0"/>
        <w:wordWrap/>
        <w:topLinePunct w:val="0"/>
        <w:bidi w:val="0"/>
        <w:spacing w:before="120" w:line="360" w:lineRule="auto"/>
        <w:rPr>
          <w:color w:val="000000" w:themeColor="text1"/>
          <w:highlight w:val="none"/>
        </w:rPr>
      </w:pPr>
      <w:bookmarkStart w:id="105" w:name="_Toc4230"/>
      <w:bookmarkStart w:id="106" w:name="_Toc26665"/>
      <w:r>
        <w:rPr>
          <w:rFonts w:hint="eastAsia"/>
          <w:color w:val="000000" w:themeColor="text1"/>
          <w:highlight w:val="none"/>
        </w:rPr>
        <w:t>2.1.3</w:t>
      </w:r>
      <w:r>
        <w:rPr>
          <w:color w:val="000000" w:themeColor="text1"/>
          <w:highlight w:val="none"/>
        </w:rPr>
        <w:t>技术依据</w:t>
      </w:r>
      <w:bookmarkEnd w:id="105"/>
      <w:bookmarkEnd w:id="106"/>
    </w:p>
    <w:p w14:paraId="1F0E77B8">
      <w:pPr>
        <w:pageBreakBefore w:val="0"/>
        <w:wordWrap/>
        <w:topLinePunct w:val="0"/>
        <w:bidi w:val="0"/>
        <w:spacing w:line="360" w:lineRule="auto"/>
        <w:rPr>
          <w:color w:val="000000" w:themeColor="text1"/>
          <w:highlight w:val="none"/>
        </w:rPr>
      </w:pPr>
      <w:r>
        <w:rPr>
          <w:color w:val="000000" w:themeColor="text1"/>
          <w:highlight w:val="none"/>
        </w:rPr>
        <w:t>（1）《建设项目环境影响评价技术导则 总纲》（HJ 2.1-2016）；</w:t>
      </w:r>
    </w:p>
    <w:p w14:paraId="4457427F">
      <w:pPr>
        <w:pageBreakBefore w:val="0"/>
        <w:wordWrap/>
        <w:topLinePunct w:val="0"/>
        <w:bidi w:val="0"/>
        <w:spacing w:line="360" w:lineRule="auto"/>
        <w:rPr>
          <w:color w:val="000000" w:themeColor="text1"/>
          <w:highlight w:val="none"/>
        </w:rPr>
      </w:pPr>
      <w:r>
        <w:rPr>
          <w:color w:val="000000" w:themeColor="text1"/>
          <w:highlight w:val="none"/>
        </w:rPr>
        <w:t>（2）《环境影响评价技术导则 大气环境》（HJ2.2-2018）；</w:t>
      </w:r>
    </w:p>
    <w:p w14:paraId="5C6476D1">
      <w:pPr>
        <w:pageBreakBefore w:val="0"/>
        <w:wordWrap/>
        <w:topLinePunct w:val="0"/>
        <w:bidi w:val="0"/>
        <w:spacing w:line="360" w:lineRule="auto"/>
        <w:rPr>
          <w:color w:val="000000" w:themeColor="text1"/>
          <w:highlight w:val="none"/>
        </w:rPr>
      </w:pPr>
      <w:r>
        <w:rPr>
          <w:color w:val="000000" w:themeColor="text1"/>
          <w:highlight w:val="none"/>
        </w:rPr>
        <w:t>（3）《环境影响评价技术导则 地表水环境》（HJ2.3-2018）；</w:t>
      </w:r>
    </w:p>
    <w:p w14:paraId="5861CF48">
      <w:pPr>
        <w:pageBreakBefore w:val="0"/>
        <w:wordWrap/>
        <w:topLinePunct w:val="0"/>
        <w:bidi w:val="0"/>
        <w:spacing w:line="360" w:lineRule="auto"/>
        <w:rPr>
          <w:color w:val="000000" w:themeColor="text1"/>
          <w:highlight w:val="none"/>
        </w:rPr>
      </w:pPr>
      <w:r>
        <w:rPr>
          <w:color w:val="000000" w:themeColor="text1"/>
          <w:highlight w:val="none"/>
        </w:rPr>
        <w:t>（4）《环境影响评价技术导则 声环境》（HJ2.4-20</w:t>
      </w:r>
      <w:r>
        <w:rPr>
          <w:rFonts w:hint="eastAsia"/>
          <w:color w:val="000000" w:themeColor="text1"/>
          <w:highlight w:val="none"/>
          <w:lang w:val="en-US" w:eastAsia="zh-CN"/>
        </w:rPr>
        <w:t>21</w:t>
      </w:r>
      <w:r>
        <w:rPr>
          <w:color w:val="000000" w:themeColor="text1"/>
          <w:highlight w:val="none"/>
        </w:rPr>
        <w:t>）；</w:t>
      </w:r>
    </w:p>
    <w:p w14:paraId="339281B5">
      <w:pPr>
        <w:pageBreakBefore w:val="0"/>
        <w:wordWrap/>
        <w:topLinePunct w:val="0"/>
        <w:bidi w:val="0"/>
        <w:spacing w:line="360" w:lineRule="auto"/>
        <w:rPr>
          <w:color w:val="000000" w:themeColor="text1"/>
          <w:highlight w:val="none"/>
        </w:rPr>
      </w:pPr>
      <w:r>
        <w:rPr>
          <w:color w:val="000000" w:themeColor="text1"/>
          <w:highlight w:val="none"/>
        </w:rPr>
        <w:t>（5）《环境影响评价技术导则 地下水环境》（HJ 610-2016）；</w:t>
      </w:r>
    </w:p>
    <w:p w14:paraId="60AECAB9">
      <w:pPr>
        <w:pageBreakBefore w:val="0"/>
        <w:wordWrap/>
        <w:topLinePunct w:val="0"/>
        <w:bidi w:val="0"/>
        <w:spacing w:line="360" w:lineRule="auto"/>
        <w:rPr>
          <w:color w:val="000000" w:themeColor="text1"/>
          <w:highlight w:val="none"/>
        </w:rPr>
      </w:pPr>
      <w:r>
        <w:rPr>
          <w:color w:val="000000" w:themeColor="text1"/>
          <w:highlight w:val="none"/>
        </w:rPr>
        <w:t>（6）《环境影响评价技术导则  土壤影响（试行）》（HJ964-2018）；</w:t>
      </w:r>
    </w:p>
    <w:p w14:paraId="0F0B07A1">
      <w:pPr>
        <w:pageBreakBefore w:val="0"/>
        <w:wordWrap/>
        <w:topLinePunct w:val="0"/>
        <w:bidi w:val="0"/>
        <w:spacing w:line="360" w:lineRule="auto"/>
        <w:rPr>
          <w:color w:val="000000" w:themeColor="text1"/>
          <w:highlight w:val="none"/>
        </w:rPr>
      </w:pPr>
      <w:r>
        <w:rPr>
          <w:color w:val="000000" w:themeColor="text1"/>
          <w:highlight w:val="none"/>
        </w:rPr>
        <w:t>（7）《环境影响评价技术导则 生态影响》（HJ19-20</w:t>
      </w:r>
      <w:r>
        <w:rPr>
          <w:rFonts w:hint="eastAsia"/>
          <w:color w:val="000000" w:themeColor="text1"/>
          <w:highlight w:val="none"/>
          <w:lang w:val="en-US" w:eastAsia="zh-CN"/>
        </w:rPr>
        <w:t>22</w:t>
      </w:r>
      <w:r>
        <w:rPr>
          <w:color w:val="000000" w:themeColor="text1"/>
          <w:highlight w:val="none"/>
        </w:rPr>
        <w:t>）；</w:t>
      </w:r>
    </w:p>
    <w:p w14:paraId="76905074">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8</w:t>
      </w:r>
      <w:r>
        <w:rPr>
          <w:rFonts w:hint="eastAsia"/>
          <w:color w:val="000000" w:themeColor="text1"/>
          <w:highlight w:val="none"/>
          <w:lang w:eastAsia="zh-CN"/>
        </w:rPr>
        <w:t>）《环境影响评价技术导则 公路建设项目》（HJ 1358-2024）；</w:t>
      </w:r>
    </w:p>
    <w:p w14:paraId="5974CDF2">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9</w:t>
      </w:r>
      <w:r>
        <w:rPr>
          <w:color w:val="000000" w:themeColor="text1"/>
          <w:highlight w:val="none"/>
        </w:rPr>
        <w:t>）《声环境功能区划分技术规范》（GB/T 15190-2014）；</w:t>
      </w:r>
    </w:p>
    <w:p w14:paraId="17A047D3">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10</w:t>
      </w:r>
      <w:r>
        <w:rPr>
          <w:color w:val="000000" w:themeColor="text1"/>
          <w:highlight w:val="none"/>
        </w:rPr>
        <w:t>）《建设项目环境风险评价技术导则》（HJ169-2018）；</w:t>
      </w:r>
    </w:p>
    <w:p w14:paraId="0542F87C">
      <w:pPr>
        <w:pageBreakBefore w:val="0"/>
        <w:wordWrap/>
        <w:topLinePunct w:val="0"/>
        <w:bidi w:val="0"/>
        <w:spacing w:line="360" w:lineRule="auto"/>
        <w:rPr>
          <w:color w:val="000000" w:themeColor="text1"/>
          <w:highlight w:val="none"/>
        </w:rPr>
      </w:pPr>
      <w:r>
        <w:rPr>
          <w:color w:val="000000" w:themeColor="text1"/>
          <w:highlight w:val="none"/>
        </w:rPr>
        <w:t>（1</w:t>
      </w:r>
      <w:r>
        <w:rPr>
          <w:rFonts w:hint="eastAsia"/>
          <w:color w:val="000000" w:themeColor="text1"/>
          <w:highlight w:val="none"/>
          <w:lang w:val="en-US" w:eastAsia="zh-CN"/>
        </w:rPr>
        <w:t>1</w:t>
      </w:r>
      <w:r>
        <w:rPr>
          <w:color w:val="000000" w:themeColor="text1"/>
          <w:highlight w:val="none"/>
        </w:rPr>
        <w:t>）《公路工程技术标准》（JTGB01-2014）；</w:t>
      </w:r>
    </w:p>
    <w:p w14:paraId="4E8389F2">
      <w:pPr>
        <w:pageBreakBefore w:val="0"/>
        <w:wordWrap/>
        <w:topLinePunct w:val="0"/>
        <w:bidi w:val="0"/>
        <w:spacing w:line="360" w:lineRule="auto"/>
        <w:rPr>
          <w:color w:val="000000" w:themeColor="text1"/>
          <w:highlight w:val="none"/>
        </w:rPr>
      </w:pPr>
      <w:r>
        <w:rPr>
          <w:color w:val="000000" w:themeColor="text1"/>
          <w:highlight w:val="none"/>
        </w:rPr>
        <w:t>（1</w:t>
      </w:r>
      <w:r>
        <w:rPr>
          <w:rFonts w:hint="eastAsia"/>
          <w:color w:val="000000" w:themeColor="text1"/>
          <w:highlight w:val="none"/>
          <w:lang w:val="en-US" w:eastAsia="zh-CN"/>
        </w:rPr>
        <w:t>2</w:t>
      </w:r>
      <w:r>
        <w:rPr>
          <w:color w:val="000000" w:themeColor="text1"/>
          <w:highlight w:val="none"/>
        </w:rPr>
        <w:t>）《公路环境保护设计规范》（JTGB04-2010）；</w:t>
      </w:r>
    </w:p>
    <w:p w14:paraId="67F570B2">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3</w:t>
      </w:r>
      <w:r>
        <w:rPr>
          <w:rFonts w:hint="eastAsia"/>
          <w:color w:val="000000" w:themeColor="text1"/>
          <w:highlight w:val="none"/>
        </w:rPr>
        <w:t>）《建筑环境通用规范》（G</w:t>
      </w:r>
      <w:r>
        <w:rPr>
          <w:color w:val="000000" w:themeColor="text1"/>
          <w:highlight w:val="none"/>
        </w:rPr>
        <w:t>B55016-2021</w:t>
      </w:r>
      <w:r>
        <w:rPr>
          <w:rFonts w:hint="eastAsia"/>
          <w:color w:val="000000" w:themeColor="text1"/>
          <w:highlight w:val="none"/>
        </w:rPr>
        <w:t>）。</w:t>
      </w:r>
    </w:p>
    <w:p w14:paraId="368284B5">
      <w:pPr>
        <w:pStyle w:val="4"/>
        <w:pageBreakBefore w:val="0"/>
        <w:wordWrap/>
        <w:topLinePunct w:val="0"/>
        <w:bidi w:val="0"/>
        <w:spacing w:before="120" w:line="360" w:lineRule="auto"/>
        <w:rPr>
          <w:color w:val="000000" w:themeColor="text1"/>
          <w:highlight w:val="none"/>
        </w:rPr>
      </w:pPr>
      <w:bookmarkStart w:id="107" w:name="_Toc9415"/>
      <w:bookmarkStart w:id="108" w:name="_Toc8785"/>
      <w:r>
        <w:rPr>
          <w:rFonts w:hint="eastAsia"/>
          <w:color w:val="000000" w:themeColor="text1"/>
          <w:highlight w:val="none"/>
        </w:rPr>
        <w:t>2.1.4</w:t>
      </w:r>
      <w:r>
        <w:rPr>
          <w:color w:val="000000" w:themeColor="text1"/>
          <w:highlight w:val="none"/>
        </w:rPr>
        <w:t>其它技术文件</w:t>
      </w:r>
      <w:bookmarkEnd w:id="107"/>
      <w:bookmarkEnd w:id="108"/>
    </w:p>
    <w:p w14:paraId="3051024B">
      <w:pPr>
        <w:pageBreakBefore w:val="0"/>
        <w:wordWrap/>
        <w:topLinePunct w:val="0"/>
        <w:bidi w:val="0"/>
        <w:spacing w:line="360" w:lineRule="auto"/>
        <w:rPr>
          <w:color w:val="000000" w:themeColor="text1"/>
          <w:highlight w:val="none"/>
        </w:rPr>
      </w:pPr>
      <w:r>
        <w:rPr>
          <w:color w:val="000000" w:themeColor="text1"/>
          <w:highlight w:val="none"/>
        </w:rPr>
        <w:t>（1）《</w:t>
      </w:r>
      <w:r>
        <w:rPr>
          <w:rFonts w:hint="eastAsia"/>
          <w:color w:val="000000" w:themeColor="text1"/>
          <w:highlight w:val="none"/>
          <w:lang w:val="en-US" w:eastAsia="zh-CN"/>
        </w:rPr>
        <w:t>新建黑龙江鹤岗机场场外配套工程机场进场路工程</w:t>
      </w:r>
      <w:r>
        <w:rPr>
          <w:color w:val="000000" w:themeColor="text1"/>
          <w:highlight w:val="none"/>
        </w:rPr>
        <w:t>可行性研究报告》；</w:t>
      </w:r>
    </w:p>
    <w:p w14:paraId="1FD13B01">
      <w:pPr>
        <w:pageBreakBefore w:val="0"/>
        <w:wordWrap/>
        <w:topLinePunct w:val="0"/>
        <w:bidi w:val="0"/>
        <w:spacing w:line="360" w:lineRule="auto"/>
        <w:rPr>
          <w:color w:val="000000" w:themeColor="text1"/>
          <w:highlight w:val="none"/>
        </w:rPr>
      </w:pPr>
      <w:r>
        <w:rPr>
          <w:color w:val="000000" w:themeColor="text1"/>
          <w:highlight w:val="none"/>
        </w:rPr>
        <w:t>（2）</w:t>
      </w:r>
      <w:r>
        <w:rPr>
          <w:rFonts w:hint="eastAsia"/>
          <w:color w:val="000000" w:themeColor="text1"/>
          <w:highlight w:val="none"/>
        </w:rPr>
        <w:t>《</w:t>
      </w:r>
      <w:r>
        <w:rPr>
          <w:rFonts w:hint="eastAsia"/>
          <w:color w:val="000000" w:themeColor="text1"/>
          <w:highlight w:val="none"/>
          <w:lang w:val="en-US" w:eastAsia="zh-CN"/>
        </w:rPr>
        <w:t>新建鹤岗机场场外配套工程机场进场路工程</w:t>
      </w:r>
      <w:r>
        <w:rPr>
          <w:rFonts w:hint="eastAsia"/>
          <w:color w:val="000000" w:themeColor="text1"/>
          <w:highlight w:val="none"/>
        </w:rPr>
        <w:t>》</w:t>
      </w:r>
      <w:r>
        <w:rPr>
          <w:color w:val="000000" w:themeColor="text1"/>
          <w:highlight w:val="none"/>
        </w:rPr>
        <w:t>初步设计；</w:t>
      </w:r>
    </w:p>
    <w:p w14:paraId="64355F6A">
      <w:pPr>
        <w:pageBreakBefore w:val="0"/>
        <w:wordWrap/>
        <w:topLinePunct w:val="0"/>
        <w:bidi w:val="0"/>
        <w:spacing w:line="360" w:lineRule="auto"/>
        <w:rPr>
          <w:rFonts w:ascii="Times New Roman" w:hAnsi="Times New Roman" w:eastAsia="宋体" w:cs="Times New Roman"/>
          <w:color w:val="000000" w:themeColor="text1"/>
          <w:highlight w:val="none"/>
        </w:rPr>
      </w:pPr>
      <w:r>
        <w:rPr>
          <w:color w:val="000000" w:themeColor="text1"/>
          <w:highlight w:val="none"/>
        </w:rPr>
        <w:t>（</w:t>
      </w:r>
      <w:r>
        <w:rPr>
          <w:rFonts w:hint="eastAsia"/>
          <w:color w:val="000000" w:themeColor="text1"/>
          <w:highlight w:val="none"/>
          <w:lang w:val="en-US" w:eastAsia="zh-CN"/>
        </w:rPr>
        <w:t>3</w:t>
      </w:r>
      <w:r>
        <w:rPr>
          <w:color w:val="000000" w:themeColor="text1"/>
          <w:highlight w:val="none"/>
        </w:rPr>
        <w:t>）</w:t>
      </w:r>
      <w:r>
        <w:rPr>
          <w:rFonts w:hint="eastAsia"/>
          <w:color w:val="000000" w:themeColor="text1"/>
          <w:highlight w:val="none"/>
        </w:rPr>
        <w:t>《自然资源部办公厅关于新建黑龙江鹤岗机场项目建设用地预审意见的</w:t>
      </w:r>
      <w:r>
        <w:rPr>
          <w:rFonts w:hint="eastAsia" w:ascii="Times New Roman" w:hAnsi="Times New Roman" w:eastAsia="宋体" w:cs="Times New Roman"/>
          <w:color w:val="000000" w:themeColor="text1"/>
          <w:highlight w:val="none"/>
        </w:rPr>
        <w:t>函</w:t>
      </w:r>
      <w:r>
        <w:rPr>
          <w:rFonts w:hint="eastAsia" w:ascii="Times New Roman" w:hAnsi="Times New Roman" w:eastAsia="宋体" w:cs="Times New Roman"/>
          <w:color w:val="000000" w:themeColor="text1"/>
          <w:highlight w:val="none"/>
          <w:lang w:eastAsia="zh-CN"/>
        </w:rPr>
        <w:t>》</w:t>
      </w:r>
      <w:r>
        <w:rPr>
          <w:rFonts w:hint="eastAsia" w:ascii="Times New Roman" w:hAnsi="Times New Roman" w:eastAsia="宋体" w:cs="Times New Roman"/>
          <w:color w:val="000000" w:themeColor="text1"/>
          <w:highlight w:val="none"/>
        </w:rPr>
        <w:t>（自然资办函〔202</w:t>
      </w:r>
      <w:r>
        <w:rPr>
          <w:rFonts w:hint="eastAsia" w:ascii="Times New Roman" w:hAnsi="Times New Roman" w:eastAsia="宋体" w:cs="Times New Roman"/>
          <w:color w:val="000000" w:themeColor="text1"/>
          <w:highlight w:val="none"/>
          <w:lang w:val="en-US" w:eastAsia="zh-CN"/>
        </w:rPr>
        <w:t>3</w:t>
      </w:r>
      <w:r>
        <w:rPr>
          <w:rFonts w:hint="eastAsia" w:ascii="Times New Roman" w:hAnsi="Times New Roman" w:eastAsia="宋体" w:cs="Times New Roman"/>
          <w:color w:val="000000" w:themeColor="text1"/>
          <w:highlight w:val="none"/>
        </w:rPr>
        <w:t>〕1655号）；</w:t>
      </w:r>
    </w:p>
    <w:p w14:paraId="3534D59B">
      <w:pPr>
        <w:pageBreakBefore w:val="0"/>
        <w:wordWrap/>
        <w:topLinePunct w:val="0"/>
        <w:bidi w:val="0"/>
        <w:spacing w:line="360" w:lineRule="auto"/>
        <w:rPr>
          <w:rFonts w:hint="eastAsia"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rPr>
        <w:t>（</w:t>
      </w:r>
      <w:r>
        <w:rPr>
          <w:rFonts w:hint="eastAsia" w:ascii="Times New Roman" w:hAnsi="Times New Roman" w:eastAsia="宋体" w:cs="Times New Roman"/>
          <w:color w:val="000000" w:themeColor="text1"/>
          <w:highlight w:val="none"/>
          <w:lang w:val="en-US" w:eastAsia="zh-CN"/>
        </w:rPr>
        <w:t>4</w:t>
      </w:r>
      <w:r>
        <w:rPr>
          <w:rFonts w:hint="eastAsia" w:ascii="Times New Roman" w:hAnsi="Times New Roman" w:eastAsia="宋体" w:cs="Times New Roman"/>
          <w:color w:val="000000" w:themeColor="text1"/>
          <w:highlight w:val="none"/>
        </w:rPr>
        <w:t>）</w:t>
      </w:r>
      <w:r>
        <w:rPr>
          <w:rFonts w:hint="eastAsia" w:ascii="Times New Roman" w:hAnsi="Times New Roman" w:eastAsia="宋体" w:cs="Times New Roman"/>
          <w:color w:val="000000" w:themeColor="text1"/>
          <w:highlight w:val="none"/>
          <w:lang w:val="en-US" w:eastAsia="zh-CN"/>
        </w:rPr>
        <w:t>鹤岗市</w:t>
      </w:r>
      <w:r>
        <w:rPr>
          <w:rFonts w:hint="eastAsia" w:ascii="Times New Roman" w:hAnsi="Times New Roman" w:eastAsia="宋体" w:cs="Times New Roman"/>
          <w:color w:val="000000" w:themeColor="text1"/>
          <w:highlight w:val="none"/>
        </w:rPr>
        <w:t>自然资源</w:t>
      </w:r>
      <w:r>
        <w:rPr>
          <w:rFonts w:hint="eastAsia" w:ascii="Times New Roman" w:hAnsi="Times New Roman" w:eastAsia="宋体" w:cs="Times New Roman"/>
          <w:color w:val="000000" w:themeColor="text1"/>
          <w:highlight w:val="none"/>
          <w:lang w:val="en-US" w:eastAsia="zh-CN"/>
        </w:rPr>
        <w:t>局《建设项目用地预审与选址意见书》（用字第230400202300016号）；</w:t>
      </w:r>
    </w:p>
    <w:p w14:paraId="3135EAAD">
      <w:pPr>
        <w:pageBreakBefore w:val="0"/>
        <w:wordWrap/>
        <w:topLinePunct w:val="0"/>
        <w:bidi w:val="0"/>
        <w:spacing w:line="360" w:lineRule="auto"/>
        <w:rPr>
          <w:rFonts w:hint="eastAsia"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（5）《鹤岗市交通运输局关于新建黑龙江鹤岗机场场外配套工程机场进场路工程初步设计的批复》；</w:t>
      </w:r>
    </w:p>
    <w:p w14:paraId="4B880A0A">
      <w:pPr>
        <w:pageBreakBefore w:val="0"/>
        <w:wordWrap/>
        <w:topLinePunct w:val="0"/>
        <w:bidi w:val="0"/>
        <w:spacing w:line="360" w:lineRule="auto"/>
        <w:ind w:left="480" w:leftChars="200" w:firstLine="0" w:firstLineChars="0"/>
        <w:rPr>
          <w:rFonts w:hint="eastAsia"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（6）《新建鹤岗机场场外配套工程机场进场路工程两阶段施工图设计》；</w:t>
      </w:r>
    </w:p>
    <w:p w14:paraId="4C64C5D4">
      <w:pPr>
        <w:pStyle w:val="3"/>
        <w:pageBreakBefore w:val="0"/>
        <w:wordWrap/>
        <w:topLinePunct w:val="0"/>
        <w:bidi w:val="0"/>
        <w:spacing w:before="12" w:after="120" w:line="360" w:lineRule="auto"/>
        <w:rPr>
          <w:color w:val="000000" w:themeColor="text1"/>
          <w:highlight w:val="none"/>
        </w:rPr>
      </w:pPr>
      <w:bookmarkStart w:id="109" w:name="_Toc2603"/>
      <w:bookmarkStart w:id="110" w:name="_Toc3387871"/>
      <w:bookmarkStart w:id="111" w:name="_Toc10934"/>
      <w:bookmarkStart w:id="112" w:name="_Toc13435"/>
      <w:bookmarkStart w:id="113" w:name="_Toc17548"/>
      <w:bookmarkStart w:id="114" w:name="_Toc4702"/>
      <w:r>
        <w:rPr>
          <w:rFonts w:hint="eastAsia"/>
          <w:color w:val="000000" w:themeColor="text1"/>
          <w:highlight w:val="none"/>
        </w:rPr>
        <w:t>2.2</w:t>
      </w:r>
      <w:r>
        <w:rPr>
          <w:color w:val="000000" w:themeColor="text1"/>
          <w:highlight w:val="none"/>
        </w:rPr>
        <w:t>评价原则</w:t>
      </w:r>
      <w:bookmarkEnd w:id="109"/>
      <w:bookmarkEnd w:id="110"/>
      <w:bookmarkEnd w:id="111"/>
      <w:bookmarkEnd w:id="112"/>
      <w:bookmarkEnd w:id="113"/>
      <w:bookmarkEnd w:id="114"/>
    </w:p>
    <w:p w14:paraId="1E55B3DA">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rPr>
        <w:t>根据本项目的内容和规模</w:t>
      </w:r>
      <w:r>
        <w:rPr>
          <w:rFonts w:hint="eastAsia"/>
          <w:color w:val="000000" w:themeColor="text1"/>
          <w:highlight w:val="none"/>
          <w:lang w:eastAsia="zh-CN"/>
        </w:rPr>
        <w:t>，</w:t>
      </w:r>
      <w:r>
        <w:rPr>
          <w:rFonts w:hint="eastAsia"/>
          <w:color w:val="000000" w:themeColor="text1"/>
          <w:highlight w:val="none"/>
        </w:rPr>
        <w:t>结合本项目所在地的环境状况及环境保护的政策法规，突出环境影响评价的源头预防作用，坚持保护和改善环境质量，本项目环境影响评价遵循以下原则</w:t>
      </w:r>
      <w:r>
        <w:rPr>
          <w:rFonts w:hint="eastAsia"/>
          <w:color w:val="000000" w:themeColor="text1"/>
          <w:highlight w:val="none"/>
          <w:lang w:eastAsia="zh-CN"/>
        </w:rPr>
        <w:t>：</w:t>
      </w:r>
    </w:p>
    <w:p w14:paraId="58856141">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rPr>
        <w:t>依法评价</w:t>
      </w:r>
      <w:r>
        <w:rPr>
          <w:rFonts w:hint="eastAsia"/>
          <w:color w:val="000000" w:themeColor="text1"/>
          <w:highlight w:val="none"/>
          <w:lang w:eastAsia="zh-CN"/>
        </w:rPr>
        <w:t>：</w:t>
      </w:r>
      <w:r>
        <w:rPr>
          <w:rFonts w:hint="eastAsia"/>
          <w:color w:val="000000" w:themeColor="text1"/>
          <w:highlight w:val="none"/>
        </w:rPr>
        <w:t>贯彻执行我国环境保护相关法律法规、标准、政策和规划等，优化项目建设，服务环境管理</w:t>
      </w:r>
      <w:r>
        <w:rPr>
          <w:rFonts w:hint="eastAsia"/>
          <w:color w:val="000000" w:themeColor="text1"/>
          <w:highlight w:val="none"/>
          <w:lang w:eastAsia="zh-CN"/>
        </w:rPr>
        <w:t>；</w:t>
      </w:r>
    </w:p>
    <w:p w14:paraId="688D426A">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rPr>
        <w:t>科学评价</w:t>
      </w:r>
      <w:r>
        <w:rPr>
          <w:rFonts w:hint="eastAsia"/>
          <w:color w:val="000000" w:themeColor="text1"/>
          <w:highlight w:val="none"/>
          <w:lang w:eastAsia="zh-CN"/>
        </w:rPr>
        <w:t>：</w:t>
      </w:r>
      <w:r>
        <w:rPr>
          <w:rFonts w:hint="eastAsia"/>
          <w:color w:val="000000" w:themeColor="text1"/>
          <w:highlight w:val="none"/>
        </w:rPr>
        <w:t>规范环境影响评价方法、科学分析项目建设对环境质量的影响</w:t>
      </w:r>
      <w:r>
        <w:rPr>
          <w:rFonts w:hint="eastAsia"/>
          <w:color w:val="000000" w:themeColor="text1"/>
          <w:highlight w:val="none"/>
          <w:lang w:eastAsia="zh-CN"/>
        </w:rPr>
        <w:t>；</w:t>
      </w:r>
    </w:p>
    <w:p w14:paraId="6D40BE21">
      <w:pPr>
        <w:pageBreakBefore w:val="0"/>
        <w:wordWrap/>
        <w:topLinePunct w:val="0"/>
        <w:bidi w:val="0"/>
        <w:spacing w:line="360" w:lineRule="auto"/>
        <w:rPr>
          <w:color w:val="000000" w:themeColor="text1"/>
          <w:szCs w:val="32"/>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rPr>
        <w:t>突出重点</w:t>
      </w:r>
      <w:r>
        <w:rPr>
          <w:rFonts w:hint="eastAsia"/>
          <w:color w:val="000000" w:themeColor="text1"/>
          <w:highlight w:val="none"/>
          <w:lang w:eastAsia="zh-CN"/>
        </w:rPr>
        <w:t>：</w:t>
      </w:r>
      <w:r>
        <w:rPr>
          <w:rFonts w:hint="eastAsia"/>
          <w:color w:val="000000" w:themeColor="text1"/>
          <w:highlight w:val="none"/>
        </w:rPr>
        <w:t>根据建设项目的工程内容及其特点，明确与环境要素间的作用效应关系，根据规划环境影响评价结论和审查意见，充分利用符合时效性的数据资料和成果，对建设项目主要环境影响予以重点分析和评价。</w:t>
      </w:r>
    </w:p>
    <w:p w14:paraId="194385A6">
      <w:pPr>
        <w:pStyle w:val="3"/>
        <w:pageBreakBefore w:val="0"/>
        <w:wordWrap/>
        <w:topLinePunct w:val="0"/>
        <w:bidi w:val="0"/>
        <w:spacing w:before="12" w:after="120" w:line="360" w:lineRule="auto"/>
        <w:rPr>
          <w:color w:val="000000" w:themeColor="text1"/>
          <w:highlight w:val="none"/>
        </w:rPr>
      </w:pPr>
      <w:bookmarkStart w:id="115" w:name="_Toc451873539"/>
      <w:bookmarkStart w:id="116" w:name="_Toc18133"/>
      <w:bookmarkStart w:id="117" w:name="_Toc8767"/>
      <w:bookmarkStart w:id="118" w:name="_Toc14063"/>
      <w:bookmarkStart w:id="119" w:name="_Toc1618"/>
      <w:r>
        <w:rPr>
          <w:rFonts w:hint="eastAsia"/>
          <w:color w:val="000000" w:themeColor="text1"/>
          <w:highlight w:val="none"/>
        </w:rPr>
        <w:t>2.3</w:t>
      </w:r>
      <w:r>
        <w:rPr>
          <w:color w:val="000000" w:themeColor="text1"/>
          <w:highlight w:val="none"/>
        </w:rPr>
        <w:t>环境影响识别与评价因子筛选</w:t>
      </w:r>
      <w:bookmarkEnd w:id="115"/>
      <w:bookmarkEnd w:id="116"/>
      <w:bookmarkEnd w:id="117"/>
      <w:bookmarkEnd w:id="118"/>
      <w:bookmarkEnd w:id="119"/>
    </w:p>
    <w:p w14:paraId="5E15EEB1">
      <w:pPr>
        <w:pageBreakBefore w:val="0"/>
        <w:wordWrap/>
        <w:topLinePunct w:val="0"/>
        <w:bidi w:val="0"/>
        <w:spacing w:beforeLines="50" w:line="360" w:lineRule="auto"/>
        <w:rPr>
          <w:color w:val="000000" w:themeColor="text1"/>
          <w:highlight w:val="none"/>
        </w:rPr>
      </w:pPr>
      <w:r>
        <w:rPr>
          <w:color w:val="000000" w:themeColor="text1"/>
          <w:highlight w:val="none"/>
        </w:rPr>
        <w:t>在工程分析的基础上，通过工程污染源和环境影响分析，按施工期和运营期进行环境影响识别。根据建设项目对环境的影响程度，以及与国家和地方环境法律法规、环境标准的符合程度，确定重要环境因素，进而确定评价重点。</w:t>
      </w:r>
    </w:p>
    <w:p w14:paraId="22A56F1B">
      <w:pPr>
        <w:pStyle w:val="4"/>
        <w:pageBreakBefore w:val="0"/>
        <w:wordWrap/>
        <w:topLinePunct w:val="0"/>
        <w:bidi w:val="0"/>
        <w:spacing w:before="120" w:line="360" w:lineRule="auto"/>
        <w:rPr>
          <w:color w:val="000000" w:themeColor="text1"/>
          <w:highlight w:val="none"/>
        </w:rPr>
      </w:pPr>
      <w:bookmarkStart w:id="120" w:name="_Toc19465"/>
      <w:bookmarkStart w:id="121" w:name="_Toc20527"/>
      <w:r>
        <w:rPr>
          <w:rFonts w:hint="eastAsia"/>
          <w:color w:val="000000" w:themeColor="text1"/>
          <w:highlight w:val="none"/>
        </w:rPr>
        <w:t>2.3.1</w:t>
      </w:r>
      <w:r>
        <w:rPr>
          <w:color w:val="000000" w:themeColor="text1"/>
          <w:highlight w:val="none"/>
        </w:rPr>
        <w:t>环境影响识别</w:t>
      </w:r>
      <w:bookmarkEnd w:id="120"/>
      <w:bookmarkEnd w:id="121"/>
    </w:p>
    <w:p w14:paraId="4E14C1B1">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2.3.1.1</w:t>
      </w:r>
      <w:r>
        <w:rPr>
          <w:color w:val="000000" w:themeColor="text1"/>
          <w:highlight w:val="none"/>
        </w:rPr>
        <w:t>施工期环境影响识别</w:t>
      </w:r>
    </w:p>
    <w:p w14:paraId="4D563FCE">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lang w:val="en-US" w:eastAsia="zh-CN"/>
        </w:rPr>
        <w:t>生态环境影响：施工中路基开挖过程会影响区域生态环境；土石方工程、临时工程占地造成地表植被破坏，造成局部水土流失；导致生物量减少及干扰野生动物活动；桥涵工程扰动地表水体，对水生动物及生境产生影响。</w:t>
      </w:r>
    </w:p>
    <w:p w14:paraId="07B97CA0">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lang w:val="en-US" w:eastAsia="zh-CN"/>
        </w:rPr>
        <w:t>声环境影响：施工期主要是道路、桥梁及附属设施施工时设备运行噪声，运输车辆对沿线敏感点目标产生的影响。</w:t>
      </w:r>
    </w:p>
    <w:p w14:paraId="428C4FEF">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lang w:val="en-US" w:eastAsia="zh-CN"/>
        </w:rPr>
        <w:t>环境空气影响：</w:t>
      </w:r>
      <w:r>
        <w:rPr>
          <w:color w:val="000000" w:themeColor="text1"/>
          <w:highlight w:val="none"/>
        </w:rPr>
        <w:t>施工作业对环境空气的影响主要表现为扬尘污染，主要来源于土石方工程、地表开挖和运输过程</w:t>
      </w:r>
      <w:r>
        <w:rPr>
          <w:rFonts w:hint="eastAsia"/>
          <w:color w:val="000000" w:themeColor="text1"/>
          <w:highlight w:val="none"/>
          <w:lang w:eastAsia="zh-CN"/>
        </w:rPr>
        <w:t>，</w:t>
      </w:r>
      <w:r>
        <w:rPr>
          <w:rFonts w:hint="eastAsia"/>
          <w:color w:val="000000" w:themeColor="text1"/>
          <w:highlight w:val="none"/>
          <w:lang w:val="en-US" w:eastAsia="zh-CN"/>
        </w:rPr>
        <w:t>以及施工机械运输车辆尾气和拌合站沥青烟</w:t>
      </w:r>
      <w:r>
        <w:rPr>
          <w:color w:val="000000" w:themeColor="text1"/>
          <w:highlight w:val="none"/>
        </w:rPr>
        <w:t>。</w:t>
      </w:r>
    </w:p>
    <w:p w14:paraId="5CEF1834">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color w:val="000000" w:themeColor="text1"/>
          <w:kern w:val="0"/>
          <w:szCs w:val="20"/>
          <w:highlight w:val="none"/>
        </w:rPr>
        <w:t>水环境影响：</w:t>
      </w:r>
      <w:r>
        <w:rPr>
          <w:color w:val="000000" w:themeColor="text1"/>
          <w:highlight w:val="none"/>
        </w:rPr>
        <w:t>施工过程中生产作业废水，尤其是雨季冲刷</w:t>
      </w:r>
      <w:r>
        <w:rPr>
          <w:rFonts w:hint="eastAsia"/>
          <w:color w:val="000000" w:themeColor="text1"/>
          <w:highlight w:val="none"/>
          <w:lang w:val="en-US" w:eastAsia="zh-CN"/>
        </w:rPr>
        <w:t>废水</w:t>
      </w:r>
      <w:r>
        <w:rPr>
          <w:color w:val="000000" w:themeColor="text1"/>
          <w:highlight w:val="none"/>
        </w:rPr>
        <w:t>和</w:t>
      </w:r>
      <w:r>
        <w:rPr>
          <w:rFonts w:hint="eastAsia"/>
          <w:color w:val="000000" w:themeColor="text1"/>
          <w:highlight w:val="none"/>
          <w:lang w:val="en-US" w:eastAsia="zh-CN"/>
        </w:rPr>
        <w:t>桥梁施工</w:t>
      </w:r>
      <w:r>
        <w:rPr>
          <w:color w:val="000000" w:themeColor="text1"/>
          <w:highlight w:val="none"/>
        </w:rPr>
        <w:t>泥浆废水，以及施工人员驻地排放的生活污水，都会对周围区域水环境造成影响</w:t>
      </w:r>
      <w:r>
        <w:rPr>
          <w:rFonts w:hint="eastAsia"/>
          <w:color w:val="000000" w:themeColor="text1"/>
          <w:highlight w:val="none"/>
          <w:lang w:eastAsia="zh-CN"/>
        </w:rPr>
        <w:t>。</w:t>
      </w:r>
    </w:p>
    <w:p w14:paraId="1D9333A7">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2.3.1.2</w:t>
      </w:r>
      <w:r>
        <w:rPr>
          <w:color w:val="000000" w:themeColor="text1"/>
          <w:highlight w:val="none"/>
        </w:rPr>
        <w:t>运营期环境影响识别</w:t>
      </w:r>
    </w:p>
    <w:p w14:paraId="3A10EFE8">
      <w:pPr>
        <w:pStyle w:val="13"/>
        <w:pageBreakBefore w:val="0"/>
        <w:numPr>
          <w:ilvl w:val="0"/>
          <w:numId w:val="0"/>
        </w:numPr>
        <w:wordWrap/>
        <w:topLinePunct w:val="0"/>
        <w:bidi w:val="0"/>
        <w:spacing w:line="360" w:lineRule="auto"/>
        <w:ind w:firstLine="570" w:firstLineChars="0"/>
        <w:rPr>
          <w:rFonts w:ascii="Times New Roman" w:eastAsia="宋体"/>
          <w:color w:val="000000" w:themeColor="text1"/>
          <w:sz w:val="24"/>
          <w:highlight w:val="none"/>
        </w:rPr>
      </w:pPr>
      <w:r>
        <w:rPr>
          <w:rFonts w:ascii="Times New Roman" w:hAnsi="宋体" w:eastAsia="宋体" w:cs="Times New Roman"/>
          <w:color w:val="000000" w:themeColor="text1"/>
          <w:kern w:val="2"/>
          <w:sz w:val="24"/>
          <w:szCs w:val="24"/>
          <w:highlight w:val="none"/>
          <w:lang w:val="en-US" w:eastAsia="zh-CN" w:bidi="ar-SA"/>
        </w:rPr>
        <w:t>（1）</w:t>
      </w:r>
      <w:r>
        <w:rPr>
          <w:rFonts w:ascii="Times New Roman" w:eastAsia="宋体"/>
          <w:color w:val="000000" w:themeColor="text1"/>
          <w:sz w:val="24"/>
          <w:highlight w:val="none"/>
        </w:rPr>
        <w:t>生态环境影响：</w:t>
      </w:r>
      <w:r>
        <w:rPr>
          <w:rFonts w:hint="eastAsia" w:ascii="Times New Roman" w:eastAsia="宋体"/>
          <w:color w:val="000000" w:themeColor="text1"/>
          <w:sz w:val="24"/>
          <w:highlight w:val="none"/>
          <w:lang w:val="en-US" w:eastAsia="zh-CN"/>
        </w:rPr>
        <w:t>本项目营运期对动物的主要影响包括阻隔、交通噪声、 灯光等。</w:t>
      </w:r>
    </w:p>
    <w:p w14:paraId="0F2666CF">
      <w:pPr>
        <w:pageBreakBefore w:val="0"/>
        <w:wordWrap/>
        <w:topLinePunct w:val="0"/>
        <w:bidi w:val="0"/>
        <w:spacing w:line="360" w:lineRule="auto"/>
        <w:rPr>
          <w:color w:val="000000" w:themeColor="text1"/>
          <w:kern w:val="0"/>
          <w:szCs w:val="20"/>
          <w:highlight w:val="none"/>
        </w:rPr>
      </w:pPr>
      <w:r>
        <w:rPr>
          <w:color w:val="000000" w:themeColor="text1"/>
          <w:kern w:val="0"/>
          <w:szCs w:val="20"/>
          <w:highlight w:val="none"/>
        </w:rPr>
        <w:t>（2）声环境影响：营运期噪声污染主要来源于路上行驶的汽车噪声，</w:t>
      </w:r>
      <w:r>
        <w:rPr>
          <w:color w:val="000000" w:themeColor="text1"/>
          <w:highlight w:val="none"/>
        </w:rPr>
        <w:t>声环境影响即上述污染源对公路沿线</w:t>
      </w:r>
      <w:r>
        <w:rPr>
          <w:rFonts w:hint="eastAsia"/>
          <w:color w:val="000000" w:themeColor="text1"/>
          <w:highlight w:val="none"/>
          <w:lang w:val="en-US" w:eastAsia="zh-CN"/>
        </w:rPr>
        <w:t>声环境敏感目标</w:t>
      </w:r>
      <w:r>
        <w:rPr>
          <w:color w:val="000000" w:themeColor="text1"/>
          <w:kern w:val="0"/>
          <w:highlight w:val="none"/>
        </w:rPr>
        <w:t>的影响；</w:t>
      </w:r>
    </w:p>
    <w:p w14:paraId="52FAA6C6">
      <w:pPr>
        <w:pageBreakBefore w:val="0"/>
        <w:wordWrap/>
        <w:topLinePunct w:val="0"/>
        <w:bidi w:val="0"/>
        <w:spacing w:line="360" w:lineRule="auto"/>
        <w:rPr>
          <w:color w:val="000000" w:themeColor="text1"/>
          <w:highlight w:val="none"/>
        </w:rPr>
      </w:pPr>
      <w:r>
        <w:rPr>
          <w:color w:val="000000" w:themeColor="text1"/>
          <w:kern w:val="0"/>
          <w:szCs w:val="20"/>
          <w:highlight w:val="none"/>
        </w:rPr>
        <w:t>（3）环境空气影响：汽车废气污染物主要有CO、</w:t>
      </w:r>
      <w:r>
        <w:rPr>
          <w:bCs/>
          <w:snapToGrid w:val="0"/>
          <w:color w:val="000000" w:themeColor="text1"/>
          <w:highlight w:val="none"/>
        </w:rPr>
        <w:t>NO</w:t>
      </w:r>
      <w:r>
        <w:rPr>
          <w:bCs/>
          <w:snapToGrid w:val="0"/>
          <w:color w:val="000000" w:themeColor="text1"/>
          <w:highlight w:val="none"/>
          <w:vertAlign w:val="subscript"/>
        </w:rPr>
        <w:t>2</w:t>
      </w:r>
      <w:r>
        <w:rPr>
          <w:color w:val="000000" w:themeColor="text1"/>
          <w:kern w:val="0"/>
          <w:szCs w:val="20"/>
          <w:highlight w:val="none"/>
        </w:rPr>
        <w:t>等，</w:t>
      </w:r>
      <w:r>
        <w:rPr>
          <w:color w:val="000000" w:themeColor="text1"/>
          <w:highlight w:val="none"/>
        </w:rPr>
        <w:t>环境空气影响即上述污染源对公路沿线</w:t>
      </w:r>
      <w:r>
        <w:rPr>
          <w:rFonts w:hint="eastAsia"/>
          <w:color w:val="000000" w:themeColor="text1"/>
          <w:highlight w:val="none"/>
          <w:lang w:val="en-US" w:eastAsia="zh-CN"/>
        </w:rPr>
        <w:t>环境空气</w:t>
      </w:r>
      <w:r>
        <w:rPr>
          <w:color w:val="000000" w:themeColor="text1"/>
          <w:highlight w:val="none"/>
        </w:rPr>
        <w:t>的影响；</w:t>
      </w:r>
    </w:p>
    <w:p w14:paraId="5D51FCDE">
      <w:pPr>
        <w:pageBreakBefore w:val="0"/>
        <w:wordWrap/>
        <w:topLinePunct w:val="0"/>
        <w:bidi w:val="0"/>
        <w:spacing w:line="360" w:lineRule="auto"/>
        <w:rPr>
          <w:color w:val="000000" w:themeColor="text1"/>
          <w:kern w:val="0"/>
          <w:szCs w:val="20"/>
          <w:highlight w:val="none"/>
        </w:rPr>
      </w:pPr>
      <w:r>
        <w:rPr>
          <w:color w:val="000000" w:themeColor="text1"/>
          <w:kern w:val="0"/>
          <w:szCs w:val="20"/>
          <w:highlight w:val="none"/>
        </w:rPr>
        <w:t>（4）水环境影响：发生环境风险对附近地表水体的影响</w:t>
      </w:r>
      <w:r>
        <w:rPr>
          <w:rFonts w:hint="eastAsia"/>
          <w:color w:val="000000" w:themeColor="text1"/>
          <w:kern w:val="0"/>
          <w:szCs w:val="20"/>
          <w:highlight w:val="none"/>
        </w:rPr>
        <w:t>。</w:t>
      </w:r>
    </w:p>
    <w:p w14:paraId="433A7B62">
      <w:pPr>
        <w:pageBreakBefore w:val="0"/>
        <w:wordWrap/>
        <w:topLinePunct w:val="0"/>
        <w:bidi w:val="0"/>
        <w:spacing w:line="360" w:lineRule="auto"/>
        <w:rPr>
          <w:color w:val="000000" w:themeColor="text1"/>
          <w:highlight w:val="none"/>
        </w:rPr>
      </w:pPr>
      <w:r>
        <w:rPr>
          <w:color w:val="000000" w:themeColor="text1"/>
          <w:highlight w:val="none"/>
        </w:rPr>
        <w:t>环境影响因素识别采用矩阵法进行，根据该工程在施工期和运营期产生的环境影响的性质、工程沿线环境特征及环境敏感程度，将本工程行为对各类环境要素产生的影响，按施工期和运营期制成环境影响识别与筛选矩阵表，见表2.</w:t>
      </w:r>
      <w:r>
        <w:rPr>
          <w:rFonts w:hint="eastAsia"/>
          <w:color w:val="000000" w:themeColor="text1"/>
          <w:highlight w:val="none"/>
          <w:lang w:val="en-US" w:eastAsia="zh-CN"/>
        </w:rPr>
        <w:t>3-1</w:t>
      </w:r>
      <w:r>
        <w:rPr>
          <w:color w:val="000000" w:themeColor="text1"/>
          <w:highlight w:val="none"/>
        </w:rPr>
        <w:t>。</w:t>
      </w:r>
    </w:p>
    <w:p w14:paraId="0BCADF07">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表2.</w:t>
      </w:r>
      <w:r>
        <w:rPr>
          <w:rFonts w:hint="eastAsia"/>
          <w:b/>
          <w:color w:val="000000" w:themeColor="text1"/>
          <w:highlight w:val="none"/>
          <w:lang w:val="en-US" w:eastAsia="zh-CN"/>
        </w:rPr>
        <w:t>3-1</w:t>
      </w:r>
      <w:r>
        <w:rPr>
          <w:b/>
          <w:color w:val="000000" w:themeColor="text1"/>
          <w:highlight w:val="none"/>
        </w:rPr>
        <w:t xml:space="preserve">  环境影响因素识别矩阵</w:t>
      </w:r>
    </w:p>
    <w:tbl>
      <w:tblPr>
        <w:tblStyle w:val="3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36"/>
        <w:gridCol w:w="1490"/>
        <w:gridCol w:w="707"/>
        <w:gridCol w:w="853"/>
        <w:gridCol w:w="708"/>
        <w:gridCol w:w="567"/>
        <w:gridCol w:w="708"/>
        <w:gridCol w:w="567"/>
        <w:gridCol w:w="708"/>
        <w:gridCol w:w="710"/>
        <w:gridCol w:w="658"/>
      </w:tblGrid>
      <w:tr w14:paraId="4AAD2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636" w:type="dxa"/>
            <w:vMerge w:val="restart"/>
            <w:vAlign w:val="center"/>
          </w:tcPr>
          <w:p w14:paraId="0FD1E6D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工程</w:t>
            </w:r>
          </w:p>
          <w:p w14:paraId="31A3A11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阶段</w:t>
            </w:r>
          </w:p>
        </w:tc>
        <w:tc>
          <w:tcPr>
            <w:tcW w:w="1490" w:type="dxa"/>
            <w:vMerge w:val="restart"/>
            <w:vAlign w:val="center"/>
          </w:tcPr>
          <w:p w14:paraId="07A4B09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工程作用因素</w:t>
            </w:r>
          </w:p>
        </w:tc>
        <w:tc>
          <w:tcPr>
            <w:tcW w:w="6186" w:type="dxa"/>
            <w:gridSpan w:val="9"/>
            <w:vAlign w:val="center"/>
          </w:tcPr>
          <w:p w14:paraId="3E9B459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工程引起的环境影响及影响程度</w:t>
            </w:r>
          </w:p>
        </w:tc>
      </w:tr>
      <w:tr w14:paraId="452C0B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636" w:type="dxa"/>
            <w:vMerge w:val="continue"/>
            <w:vAlign w:val="center"/>
          </w:tcPr>
          <w:p w14:paraId="178ADEFB">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Merge w:val="continue"/>
            <w:vAlign w:val="center"/>
          </w:tcPr>
          <w:p w14:paraId="29B9EBDB">
            <w:pPr>
              <w:pageBreakBefore w:val="0"/>
              <w:wordWrap/>
              <w:topLinePunct w:val="0"/>
              <w:bidi w:val="0"/>
              <w:spacing w:line="240" w:lineRule="auto"/>
              <w:ind w:firstLine="0" w:firstLineChars="0"/>
              <w:jc w:val="center"/>
              <w:rPr>
                <w:color w:val="000000" w:themeColor="text1"/>
                <w:sz w:val="21"/>
                <w:szCs w:val="21"/>
                <w:highlight w:val="none"/>
              </w:rPr>
            </w:pPr>
          </w:p>
        </w:tc>
        <w:tc>
          <w:tcPr>
            <w:tcW w:w="707" w:type="dxa"/>
            <w:vMerge w:val="restart"/>
            <w:vAlign w:val="center"/>
          </w:tcPr>
          <w:p w14:paraId="700B603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水文</w:t>
            </w:r>
          </w:p>
        </w:tc>
        <w:tc>
          <w:tcPr>
            <w:tcW w:w="853" w:type="dxa"/>
            <w:vMerge w:val="restart"/>
            <w:vAlign w:val="center"/>
          </w:tcPr>
          <w:p w14:paraId="7B70035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水质</w:t>
            </w:r>
          </w:p>
        </w:tc>
        <w:tc>
          <w:tcPr>
            <w:tcW w:w="1275" w:type="dxa"/>
            <w:gridSpan w:val="2"/>
            <w:vAlign w:val="center"/>
          </w:tcPr>
          <w:p w14:paraId="6D2C7F6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土壤</w:t>
            </w:r>
          </w:p>
        </w:tc>
        <w:tc>
          <w:tcPr>
            <w:tcW w:w="708" w:type="dxa"/>
            <w:vMerge w:val="restart"/>
            <w:vAlign w:val="center"/>
          </w:tcPr>
          <w:p w14:paraId="3D7CC76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声环境</w:t>
            </w:r>
          </w:p>
        </w:tc>
        <w:tc>
          <w:tcPr>
            <w:tcW w:w="567" w:type="dxa"/>
            <w:vMerge w:val="restart"/>
            <w:vAlign w:val="center"/>
          </w:tcPr>
          <w:p w14:paraId="33AC6A5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空气环境</w:t>
            </w:r>
          </w:p>
        </w:tc>
        <w:tc>
          <w:tcPr>
            <w:tcW w:w="708" w:type="dxa"/>
            <w:vMerge w:val="restart"/>
            <w:vAlign w:val="center"/>
          </w:tcPr>
          <w:p w14:paraId="0DFBB13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生态</w:t>
            </w:r>
          </w:p>
          <w:p w14:paraId="2B51533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环境</w:t>
            </w:r>
          </w:p>
        </w:tc>
        <w:tc>
          <w:tcPr>
            <w:tcW w:w="710" w:type="dxa"/>
            <w:vMerge w:val="restart"/>
            <w:vAlign w:val="center"/>
          </w:tcPr>
          <w:p w14:paraId="777C1C2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景观</w:t>
            </w:r>
          </w:p>
        </w:tc>
        <w:tc>
          <w:tcPr>
            <w:tcW w:w="658" w:type="dxa"/>
            <w:vMerge w:val="restart"/>
            <w:vAlign w:val="center"/>
          </w:tcPr>
          <w:p w14:paraId="556F690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环境风险</w:t>
            </w:r>
          </w:p>
        </w:tc>
      </w:tr>
      <w:tr w14:paraId="2F2045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636" w:type="dxa"/>
            <w:vMerge w:val="continue"/>
            <w:vAlign w:val="center"/>
          </w:tcPr>
          <w:p w14:paraId="3F373DB7">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Merge w:val="continue"/>
            <w:vAlign w:val="center"/>
          </w:tcPr>
          <w:p w14:paraId="34801571">
            <w:pPr>
              <w:pageBreakBefore w:val="0"/>
              <w:wordWrap/>
              <w:topLinePunct w:val="0"/>
              <w:bidi w:val="0"/>
              <w:spacing w:line="240" w:lineRule="auto"/>
              <w:ind w:firstLine="0" w:firstLineChars="0"/>
              <w:jc w:val="center"/>
              <w:rPr>
                <w:color w:val="000000" w:themeColor="text1"/>
                <w:sz w:val="21"/>
                <w:szCs w:val="21"/>
                <w:highlight w:val="none"/>
              </w:rPr>
            </w:pPr>
          </w:p>
        </w:tc>
        <w:tc>
          <w:tcPr>
            <w:tcW w:w="707" w:type="dxa"/>
            <w:vMerge w:val="continue"/>
            <w:vAlign w:val="center"/>
          </w:tcPr>
          <w:p w14:paraId="39B1D099">
            <w:pPr>
              <w:pageBreakBefore w:val="0"/>
              <w:wordWrap/>
              <w:topLinePunct w:val="0"/>
              <w:bidi w:val="0"/>
              <w:spacing w:line="240" w:lineRule="auto"/>
              <w:ind w:firstLine="0" w:firstLineChars="0"/>
              <w:jc w:val="center"/>
              <w:rPr>
                <w:color w:val="000000" w:themeColor="text1"/>
                <w:sz w:val="21"/>
                <w:szCs w:val="21"/>
                <w:highlight w:val="none"/>
              </w:rPr>
            </w:pPr>
          </w:p>
        </w:tc>
        <w:tc>
          <w:tcPr>
            <w:tcW w:w="853" w:type="dxa"/>
            <w:vMerge w:val="continue"/>
            <w:vAlign w:val="center"/>
          </w:tcPr>
          <w:p w14:paraId="7339C245">
            <w:pPr>
              <w:pageBreakBefore w:val="0"/>
              <w:wordWrap/>
              <w:topLinePunct w:val="0"/>
              <w:bidi w:val="0"/>
              <w:spacing w:line="240" w:lineRule="auto"/>
              <w:ind w:firstLine="0" w:firstLineChars="0"/>
              <w:jc w:val="center"/>
              <w:rPr>
                <w:color w:val="000000" w:themeColor="text1"/>
                <w:sz w:val="21"/>
                <w:szCs w:val="21"/>
                <w:highlight w:val="none"/>
              </w:rPr>
            </w:pPr>
          </w:p>
        </w:tc>
        <w:tc>
          <w:tcPr>
            <w:tcW w:w="708" w:type="dxa"/>
            <w:vAlign w:val="center"/>
          </w:tcPr>
          <w:p w14:paraId="36C5307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侵蚀</w:t>
            </w:r>
          </w:p>
        </w:tc>
        <w:tc>
          <w:tcPr>
            <w:tcW w:w="567" w:type="dxa"/>
            <w:vAlign w:val="center"/>
          </w:tcPr>
          <w:p w14:paraId="0872E84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w:t>
            </w:r>
          </w:p>
        </w:tc>
        <w:tc>
          <w:tcPr>
            <w:tcW w:w="708" w:type="dxa"/>
            <w:vMerge w:val="continue"/>
            <w:vAlign w:val="center"/>
          </w:tcPr>
          <w:p w14:paraId="0814D8B6">
            <w:pPr>
              <w:pageBreakBefore w:val="0"/>
              <w:wordWrap/>
              <w:topLinePunct w:val="0"/>
              <w:bidi w:val="0"/>
              <w:spacing w:line="240" w:lineRule="auto"/>
              <w:ind w:firstLine="0" w:firstLineChars="0"/>
              <w:jc w:val="center"/>
              <w:rPr>
                <w:color w:val="000000" w:themeColor="text1"/>
                <w:sz w:val="21"/>
                <w:szCs w:val="21"/>
                <w:highlight w:val="none"/>
              </w:rPr>
            </w:pPr>
          </w:p>
        </w:tc>
        <w:tc>
          <w:tcPr>
            <w:tcW w:w="567" w:type="dxa"/>
            <w:vMerge w:val="continue"/>
            <w:vAlign w:val="center"/>
          </w:tcPr>
          <w:p w14:paraId="7B7BAA5C">
            <w:pPr>
              <w:pageBreakBefore w:val="0"/>
              <w:wordWrap/>
              <w:topLinePunct w:val="0"/>
              <w:bidi w:val="0"/>
              <w:spacing w:line="240" w:lineRule="auto"/>
              <w:ind w:firstLine="0" w:firstLineChars="0"/>
              <w:jc w:val="center"/>
              <w:rPr>
                <w:color w:val="000000" w:themeColor="text1"/>
                <w:sz w:val="21"/>
                <w:szCs w:val="21"/>
                <w:highlight w:val="none"/>
              </w:rPr>
            </w:pPr>
          </w:p>
        </w:tc>
        <w:tc>
          <w:tcPr>
            <w:tcW w:w="708" w:type="dxa"/>
            <w:vMerge w:val="continue"/>
            <w:vAlign w:val="center"/>
          </w:tcPr>
          <w:p w14:paraId="72B221F1">
            <w:pPr>
              <w:pageBreakBefore w:val="0"/>
              <w:wordWrap/>
              <w:topLinePunct w:val="0"/>
              <w:bidi w:val="0"/>
              <w:spacing w:line="240" w:lineRule="auto"/>
              <w:ind w:firstLine="0" w:firstLineChars="0"/>
              <w:jc w:val="center"/>
              <w:rPr>
                <w:color w:val="000000" w:themeColor="text1"/>
                <w:sz w:val="21"/>
                <w:szCs w:val="21"/>
                <w:highlight w:val="none"/>
              </w:rPr>
            </w:pPr>
          </w:p>
        </w:tc>
        <w:tc>
          <w:tcPr>
            <w:tcW w:w="710" w:type="dxa"/>
            <w:vMerge w:val="continue"/>
            <w:vAlign w:val="center"/>
          </w:tcPr>
          <w:p w14:paraId="633AADC8">
            <w:pPr>
              <w:pageBreakBefore w:val="0"/>
              <w:wordWrap/>
              <w:topLinePunct w:val="0"/>
              <w:bidi w:val="0"/>
              <w:spacing w:line="240" w:lineRule="auto"/>
              <w:ind w:firstLine="0" w:firstLineChars="0"/>
              <w:jc w:val="center"/>
              <w:rPr>
                <w:color w:val="000000" w:themeColor="text1"/>
                <w:sz w:val="21"/>
                <w:szCs w:val="21"/>
                <w:highlight w:val="none"/>
              </w:rPr>
            </w:pPr>
          </w:p>
        </w:tc>
        <w:tc>
          <w:tcPr>
            <w:tcW w:w="658" w:type="dxa"/>
            <w:vMerge w:val="continue"/>
            <w:vAlign w:val="center"/>
          </w:tcPr>
          <w:p w14:paraId="07304AA2">
            <w:pPr>
              <w:pageBreakBefore w:val="0"/>
              <w:wordWrap/>
              <w:topLinePunct w:val="0"/>
              <w:bidi w:val="0"/>
              <w:spacing w:line="240" w:lineRule="auto"/>
              <w:ind w:firstLine="0" w:firstLineChars="0"/>
              <w:jc w:val="center"/>
              <w:rPr>
                <w:color w:val="000000" w:themeColor="text1"/>
                <w:sz w:val="21"/>
                <w:szCs w:val="21"/>
                <w:highlight w:val="none"/>
              </w:rPr>
            </w:pPr>
          </w:p>
        </w:tc>
      </w:tr>
      <w:tr w14:paraId="033B19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restart"/>
            <w:vAlign w:val="center"/>
          </w:tcPr>
          <w:p w14:paraId="298EAB6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w:t>
            </w:r>
          </w:p>
          <w:p w14:paraId="7935C37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工</w:t>
            </w:r>
          </w:p>
          <w:p w14:paraId="6ECBBE4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期</w:t>
            </w:r>
          </w:p>
        </w:tc>
        <w:tc>
          <w:tcPr>
            <w:tcW w:w="1490" w:type="dxa"/>
            <w:vAlign w:val="center"/>
          </w:tcPr>
          <w:p w14:paraId="2FD8952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土石方工程</w:t>
            </w:r>
          </w:p>
        </w:tc>
        <w:tc>
          <w:tcPr>
            <w:tcW w:w="707" w:type="dxa"/>
            <w:vAlign w:val="center"/>
          </w:tcPr>
          <w:p w14:paraId="2AD7196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02149374">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118BA30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3BC499F0">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0399612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21E1187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157D853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10" w:type="dxa"/>
            <w:vAlign w:val="center"/>
          </w:tcPr>
          <w:p w14:paraId="473AAA7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658" w:type="dxa"/>
            <w:vAlign w:val="center"/>
          </w:tcPr>
          <w:p w14:paraId="7E1C67F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7CF58A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1BD37EEA">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706EDF5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桥涵工程</w:t>
            </w:r>
          </w:p>
        </w:tc>
        <w:tc>
          <w:tcPr>
            <w:tcW w:w="707" w:type="dxa"/>
            <w:vAlign w:val="center"/>
          </w:tcPr>
          <w:p w14:paraId="357D7DB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853" w:type="dxa"/>
            <w:vAlign w:val="center"/>
          </w:tcPr>
          <w:p w14:paraId="1CB9068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5839F70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567" w:type="dxa"/>
            <w:vAlign w:val="center"/>
          </w:tcPr>
          <w:p w14:paraId="13D1848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597874C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2AF8591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1F8727E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10" w:type="dxa"/>
            <w:vAlign w:val="center"/>
          </w:tcPr>
          <w:p w14:paraId="014E335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658" w:type="dxa"/>
            <w:vAlign w:val="center"/>
          </w:tcPr>
          <w:p w14:paraId="45FDBE6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07DC3B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636" w:type="dxa"/>
            <w:vMerge w:val="continue"/>
            <w:vAlign w:val="center"/>
          </w:tcPr>
          <w:p w14:paraId="695C8940">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46976D9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物料运输</w:t>
            </w:r>
          </w:p>
        </w:tc>
        <w:tc>
          <w:tcPr>
            <w:tcW w:w="707" w:type="dxa"/>
            <w:vAlign w:val="center"/>
          </w:tcPr>
          <w:p w14:paraId="728B2B0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16793E0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52DE327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35670AA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0832B78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7EF0DD0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5B527EC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10" w:type="dxa"/>
            <w:vAlign w:val="center"/>
          </w:tcPr>
          <w:p w14:paraId="7DA1EAA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658" w:type="dxa"/>
            <w:vAlign w:val="center"/>
          </w:tcPr>
          <w:p w14:paraId="6413F1F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2A8142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6F291DE8">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24F62C7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沥青拌合</w:t>
            </w:r>
          </w:p>
        </w:tc>
        <w:tc>
          <w:tcPr>
            <w:tcW w:w="707" w:type="dxa"/>
            <w:vAlign w:val="center"/>
          </w:tcPr>
          <w:p w14:paraId="61DF041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5460B3B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596135D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4F27DE3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7B2E276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62AFD9D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19F71B7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10" w:type="dxa"/>
            <w:vAlign w:val="center"/>
          </w:tcPr>
          <w:p w14:paraId="0F1B0CA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658" w:type="dxa"/>
            <w:vAlign w:val="center"/>
          </w:tcPr>
          <w:p w14:paraId="3BC0B66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1C2C2F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5C936749">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641FF99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施工噪声</w:t>
            </w:r>
          </w:p>
        </w:tc>
        <w:tc>
          <w:tcPr>
            <w:tcW w:w="707" w:type="dxa"/>
            <w:vAlign w:val="center"/>
          </w:tcPr>
          <w:p w14:paraId="3E4EBD2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42D9B2C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139950F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05630E1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3F17871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637FFD5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7A1EA5C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10" w:type="dxa"/>
            <w:vAlign w:val="center"/>
          </w:tcPr>
          <w:p w14:paraId="60D2EE6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658" w:type="dxa"/>
            <w:vAlign w:val="center"/>
          </w:tcPr>
          <w:p w14:paraId="143AD32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74B18E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636" w:type="dxa"/>
            <w:vMerge w:val="continue"/>
            <w:vAlign w:val="center"/>
          </w:tcPr>
          <w:p w14:paraId="193EDDF7">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4EC044D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施工弃方</w:t>
            </w:r>
          </w:p>
        </w:tc>
        <w:tc>
          <w:tcPr>
            <w:tcW w:w="707" w:type="dxa"/>
            <w:vAlign w:val="center"/>
          </w:tcPr>
          <w:p w14:paraId="037415A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6FF8F2B2">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663C5A8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567" w:type="dxa"/>
            <w:vAlign w:val="center"/>
          </w:tcPr>
          <w:p w14:paraId="7A652D91">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6024351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06C4E0D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1A042AA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10" w:type="dxa"/>
            <w:vAlign w:val="center"/>
          </w:tcPr>
          <w:p w14:paraId="1BB2584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658" w:type="dxa"/>
            <w:vAlign w:val="center"/>
          </w:tcPr>
          <w:p w14:paraId="114E163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68421F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65D43B19">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19B8CE8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生活垃圾</w:t>
            </w:r>
          </w:p>
        </w:tc>
        <w:tc>
          <w:tcPr>
            <w:tcW w:w="707" w:type="dxa"/>
            <w:vAlign w:val="center"/>
          </w:tcPr>
          <w:p w14:paraId="0CD75C2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44033650">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4F035D8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3865BC42">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36579A9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499ABB1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708" w:type="dxa"/>
            <w:vAlign w:val="center"/>
          </w:tcPr>
          <w:p w14:paraId="0B46748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10" w:type="dxa"/>
            <w:vAlign w:val="center"/>
          </w:tcPr>
          <w:p w14:paraId="15C5120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658" w:type="dxa"/>
            <w:vAlign w:val="center"/>
          </w:tcPr>
          <w:p w14:paraId="26EC5EA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5DF493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229EFC46">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16F1592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生活污水</w:t>
            </w:r>
          </w:p>
        </w:tc>
        <w:tc>
          <w:tcPr>
            <w:tcW w:w="707" w:type="dxa"/>
            <w:vAlign w:val="center"/>
          </w:tcPr>
          <w:p w14:paraId="5A82EEE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736CB32F">
            <w:pPr>
              <w:pageBreakBefore w:val="0"/>
              <w:wordWrap/>
              <w:topLinePunct w:val="0"/>
              <w:bidi w:val="0"/>
              <w:spacing w:line="240" w:lineRule="auto"/>
              <w:ind w:firstLine="0" w:firstLineChars="0"/>
              <w:jc w:val="center"/>
              <w:rPr>
                <w:color w:val="000000" w:themeColor="text1"/>
                <w:sz w:val="21"/>
                <w:szCs w:val="21"/>
                <w:highlight w:val="none"/>
              </w:rPr>
            </w:pPr>
            <w:r>
              <w:rPr>
                <w:rFonts w:hint="eastAsia" w:cs="宋体"/>
                <w:color w:val="000000" w:themeColor="text1"/>
                <w:sz w:val="21"/>
                <w:szCs w:val="21"/>
                <w:highlight w:val="none"/>
              </w:rPr>
              <w:t>◎</w:t>
            </w:r>
          </w:p>
        </w:tc>
        <w:tc>
          <w:tcPr>
            <w:tcW w:w="708" w:type="dxa"/>
            <w:vAlign w:val="center"/>
          </w:tcPr>
          <w:p w14:paraId="478B143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43EACE9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56748C9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567" w:type="dxa"/>
            <w:vAlign w:val="center"/>
          </w:tcPr>
          <w:p w14:paraId="725841A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23824CF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10" w:type="dxa"/>
            <w:vAlign w:val="center"/>
          </w:tcPr>
          <w:p w14:paraId="058BA34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658" w:type="dxa"/>
            <w:vAlign w:val="center"/>
          </w:tcPr>
          <w:p w14:paraId="3AFEB8B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4C0BFD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restart"/>
            <w:vAlign w:val="center"/>
          </w:tcPr>
          <w:p w14:paraId="62B78D1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营</w:t>
            </w:r>
          </w:p>
          <w:p w14:paraId="1D63BFF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w:t>
            </w:r>
          </w:p>
          <w:p w14:paraId="7686A78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期</w:t>
            </w:r>
          </w:p>
        </w:tc>
        <w:tc>
          <w:tcPr>
            <w:tcW w:w="1490" w:type="dxa"/>
            <w:vAlign w:val="center"/>
          </w:tcPr>
          <w:p w14:paraId="614B6143">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汽车废气</w:t>
            </w:r>
          </w:p>
        </w:tc>
        <w:tc>
          <w:tcPr>
            <w:tcW w:w="707" w:type="dxa"/>
            <w:vAlign w:val="center"/>
          </w:tcPr>
          <w:p w14:paraId="06FD0F8B">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853" w:type="dxa"/>
            <w:vAlign w:val="center"/>
          </w:tcPr>
          <w:p w14:paraId="175A09D2">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772453AA">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567" w:type="dxa"/>
            <w:vAlign w:val="center"/>
          </w:tcPr>
          <w:p w14:paraId="141AF05F">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3C925598">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567" w:type="dxa"/>
            <w:vAlign w:val="center"/>
          </w:tcPr>
          <w:p w14:paraId="1B51E889">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43250637">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10" w:type="dxa"/>
            <w:vAlign w:val="center"/>
          </w:tcPr>
          <w:p w14:paraId="485D040E">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658" w:type="dxa"/>
            <w:vAlign w:val="center"/>
          </w:tcPr>
          <w:p w14:paraId="313943AA">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r>
      <w:tr w14:paraId="7C1870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3A1FA7CC">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158CDFDC">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交通噪声</w:t>
            </w:r>
          </w:p>
        </w:tc>
        <w:tc>
          <w:tcPr>
            <w:tcW w:w="707" w:type="dxa"/>
            <w:vAlign w:val="center"/>
          </w:tcPr>
          <w:p w14:paraId="7269BB32">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853" w:type="dxa"/>
            <w:vAlign w:val="center"/>
          </w:tcPr>
          <w:p w14:paraId="05719AE5">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3A926B71">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567" w:type="dxa"/>
            <w:vAlign w:val="center"/>
          </w:tcPr>
          <w:p w14:paraId="6F52F9C6">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2E2B14BE">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567" w:type="dxa"/>
            <w:vAlign w:val="center"/>
          </w:tcPr>
          <w:p w14:paraId="374CEFAA">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42D75B4C">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10" w:type="dxa"/>
            <w:vAlign w:val="center"/>
          </w:tcPr>
          <w:p w14:paraId="5F67AD3F">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658" w:type="dxa"/>
            <w:vAlign w:val="center"/>
          </w:tcPr>
          <w:p w14:paraId="3D6ED475">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r>
      <w:tr w14:paraId="7C8C0F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1D828283">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052422F3">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地表径流</w:t>
            </w:r>
          </w:p>
        </w:tc>
        <w:tc>
          <w:tcPr>
            <w:tcW w:w="707" w:type="dxa"/>
            <w:vAlign w:val="center"/>
          </w:tcPr>
          <w:p w14:paraId="4922CBD3">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853" w:type="dxa"/>
            <w:vAlign w:val="center"/>
          </w:tcPr>
          <w:p w14:paraId="0CCD2386">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Δ</w:t>
            </w:r>
          </w:p>
        </w:tc>
        <w:tc>
          <w:tcPr>
            <w:tcW w:w="708" w:type="dxa"/>
            <w:vAlign w:val="center"/>
          </w:tcPr>
          <w:p w14:paraId="73EB5D63">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567" w:type="dxa"/>
            <w:vAlign w:val="center"/>
          </w:tcPr>
          <w:p w14:paraId="098D359A">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0F2D48F0">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567" w:type="dxa"/>
            <w:vAlign w:val="center"/>
          </w:tcPr>
          <w:p w14:paraId="15988D89">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08" w:type="dxa"/>
            <w:vAlign w:val="center"/>
          </w:tcPr>
          <w:p w14:paraId="612E5AE8">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710" w:type="dxa"/>
            <w:vAlign w:val="center"/>
          </w:tcPr>
          <w:p w14:paraId="0E5A7D3A">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w:t>
            </w:r>
          </w:p>
        </w:tc>
        <w:tc>
          <w:tcPr>
            <w:tcW w:w="658" w:type="dxa"/>
            <w:vAlign w:val="center"/>
          </w:tcPr>
          <w:p w14:paraId="42060943">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Δ</w:t>
            </w:r>
          </w:p>
        </w:tc>
      </w:tr>
      <w:tr w14:paraId="0DEC37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636" w:type="dxa"/>
            <w:vMerge w:val="continue"/>
            <w:vAlign w:val="center"/>
          </w:tcPr>
          <w:p w14:paraId="27F7F7EF">
            <w:pPr>
              <w:pageBreakBefore w:val="0"/>
              <w:wordWrap/>
              <w:topLinePunct w:val="0"/>
              <w:bidi w:val="0"/>
              <w:spacing w:line="240" w:lineRule="auto"/>
              <w:ind w:firstLine="0" w:firstLineChars="0"/>
              <w:jc w:val="center"/>
              <w:rPr>
                <w:color w:val="000000" w:themeColor="text1"/>
                <w:sz w:val="21"/>
                <w:szCs w:val="21"/>
                <w:highlight w:val="none"/>
              </w:rPr>
            </w:pPr>
          </w:p>
        </w:tc>
        <w:tc>
          <w:tcPr>
            <w:tcW w:w="1490" w:type="dxa"/>
            <w:vAlign w:val="center"/>
          </w:tcPr>
          <w:p w14:paraId="436839E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临时占地恢复</w:t>
            </w:r>
          </w:p>
        </w:tc>
        <w:tc>
          <w:tcPr>
            <w:tcW w:w="707" w:type="dxa"/>
            <w:vAlign w:val="center"/>
          </w:tcPr>
          <w:p w14:paraId="30EEFE9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853" w:type="dxa"/>
            <w:vAlign w:val="center"/>
          </w:tcPr>
          <w:p w14:paraId="1A175CF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69762E83">
            <w:pPr>
              <w:pageBreakBefore w:val="0"/>
              <w:wordWrap/>
              <w:topLinePunct w:val="0"/>
              <w:bidi w:val="0"/>
              <w:spacing w:line="240" w:lineRule="auto"/>
              <w:ind w:firstLine="0" w:firstLineChars="0"/>
              <w:jc w:val="center"/>
              <w:rPr>
                <w:color w:val="000000" w:themeColor="text1"/>
                <w:sz w:val="21"/>
                <w:szCs w:val="21"/>
                <w:highlight w:val="none"/>
              </w:rPr>
            </w:pPr>
            <w:r>
              <w:rPr>
                <w:rFonts w:ascii="Segoe UI Symbol" w:hAnsi="Segoe UI Symbol" w:cs="Segoe UI Symbol"/>
                <w:color w:val="000000" w:themeColor="text1"/>
                <w:sz w:val="21"/>
                <w:szCs w:val="21"/>
                <w:highlight w:val="none"/>
              </w:rPr>
              <w:t>★</w:t>
            </w:r>
          </w:p>
        </w:tc>
        <w:tc>
          <w:tcPr>
            <w:tcW w:w="567" w:type="dxa"/>
            <w:vAlign w:val="center"/>
          </w:tcPr>
          <w:p w14:paraId="17E875CB">
            <w:pPr>
              <w:pageBreakBefore w:val="0"/>
              <w:wordWrap/>
              <w:topLinePunct w:val="0"/>
              <w:bidi w:val="0"/>
              <w:spacing w:line="240" w:lineRule="auto"/>
              <w:ind w:firstLine="0" w:firstLineChars="0"/>
              <w:jc w:val="center"/>
              <w:rPr>
                <w:color w:val="000000" w:themeColor="text1"/>
                <w:sz w:val="21"/>
                <w:szCs w:val="21"/>
                <w:highlight w:val="none"/>
              </w:rPr>
            </w:pPr>
            <w:r>
              <w:rPr>
                <w:rFonts w:ascii="Segoe UI Symbol" w:hAnsi="Segoe UI Symbol" w:cs="Segoe UI Symbol"/>
                <w:color w:val="000000" w:themeColor="text1"/>
                <w:sz w:val="21"/>
                <w:szCs w:val="21"/>
                <w:highlight w:val="none"/>
              </w:rPr>
              <w:t>★</w:t>
            </w:r>
          </w:p>
        </w:tc>
        <w:tc>
          <w:tcPr>
            <w:tcW w:w="708" w:type="dxa"/>
            <w:vAlign w:val="center"/>
          </w:tcPr>
          <w:p w14:paraId="32AEE1A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Δ</w:t>
            </w:r>
          </w:p>
        </w:tc>
        <w:tc>
          <w:tcPr>
            <w:tcW w:w="567" w:type="dxa"/>
            <w:vAlign w:val="center"/>
          </w:tcPr>
          <w:p w14:paraId="2A73942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708" w:type="dxa"/>
            <w:vAlign w:val="center"/>
          </w:tcPr>
          <w:p w14:paraId="7124B5F0">
            <w:pPr>
              <w:pageBreakBefore w:val="0"/>
              <w:wordWrap/>
              <w:topLinePunct w:val="0"/>
              <w:bidi w:val="0"/>
              <w:spacing w:line="240" w:lineRule="auto"/>
              <w:ind w:firstLine="0" w:firstLineChars="0"/>
              <w:jc w:val="center"/>
              <w:rPr>
                <w:color w:val="000000" w:themeColor="text1"/>
                <w:sz w:val="21"/>
                <w:szCs w:val="21"/>
                <w:highlight w:val="none"/>
              </w:rPr>
            </w:pPr>
            <w:r>
              <w:rPr>
                <w:rFonts w:ascii="Segoe UI Symbol" w:hAnsi="Segoe UI Symbol" w:cs="Segoe UI Symbol"/>
                <w:color w:val="000000" w:themeColor="text1"/>
                <w:sz w:val="21"/>
                <w:szCs w:val="21"/>
                <w:highlight w:val="none"/>
              </w:rPr>
              <w:t>★</w:t>
            </w:r>
          </w:p>
        </w:tc>
        <w:tc>
          <w:tcPr>
            <w:tcW w:w="710" w:type="dxa"/>
            <w:vAlign w:val="center"/>
          </w:tcPr>
          <w:p w14:paraId="3AD37AE7">
            <w:pPr>
              <w:pageBreakBefore w:val="0"/>
              <w:wordWrap/>
              <w:topLinePunct w:val="0"/>
              <w:bidi w:val="0"/>
              <w:spacing w:line="240" w:lineRule="auto"/>
              <w:ind w:firstLine="0" w:firstLineChars="0"/>
              <w:jc w:val="center"/>
              <w:rPr>
                <w:color w:val="000000" w:themeColor="text1"/>
                <w:sz w:val="21"/>
                <w:szCs w:val="21"/>
                <w:highlight w:val="none"/>
              </w:rPr>
            </w:pPr>
            <w:r>
              <w:rPr>
                <w:rFonts w:ascii="Segoe UI Symbol" w:hAnsi="Segoe UI Symbol" w:cs="Segoe UI Symbol"/>
                <w:color w:val="000000" w:themeColor="text1"/>
                <w:sz w:val="21"/>
                <w:szCs w:val="21"/>
                <w:highlight w:val="none"/>
              </w:rPr>
              <w:t>★</w:t>
            </w:r>
          </w:p>
        </w:tc>
        <w:tc>
          <w:tcPr>
            <w:tcW w:w="658" w:type="dxa"/>
            <w:vAlign w:val="center"/>
          </w:tcPr>
          <w:p w14:paraId="7F9FD38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bl>
    <w:p w14:paraId="2D78A01C">
      <w:pPr>
        <w:pageBreakBefore w:val="0"/>
        <w:wordWrap/>
        <w:topLinePunct w:val="0"/>
        <w:bidi w:val="0"/>
        <w:spacing w:line="360" w:lineRule="auto"/>
        <w:ind w:left="420" w:hanging="420" w:hangingChars="200"/>
        <w:rPr>
          <w:color w:val="000000" w:themeColor="text1"/>
          <w:sz w:val="21"/>
          <w:szCs w:val="21"/>
          <w:highlight w:val="none"/>
        </w:rPr>
      </w:pPr>
      <w:bookmarkStart w:id="122" w:name="_Toc176599579"/>
      <w:bookmarkStart w:id="123" w:name="_Toc176774292"/>
      <w:bookmarkStart w:id="124" w:name="_Toc178181026"/>
      <w:bookmarkStart w:id="125" w:name="_Toc304191389"/>
      <w:bookmarkStart w:id="126" w:name="_Toc176772636"/>
      <w:bookmarkStart w:id="127" w:name="_Toc175473376"/>
      <w:r>
        <w:rPr>
          <w:color w:val="000000" w:themeColor="text1"/>
          <w:sz w:val="21"/>
          <w:szCs w:val="21"/>
          <w:highlight w:val="none"/>
        </w:rPr>
        <w:t>注：×—无影响；负面影响—Δ轻微影响、○较大影响、●有重大影响、</w:t>
      </w:r>
      <w:r>
        <w:rPr>
          <w:rFonts w:hint="eastAsia" w:cs="宋体"/>
          <w:color w:val="000000" w:themeColor="text1"/>
          <w:sz w:val="21"/>
          <w:szCs w:val="21"/>
          <w:highlight w:val="none"/>
        </w:rPr>
        <w:t>◎</w:t>
      </w:r>
      <w:r>
        <w:rPr>
          <w:color w:val="000000" w:themeColor="text1"/>
          <w:sz w:val="21"/>
          <w:szCs w:val="21"/>
          <w:highlight w:val="none"/>
        </w:rPr>
        <w:t>可能有影响；</w:t>
      </w:r>
      <w:r>
        <w:rPr>
          <w:rFonts w:ascii="Segoe UI Symbol" w:hAnsi="Segoe UI Symbol" w:cs="Segoe UI Symbol"/>
          <w:color w:val="000000" w:themeColor="text1"/>
          <w:sz w:val="21"/>
          <w:szCs w:val="21"/>
          <w:highlight w:val="none"/>
        </w:rPr>
        <w:t>★</w:t>
      </w:r>
      <w:r>
        <w:rPr>
          <w:color w:val="000000" w:themeColor="text1"/>
          <w:sz w:val="21"/>
          <w:szCs w:val="21"/>
          <w:highlight w:val="none"/>
        </w:rPr>
        <w:t>正面影响。</w:t>
      </w:r>
    </w:p>
    <w:bookmarkEnd w:id="122"/>
    <w:bookmarkEnd w:id="123"/>
    <w:bookmarkEnd w:id="124"/>
    <w:bookmarkEnd w:id="125"/>
    <w:bookmarkEnd w:id="126"/>
    <w:bookmarkEnd w:id="127"/>
    <w:p w14:paraId="204F5A3C">
      <w:pPr>
        <w:pStyle w:val="4"/>
        <w:pageBreakBefore w:val="0"/>
        <w:wordWrap/>
        <w:topLinePunct w:val="0"/>
        <w:bidi w:val="0"/>
        <w:spacing w:before="120" w:line="360" w:lineRule="auto"/>
        <w:rPr>
          <w:color w:val="000000" w:themeColor="text1"/>
          <w:highlight w:val="none"/>
        </w:rPr>
      </w:pPr>
      <w:bookmarkStart w:id="128" w:name="_Toc18698"/>
      <w:bookmarkStart w:id="129" w:name="_Toc8926"/>
      <w:r>
        <w:rPr>
          <w:rFonts w:hint="eastAsia"/>
          <w:color w:val="000000" w:themeColor="text1"/>
          <w:highlight w:val="none"/>
        </w:rPr>
        <w:t>2.3.2</w:t>
      </w:r>
      <w:r>
        <w:rPr>
          <w:color w:val="000000" w:themeColor="text1"/>
          <w:highlight w:val="none"/>
        </w:rPr>
        <w:t>评价因子筛选</w:t>
      </w:r>
      <w:bookmarkEnd w:id="128"/>
      <w:bookmarkEnd w:id="129"/>
    </w:p>
    <w:p w14:paraId="47A90BC7">
      <w:pPr>
        <w:pageBreakBefore w:val="0"/>
        <w:wordWrap/>
        <w:topLinePunct w:val="0"/>
        <w:bidi w:val="0"/>
        <w:spacing w:line="360" w:lineRule="auto"/>
        <w:rPr>
          <w:b/>
          <w:snapToGrid w:val="0"/>
          <w:color w:val="000000" w:themeColor="text1"/>
          <w:kern w:val="0"/>
          <w:highlight w:val="none"/>
        </w:rPr>
      </w:pPr>
      <w:r>
        <w:rPr>
          <w:color w:val="000000" w:themeColor="text1"/>
          <w:highlight w:val="none"/>
        </w:rPr>
        <w:t>根据本项目特点、环境影响主要特征，结合区域环境功能要求、环境保护目标、评价标准和环境制约因素等，筛选出主要的环境影响评价因子。</w:t>
      </w:r>
    </w:p>
    <w:p w14:paraId="5C332B73">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表2.</w:t>
      </w:r>
      <w:r>
        <w:rPr>
          <w:rFonts w:hint="eastAsia"/>
          <w:b/>
          <w:color w:val="000000" w:themeColor="text1"/>
          <w:highlight w:val="none"/>
          <w:lang w:val="en-US" w:eastAsia="zh-CN"/>
        </w:rPr>
        <w:t>3-2</w:t>
      </w:r>
      <w:r>
        <w:rPr>
          <w:b/>
          <w:color w:val="000000" w:themeColor="text1"/>
          <w:highlight w:val="none"/>
        </w:rPr>
        <w:t xml:space="preserve">  </w:t>
      </w:r>
      <w:r>
        <w:rPr>
          <w:rFonts w:hint="eastAsia"/>
          <w:b/>
          <w:color w:val="000000" w:themeColor="text1"/>
          <w:highlight w:val="none"/>
          <w:lang w:val="en-US" w:eastAsia="zh-CN"/>
        </w:rPr>
        <w:t>生态</w:t>
      </w:r>
      <w:r>
        <w:rPr>
          <w:b/>
          <w:color w:val="000000" w:themeColor="text1"/>
          <w:highlight w:val="none"/>
        </w:rPr>
        <w:t>环境影响评价因子筛选表</w:t>
      </w:r>
    </w:p>
    <w:tbl>
      <w:tblPr>
        <w:tblStyle w:val="33"/>
        <w:tblW w:w="852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90"/>
        <w:gridCol w:w="1486"/>
        <w:gridCol w:w="3688"/>
        <w:gridCol w:w="1683"/>
        <w:gridCol w:w="781"/>
      </w:tblGrid>
      <w:tr w14:paraId="4B353C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890" w:type="dxa"/>
            <w:vAlign w:val="center"/>
          </w:tcPr>
          <w:p w14:paraId="2F02354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受影响对象</w:t>
            </w:r>
          </w:p>
        </w:tc>
        <w:tc>
          <w:tcPr>
            <w:tcW w:w="1486" w:type="dxa"/>
            <w:vAlign w:val="center"/>
          </w:tcPr>
          <w:p w14:paraId="7D2DF26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评价因子</w:t>
            </w:r>
          </w:p>
        </w:tc>
        <w:tc>
          <w:tcPr>
            <w:tcW w:w="3688" w:type="dxa"/>
            <w:vAlign w:val="center"/>
          </w:tcPr>
          <w:p w14:paraId="7171BD6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工程内容及影响方式</w:t>
            </w:r>
          </w:p>
        </w:tc>
        <w:tc>
          <w:tcPr>
            <w:tcW w:w="1683" w:type="dxa"/>
            <w:vAlign w:val="center"/>
          </w:tcPr>
          <w:p w14:paraId="07A874F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影响性质</w:t>
            </w:r>
          </w:p>
        </w:tc>
        <w:tc>
          <w:tcPr>
            <w:tcW w:w="781" w:type="dxa"/>
            <w:vAlign w:val="center"/>
          </w:tcPr>
          <w:p w14:paraId="37EAC8F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影响程度</w:t>
            </w:r>
          </w:p>
        </w:tc>
      </w:tr>
      <w:tr w14:paraId="0CDD8D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51DD9BF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物种</w:t>
            </w:r>
          </w:p>
        </w:tc>
        <w:tc>
          <w:tcPr>
            <w:tcW w:w="1486" w:type="dxa"/>
            <w:vMerge w:val="restart"/>
            <w:vAlign w:val="center"/>
          </w:tcPr>
          <w:p w14:paraId="010ADE1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分布范围、种群数量、种群结构、行为等</w:t>
            </w:r>
          </w:p>
        </w:tc>
        <w:tc>
          <w:tcPr>
            <w:tcW w:w="3688" w:type="dxa"/>
            <w:vAlign w:val="center"/>
          </w:tcPr>
          <w:p w14:paraId="51A0BEE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施工期工程会占用物种栖息地，导致物种数量减少，影响方式是直接影响；</w:t>
            </w:r>
          </w:p>
        </w:tc>
        <w:tc>
          <w:tcPr>
            <w:tcW w:w="1683" w:type="dxa"/>
            <w:vAlign w:val="center"/>
          </w:tcPr>
          <w:p w14:paraId="0CE6C6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短期的，可逆的</w:t>
            </w:r>
          </w:p>
        </w:tc>
        <w:tc>
          <w:tcPr>
            <w:tcW w:w="781" w:type="dxa"/>
            <w:vAlign w:val="center"/>
          </w:tcPr>
          <w:p w14:paraId="2C246A3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lang w:val="en-US"/>
              </w:rPr>
            </w:pPr>
            <w:r>
              <w:rPr>
                <w:rFonts w:hint="eastAsia"/>
                <w:color w:val="000000" w:themeColor="text1"/>
                <w:sz w:val="21"/>
                <w:szCs w:val="21"/>
                <w:highlight w:val="none"/>
                <w:lang w:val="en-US" w:eastAsia="zh-CN"/>
              </w:rPr>
              <w:t>中</w:t>
            </w:r>
          </w:p>
        </w:tc>
      </w:tr>
      <w:tr w14:paraId="5A2CFC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164134D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4F923F1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6CD480C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运营期会逐渐恢复。</w:t>
            </w:r>
          </w:p>
        </w:tc>
        <w:tc>
          <w:tcPr>
            <w:tcW w:w="1683" w:type="dxa"/>
            <w:shd w:val="clear" w:color="auto" w:fill="auto"/>
            <w:vAlign w:val="center"/>
          </w:tcPr>
          <w:p w14:paraId="46ACDF4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129FE4D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79A926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75F3F75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生境</w:t>
            </w:r>
          </w:p>
        </w:tc>
        <w:tc>
          <w:tcPr>
            <w:tcW w:w="1486" w:type="dxa"/>
            <w:vMerge w:val="restart"/>
            <w:vAlign w:val="center"/>
          </w:tcPr>
          <w:p w14:paraId="4ADC55C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生境面积、质量、连通性等</w:t>
            </w:r>
          </w:p>
        </w:tc>
        <w:tc>
          <w:tcPr>
            <w:tcW w:w="3688" w:type="dxa"/>
            <w:vAlign w:val="center"/>
          </w:tcPr>
          <w:p w14:paraId="4E9EBA6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施工期工程占地会导致动物生境面积减少；生境连通性降低，影响方式为直接影响；</w:t>
            </w:r>
          </w:p>
        </w:tc>
        <w:tc>
          <w:tcPr>
            <w:tcW w:w="1683" w:type="dxa"/>
            <w:vAlign w:val="center"/>
          </w:tcPr>
          <w:p w14:paraId="15AC13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lang w:val="en-US"/>
              </w:rPr>
            </w:pPr>
            <w:r>
              <w:rPr>
                <w:rFonts w:hint="eastAsia"/>
                <w:color w:val="000000" w:themeColor="text1"/>
                <w:sz w:val="21"/>
                <w:szCs w:val="21"/>
                <w:highlight w:val="none"/>
                <w:lang w:val="en-US" w:eastAsia="zh-CN"/>
              </w:rPr>
              <w:t>短期的，不可逆的</w:t>
            </w:r>
          </w:p>
        </w:tc>
        <w:tc>
          <w:tcPr>
            <w:tcW w:w="781" w:type="dxa"/>
            <w:vAlign w:val="center"/>
          </w:tcPr>
          <w:p w14:paraId="29F3FF3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强</w:t>
            </w:r>
          </w:p>
        </w:tc>
      </w:tr>
      <w:tr w14:paraId="63B98B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76C4255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430AA4A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39ECAA0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运营期永久占地区导致的栖息地面积减少及阻隔影响无法恢复，交通噪声和灯光对生境适宜度也产生不良影响。</w:t>
            </w:r>
          </w:p>
        </w:tc>
        <w:tc>
          <w:tcPr>
            <w:tcW w:w="1683" w:type="dxa"/>
            <w:shd w:val="clear" w:color="auto" w:fill="auto"/>
            <w:vAlign w:val="center"/>
          </w:tcPr>
          <w:p w14:paraId="71C173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长期的，不可逆的</w:t>
            </w:r>
          </w:p>
        </w:tc>
        <w:tc>
          <w:tcPr>
            <w:tcW w:w="781" w:type="dxa"/>
            <w:shd w:val="clear" w:color="auto" w:fill="auto"/>
            <w:vAlign w:val="center"/>
          </w:tcPr>
          <w:p w14:paraId="283D74D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强</w:t>
            </w:r>
          </w:p>
        </w:tc>
      </w:tr>
      <w:tr w14:paraId="5648DB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2E17C46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生物群落</w:t>
            </w:r>
          </w:p>
        </w:tc>
        <w:tc>
          <w:tcPr>
            <w:tcW w:w="1486" w:type="dxa"/>
            <w:vMerge w:val="restart"/>
            <w:vAlign w:val="center"/>
          </w:tcPr>
          <w:p w14:paraId="6A7810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物种组成、群落结构等</w:t>
            </w:r>
          </w:p>
        </w:tc>
        <w:tc>
          <w:tcPr>
            <w:tcW w:w="3688" w:type="dxa"/>
            <w:vAlign w:val="center"/>
          </w:tcPr>
          <w:p w14:paraId="062D507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施工期会导致附近动植物种类和数量降低，影响方式是直接影响；</w:t>
            </w:r>
          </w:p>
        </w:tc>
        <w:tc>
          <w:tcPr>
            <w:tcW w:w="1683" w:type="dxa"/>
            <w:shd w:val="clear" w:color="auto" w:fill="auto"/>
            <w:vAlign w:val="center"/>
          </w:tcPr>
          <w:p w14:paraId="750D330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10213F7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790C9C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6B8A5EA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3773603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242BAB3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运营期可以逐渐恢复。</w:t>
            </w:r>
          </w:p>
        </w:tc>
        <w:tc>
          <w:tcPr>
            <w:tcW w:w="1683" w:type="dxa"/>
            <w:shd w:val="clear" w:color="auto" w:fill="auto"/>
            <w:vAlign w:val="center"/>
          </w:tcPr>
          <w:p w14:paraId="693E12D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2F2E24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707A2D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0A3F19C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生态系统</w:t>
            </w:r>
          </w:p>
        </w:tc>
        <w:tc>
          <w:tcPr>
            <w:tcW w:w="1486" w:type="dxa"/>
            <w:vMerge w:val="restart"/>
            <w:vAlign w:val="center"/>
          </w:tcPr>
          <w:p w14:paraId="7A19AB7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植被覆盖度、生产力、生物量、生态系统功能等</w:t>
            </w:r>
          </w:p>
        </w:tc>
        <w:tc>
          <w:tcPr>
            <w:tcW w:w="3688" w:type="dxa"/>
            <w:vAlign w:val="center"/>
          </w:tcPr>
          <w:p w14:paraId="05F2322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施工期工程占地会导致工程区植被覆盖度、生产力、生物量降低，生态系统功能减弱，影响方式是直接影响；</w:t>
            </w:r>
          </w:p>
        </w:tc>
        <w:tc>
          <w:tcPr>
            <w:tcW w:w="1683" w:type="dxa"/>
            <w:vAlign w:val="center"/>
          </w:tcPr>
          <w:p w14:paraId="20501D5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永久占地的影响属长期，不可逆，临时占地影响属短期，可逆</w:t>
            </w:r>
          </w:p>
        </w:tc>
        <w:tc>
          <w:tcPr>
            <w:tcW w:w="781" w:type="dxa"/>
            <w:vAlign w:val="center"/>
          </w:tcPr>
          <w:p w14:paraId="092CABB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中</w:t>
            </w:r>
          </w:p>
        </w:tc>
      </w:tr>
      <w:tr w14:paraId="65FE5F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26C1CA4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6D02AB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450739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运营期临时占地区各项指标会逐渐恢复；永久占地区损失无法恢复。</w:t>
            </w:r>
          </w:p>
        </w:tc>
        <w:tc>
          <w:tcPr>
            <w:tcW w:w="1683" w:type="dxa"/>
            <w:shd w:val="clear" w:color="auto" w:fill="auto"/>
            <w:vAlign w:val="center"/>
          </w:tcPr>
          <w:p w14:paraId="44A3B3F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永久占地的影响属长期，不可逆</w:t>
            </w:r>
          </w:p>
        </w:tc>
        <w:tc>
          <w:tcPr>
            <w:tcW w:w="781" w:type="dxa"/>
            <w:shd w:val="clear" w:color="auto" w:fill="auto"/>
            <w:vAlign w:val="center"/>
          </w:tcPr>
          <w:p w14:paraId="6C9E39B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35CD85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22404F0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生物多样性</w:t>
            </w:r>
          </w:p>
        </w:tc>
        <w:tc>
          <w:tcPr>
            <w:tcW w:w="1486" w:type="dxa"/>
            <w:vMerge w:val="restart"/>
            <w:vAlign w:val="center"/>
          </w:tcPr>
          <w:p w14:paraId="1A96C93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物种丰富度、均匀度、优势度等</w:t>
            </w:r>
          </w:p>
        </w:tc>
        <w:tc>
          <w:tcPr>
            <w:tcW w:w="3688" w:type="dxa"/>
            <w:vAlign w:val="center"/>
          </w:tcPr>
          <w:p w14:paraId="0F68436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施工期工程会导致物种丰富度、均匀度、优势度等降低，影响方式是直接影响；</w:t>
            </w:r>
          </w:p>
        </w:tc>
        <w:tc>
          <w:tcPr>
            <w:tcW w:w="1683" w:type="dxa"/>
            <w:shd w:val="clear" w:color="auto" w:fill="auto"/>
            <w:vAlign w:val="center"/>
          </w:tcPr>
          <w:p w14:paraId="1E6ACE6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1B58A5E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274547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4E0EE7C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0B440D5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65C0E77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运营期大部分可以恢复</w:t>
            </w:r>
          </w:p>
        </w:tc>
        <w:tc>
          <w:tcPr>
            <w:tcW w:w="1683" w:type="dxa"/>
            <w:shd w:val="clear" w:color="auto" w:fill="auto"/>
            <w:vAlign w:val="center"/>
          </w:tcPr>
          <w:p w14:paraId="46F7028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0BCB1E2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36FBEF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0941843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生态敏感区</w:t>
            </w:r>
          </w:p>
        </w:tc>
        <w:tc>
          <w:tcPr>
            <w:tcW w:w="1486" w:type="dxa"/>
            <w:vMerge w:val="restart"/>
            <w:vAlign w:val="center"/>
          </w:tcPr>
          <w:p w14:paraId="0EDC3F9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主要保护对象、生态功能等</w:t>
            </w:r>
          </w:p>
        </w:tc>
        <w:tc>
          <w:tcPr>
            <w:tcW w:w="3688" w:type="dxa"/>
            <w:vAlign w:val="center"/>
          </w:tcPr>
          <w:p w14:paraId="540A5FD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施工期工程对所涉及的生态敏感区（主要包括永久基本农田和东北漫川漫岗省级水土流失重点治理区和鹤岗市水土流失重点预防区）等会产生影响，影响方式包括直接影响和间接影响；</w:t>
            </w:r>
          </w:p>
        </w:tc>
        <w:tc>
          <w:tcPr>
            <w:tcW w:w="1683" w:type="dxa"/>
            <w:shd w:val="clear" w:color="auto" w:fill="auto"/>
            <w:vAlign w:val="center"/>
          </w:tcPr>
          <w:p w14:paraId="2C18606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23D698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3428C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54FEB6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31F29B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371DC37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运营期会逐渐恢复。</w:t>
            </w:r>
          </w:p>
        </w:tc>
        <w:tc>
          <w:tcPr>
            <w:tcW w:w="1683" w:type="dxa"/>
            <w:shd w:val="clear" w:color="auto" w:fill="auto"/>
            <w:vAlign w:val="center"/>
          </w:tcPr>
          <w:p w14:paraId="1C04903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190CA72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中</w:t>
            </w:r>
          </w:p>
        </w:tc>
      </w:tr>
      <w:tr w14:paraId="2DBDF8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restart"/>
            <w:vAlign w:val="center"/>
          </w:tcPr>
          <w:p w14:paraId="79BEA5D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自然景观</w:t>
            </w:r>
          </w:p>
        </w:tc>
        <w:tc>
          <w:tcPr>
            <w:tcW w:w="1486" w:type="dxa"/>
            <w:vMerge w:val="restart"/>
            <w:vAlign w:val="center"/>
          </w:tcPr>
          <w:p w14:paraId="36E8968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景观多样性、完整性等</w:t>
            </w:r>
          </w:p>
        </w:tc>
        <w:tc>
          <w:tcPr>
            <w:tcW w:w="3688" w:type="dxa"/>
            <w:vAlign w:val="center"/>
          </w:tcPr>
          <w:p w14:paraId="7F28333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施工期，工程对景观多样性、完整性等会产生一定影响，影响方式包括直接影响和间接影响；</w:t>
            </w:r>
          </w:p>
        </w:tc>
        <w:tc>
          <w:tcPr>
            <w:tcW w:w="1683" w:type="dxa"/>
            <w:shd w:val="clear" w:color="auto" w:fill="auto"/>
            <w:vAlign w:val="center"/>
          </w:tcPr>
          <w:p w14:paraId="6AD16E3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321ECDD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弱</w:t>
            </w:r>
          </w:p>
        </w:tc>
      </w:tr>
      <w:tr w14:paraId="1B08A6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90" w:type="dxa"/>
            <w:vMerge w:val="continue"/>
            <w:vAlign w:val="center"/>
          </w:tcPr>
          <w:p w14:paraId="2946F37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1486" w:type="dxa"/>
            <w:vMerge w:val="continue"/>
            <w:vAlign w:val="center"/>
          </w:tcPr>
          <w:p w14:paraId="13972F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p>
        </w:tc>
        <w:tc>
          <w:tcPr>
            <w:tcW w:w="3688" w:type="dxa"/>
            <w:vAlign w:val="center"/>
          </w:tcPr>
          <w:p w14:paraId="67A11EE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运行期会逐渐恢复。</w:t>
            </w:r>
          </w:p>
        </w:tc>
        <w:tc>
          <w:tcPr>
            <w:tcW w:w="1683" w:type="dxa"/>
            <w:shd w:val="clear" w:color="auto" w:fill="auto"/>
            <w:vAlign w:val="center"/>
          </w:tcPr>
          <w:p w14:paraId="369754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短期的，可逆的</w:t>
            </w:r>
          </w:p>
        </w:tc>
        <w:tc>
          <w:tcPr>
            <w:tcW w:w="781" w:type="dxa"/>
            <w:shd w:val="clear" w:color="auto" w:fill="auto"/>
            <w:vAlign w:val="center"/>
          </w:tcPr>
          <w:p w14:paraId="22027F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弱</w:t>
            </w:r>
          </w:p>
        </w:tc>
      </w:tr>
    </w:tbl>
    <w:p w14:paraId="57016130">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表2.</w:t>
      </w:r>
      <w:r>
        <w:rPr>
          <w:rFonts w:hint="eastAsia"/>
          <w:b/>
          <w:color w:val="000000" w:themeColor="text1"/>
          <w:highlight w:val="none"/>
          <w:lang w:val="en-US" w:eastAsia="zh-CN"/>
        </w:rPr>
        <w:t>3-3</w:t>
      </w:r>
      <w:r>
        <w:rPr>
          <w:b/>
          <w:color w:val="000000" w:themeColor="text1"/>
          <w:highlight w:val="none"/>
        </w:rPr>
        <w:t xml:space="preserve">  </w:t>
      </w:r>
      <w:r>
        <w:rPr>
          <w:rFonts w:hint="eastAsia"/>
          <w:b/>
          <w:color w:val="000000" w:themeColor="text1"/>
          <w:highlight w:val="none"/>
          <w:lang w:val="en-US" w:eastAsia="zh-CN"/>
        </w:rPr>
        <w:t>其他主要</w:t>
      </w:r>
      <w:r>
        <w:rPr>
          <w:b/>
          <w:color w:val="000000" w:themeColor="text1"/>
          <w:highlight w:val="none"/>
        </w:rPr>
        <w:t>环境影响评价因子筛选表</w:t>
      </w:r>
    </w:p>
    <w:tbl>
      <w:tblPr>
        <w:tblStyle w:val="33"/>
        <w:tblW w:w="852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1133"/>
        <w:gridCol w:w="2836"/>
        <w:gridCol w:w="3457"/>
      </w:tblGrid>
      <w:tr w14:paraId="01C0A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102" w:type="dxa"/>
            <w:vAlign w:val="center"/>
          </w:tcPr>
          <w:p w14:paraId="1082632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评价项目</w:t>
            </w:r>
          </w:p>
        </w:tc>
        <w:tc>
          <w:tcPr>
            <w:tcW w:w="1133" w:type="dxa"/>
            <w:vAlign w:val="center"/>
          </w:tcPr>
          <w:p w14:paraId="242BF4C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评价时段</w:t>
            </w:r>
          </w:p>
        </w:tc>
        <w:tc>
          <w:tcPr>
            <w:tcW w:w="2836" w:type="dxa"/>
            <w:vAlign w:val="center"/>
          </w:tcPr>
          <w:p w14:paraId="6338E53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现状评价</w:t>
            </w:r>
          </w:p>
        </w:tc>
        <w:tc>
          <w:tcPr>
            <w:tcW w:w="3457" w:type="dxa"/>
            <w:vAlign w:val="center"/>
          </w:tcPr>
          <w:p w14:paraId="2911E85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预测评价</w:t>
            </w:r>
          </w:p>
        </w:tc>
      </w:tr>
      <w:tr w14:paraId="55BC18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restart"/>
            <w:vAlign w:val="center"/>
          </w:tcPr>
          <w:p w14:paraId="7B95909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声环境</w:t>
            </w:r>
          </w:p>
        </w:tc>
        <w:tc>
          <w:tcPr>
            <w:tcW w:w="1133" w:type="dxa"/>
            <w:vAlign w:val="center"/>
          </w:tcPr>
          <w:p w14:paraId="2E214FD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施工期</w:t>
            </w:r>
          </w:p>
        </w:tc>
        <w:tc>
          <w:tcPr>
            <w:tcW w:w="2836" w:type="dxa"/>
            <w:vMerge w:val="restart"/>
            <w:vAlign w:val="center"/>
          </w:tcPr>
          <w:p w14:paraId="1FE2638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等效连续A声级L</w:t>
            </w:r>
            <w:r>
              <w:rPr>
                <w:color w:val="000000" w:themeColor="text1"/>
                <w:sz w:val="21"/>
                <w:szCs w:val="21"/>
                <w:highlight w:val="none"/>
                <w:vertAlign w:val="subscript"/>
              </w:rPr>
              <w:t>Aeq</w:t>
            </w:r>
          </w:p>
        </w:tc>
        <w:tc>
          <w:tcPr>
            <w:tcW w:w="3457" w:type="dxa"/>
            <w:vMerge w:val="restart"/>
            <w:vAlign w:val="center"/>
          </w:tcPr>
          <w:p w14:paraId="6D58A62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等效连续A声级L</w:t>
            </w:r>
            <w:r>
              <w:rPr>
                <w:color w:val="000000" w:themeColor="text1"/>
                <w:sz w:val="21"/>
                <w:szCs w:val="21"/>
                <w:highlight w:val="none"/>
                <w:vertAlign w:val="subscript"/>
              </w:rPr>
              <w:t>Aeq</w:t>
            </w:r>
          </w:p>
        </w:tc>
      </w:tr>
      <w:tr w14:paraId="27B0DF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continue"/>
            <w:vAlign w:val="center"/>
          </w:tcPr>
          <w:p w14:paraId="2422C12E">
            <w:pPr>
              <w:pageBreakBefore w:val="0"/>
              <w:wordWrap/>
              <w:topLinePunct w:val="0"/>
              <w:bidi w:val="0"/>
              <w:spacing w:line="240" w:lineRule="auto"/>
              <w:ind w:firstLine="0" w:firstLineChars="0"/>
              <w:jc w:val="center"/>
              <w:rPr>
                <w:color w:val="000000" w:themeColor="text1"/>
                <w:sz w:val="21"/>
                <w:szCs w:val="21"/>
                <w:highlight w:val="none"/>
              </w:rPr>
            </w:pPr>
          </w:p>
        </w:tc>
        <w:tc>
          <w:tcPr>
            <w:tcW w:w="1133" w:type="dxa"/>
            <w:vAlign w:val="center"/>
          </w:tcPr>
          <w:p w14:paraId="1F3801D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运营期</w:t>
            </w:r>
          </w:p>
        </w:tc>
        <w:tc>
          <w:tcPr>
            <w:tcW w:w="2836" w:type="dxa"/>
            <w:vMerge w:val="continue"/>
            <w:vAlign w:val="center"/>
          </w:tcPr>
          <w:p w14:paraId="57E396CF">
            <w:pPr>
              <w:pageBreakBefore w:val="0"/>
              <w:wordWrap/>
              <w:topLinePunct w:val="0"/>
              <w:bidi w:val="0"/>
              <w:spacing w:line="240" w:lineRule="auto"/>
              <w:ind w:firstLine="0" w:firstLineChars="0"/>
              <w:jc w:val="center"/>
              <w:rPr>
                <w:color w:val="000000" w:themeColor="text1"/>
                <w:sz w:val="21"/>
                <w:szCs w:val="21"/>
                <w:highlight w:val="none"/>
              </w:rPr>
            </w:pPr>
          </w:p>
        </w:tc>
        <w:tc>
          <w:tcPr>
            <w:tcW w:w="3457" w:type="dxa"/>
            <w:vMerge w:val="continue"/>
            <w:vAlign w:val="center"/>
          </w:tcPr>
          <w:p w14:paraId="23078477">
            <w:pPr>
              <w:pageBreakBefore w:val="0"/>
              <w:wordWrap/>
              <w:topLinePunct w:val="0"/>
              <w:bidi w:val="0"/>
              <w:spacing w:line="240" w:lineRule="auto"/>
              <w:ind w:firstLine="0" w:firstLineChars="0"/>
              <w:jc w:val="center"/>
              <w:rPr>
                <w:color w:val="000000" w:themeColor="text1"/>
                <w:sz w:val="21"/>
                <w:szCs w:val="21"/>
                <w:highlight w:val="none"/>
              </w:rPr>
            </w:pPr>
          </w:p>
        </w:tc>
      </w:tr>
      <w:tr w14:paraId="2EAC4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restart"/>
            <w:vAlign w:val="center"/>
          </w:tcPr>
          <w:p w14:paraId="3BDBECB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大气环境</w:t>
            </w:r>
          </w:p>
        </w:tc>
        <w:tc>
          <w:tcPr>
            <w:tcW w:w="1133" w:type="dxa"/>
            <w:vAlign w:val="center"/>
          </w:tcPr>
          <w:p w14:paraId="35927F4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施工期</w:t>
            </w:r>
          </w:p>
        </w:tc>
        <w:tc>
          <w:tcPr>
            <w:tcW w:w="2836" w:type="dxa"/>
            <w:vMerge w:val="restart"/>
            <w:vAlign w:val="center"/>
          </w:tcPr>
          <w:p w14:paraId="59E025B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CO、TSP、PM</w:t>
            </w:r>
            <w:r>
              <w:rPr>
                <w:color w:val="000000" w:themeColor="text1"/>
                <w:sz w:val="21"/>
                <w:szCs w:val="21"/>
                <w:highlight w:val="none"/>
                <w:vertAlign w:val="subscript"/>
              </w:rPr>
              <w:t>10</w:t>
            </w:r>
            <w:r>
              <w:rPr>
                <w:color w:val="000000" w:themeColor="text1"/>
                <w:sz w:val="21"/>
                <w:szCs w:val="21"/>
                <w:highlight w:val="none"/>
              </w:rPr>
              <w:t>、PM</w:t>
            </w:r>
            <w:r>
              <w:rPr>
                <w:color w:val="000000" w:themeColor="text1"/>
                <w:sz w:val="21"/>
                <w:szCs w:val="21"/>
                <w:highlight w:val="none"/>
                <w:vertAlign w:val="subscript"/>
              </w:rPr>
              <w:t>2.5</w:t>
            </w:r>
            <w:r>
              <w:rPr>
                <w:color w:val="000000" w:themeColor="text1"/>
                <w:sz w:val="21"/>
                <w:szCs w:val="21"/>
                <w:highlight w:val="none"/>
              </w:rPr>
              <w:t>、O</w:t>
            </w:r>
            <w:r>
              <w:rPr>
                <w:color w:val="000000" w:themeColor="text1"/>
                <w:sz w:val="21"/>
                <w:szCs w:val="21"/>
                <w:highlight w:val="none"/>
                <w:vertAlign w:val="subscript"/>
              </w:rPr>
              <w:t>3</w:t>
            </w:r>
            <w:r>
              <w:rPr>
                <w:color w:val="000000" w:themeColor="text1"/>
                <w:sz w:val="21"/>
                <w:szCs w:val="21"/>
                <w:highlight w:val="none"/>
              </w:rPr>
              <w:t>、NO</w:t>
            </w:r>
            <w:r>
              <w:rPr>
                <w:color w:val="000000" w:themeColor="text1"/>
                <w:sz w:val="21"/>
                <w:szCs w:val="21"/>
                <w:highlight w:val="none"/>
                <w:vertAlign w:val="subscript"/>
              </w:rPr>
              <w:t>2</w:t>
            </w:r>
            <w:r>
              <w:rPr>
                <w:rStyle w:val="41"/>
                <w:rFonts w:eastAsia="宋体"/>
                <w:color w:val="000000" w:themeColor="text1"/>
                <w:highlight w:val="none"/>
              </w:rPr>
              <w:t>、SO</w:t>
            </w:r>
            <w:r>
              <w:rPr>
                <w:rStyle w:val="41"/>
                <w:rFonts w:eastAsia="宋体"/>
                <w:color w:val="000000" w:themeColor="text1"/>
                <w:highlight w:val="none"/>
                <w:vertAlign w:val="subscript"/>
              </w:rPr>
              <w:t>2</w:t>
            </w:r>
          </w:p>
        </w:tc>
        <w:tc>
          <w:tcPr>
            <w:tcW w:w="3457" w:type="dxa"/>
            <w:vAlign w:val="center"/>
          </w:tcPr>
          <w:p w14:paraId="1445791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TSP、沥青烟</w:t>
            </w:r>
            <w:r>
              <w:rPr>
                <w:rFonts w:hint="eastAsia"/>
                <w:color w:val="000000" w:themeColor="text1"/>
                <w:sz w:val="21"/>
                <w:szCs w:val="21"/>
                <w:highlight w:val="none"/>
              </w:rPr>
              <w:t>、NO</w:t>
            </w:r>
            <w:r>
              <w:rPr>
                <w:rFonts w:hint="eastAsia"/>
                <w:color w:val="000000" w:themeColor="text1"/>
                <w:sz w:val="21"/>
                <w:szCs w:val="21"/>
                <w:highlight w:val="none"/>
                <w:vertAlign w:val="subscript"/>
              </w:rPr>
              <w:t>X</w:t>
            </w:r>
            <w:r>
              <w:rPr>
                <w:rFonts w:hint="eastAsia"/>
                <w:color w:val="000000" w:themeColor="text1"/>
                <w:sz w:val="21"/>
                <w:szCs w:val="21"/>
                <w:highlight w:val="none"/>
                <w:lang w:eastAsia="zh-CN"/>
              </w:rPr>
              <w:t>、</w:t>
            </w:r>
            <w:r>
              <w:rPr>
                <w:rFonts w:hint="eastAsia"/>
                <w:color w:val="000000" w:themeColor="text1"/>
                <w:sz w:val="21"/>
                <w:szCs w:val="21"/>
                <w:highlight w:val="none"/>
              </w:rPr>
              <w:t>苯并[a]芘、THC</w:t>
            </w:r>
            <w:r>
              <w:rPr>
                <w:rFonts w:hint="eastAsia"/>
                <w:color w:val="000000" w:themeColor="text1"/>
                <w:sz w:val="21"/>
                <w:szCs w:val="21"/>
                <w:highlight w:val="none"/>
                <w:lang w:eastAsia="zh-CN"/>
              </w:rPr>
              <w:t>、</w:t>
            </w:r>
            <w:r>
              <w:rPr>
                <w:rFonts w:hint="eastAsia"/>
                <w:color w:val="000000" w:themeColor="text1"/>
                <w:sz w:val="21"/>
                <w:szCs w:val="21"/>
                <w:highlight w:val="none"/>
              </w:rPr>
              <w:t>SO</w:t>
            </w:r>
            <w:r>
              <w:rPr>
                <w:rFonts w:hint="eastAsia"/>
                <w:color w:val="000000" w:themeColor="text1"/>
                <w:sz w:val="21"/>
                <w:szCs w:val="21"/>
                <w:highlight w:val="none"/>
                <w:vertAlign w:val="subscript"/>
              </w:rPr>
              <w:t>2</w:t>
            </w:r>
          </w:p>
        </w:tc>
      </w:tr>
      <w:tr w14:paraId="68F6C7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continue"/>
            <w:vAlign w:val="center"/>
          </w:tcPr>
          <w:p w14:paraId="154E70CB">
            <w:pPr>
              <w:pageBreakBefore w:val="0"/>
              <w:wordWrap/>
              <w:topLinePunct w:val="0"/>
              <w:bidi w:val="0"/>
              <w:spacing w:line="240" w:lineRule="auto"/>
              <w:ind w:firstLine="0" w:firstLineChars="0"/>
              <w:jc w:val="center"/>
              <w:rPr>
                <w:color w:val="000000" w:themeColor="text1"/>
                <w:sz w:val="21"/>
                <w:szCs w:val="21"/>
                <w:highlight w:val="none"/>
              </w:rPr>
            </w:pPr>
          </w:p>
        </w:tc>
        <w:tc>
          <w:tcPr>
            <w:tcW w:w="1133" w:type="dxa"/>
            <w:vAlign w:val="center"/>
          </w:tcPr>
          <w:p w14:paraId="7A20E99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运营期</w:t>
            </w:r>
          </w:p>
        </w:tc>
        <w:tc>
          <w:tcPr>
            <w:tcW w:w="2836" w:type="dxa"/>
            <w:vMerge w:val="continue"/>
            <w:vAlign w:val="center"/>
          </w:tcPr>
          <w:p w14:paraId="25F861B3">
            <w:pPr>
              <w:pageBreakBefore w:val="0"/>
              <w:wordWrap/>
              <w:topLinePunct w:val="0"/>
              <w:bidi w:val="0"/>
              <w:spacing w:line="240" w:lineRule="auto"/>
              <w:ind w:firstLine="0" w:firstLineChars="0"/>
              <w:jc w:val="center"/>
              <w:rPr>
                <w:color w:val="000000" w:themeColor="text1"/>
                <w:sz w:val="21"/>
                <w:szCs w:val="21"/>
                <w:highlight w:val="none"/>
              </w:rPr>
            </w:pPr>
          </w:p>
        </w:tc>
        <w:tc>
          <w:tcPr>
            <w:tcW w:w="3457" w:type="dxa"/>
            <w:vAlign w:val="center"/>
          </w:tcPr>
          <w:p w14:paraId="0CD4004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CO、NO</w:t>
            </w:r>
            <w:r>
              <w:rPr>
                <w:color w:val="000000" w:themeColor="text1"/>
                <w:sz w:val="21"/>
                <w:szCs w:val="21"/>
                <w:highlight w:val="none"/>
                <w:vertAlign w:val="subscript"/>
              </w:rPr>
              <w:t>2</w:t>
            </w:r>
          </w:p>
        </w:tc>
      </w:tr>
      <w:tr w14:paraId="490DAC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restart"/>
            <w:vAlign w:val="center"/>
          </w:tcPr>
          <w:p w14:paraId="1034529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水环境</w:t>
            </w:r>
          </w:p>
        </w:tc>
        <w:tc>
          <w:tcPr>
            <w:tcW w:w="1133" w:type="dxa"/>
            <w:vAlign w:val="center"/>
          </w:tcPr>
          <w:p w14:paraId="4FD6A51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施工期</w:t>
            </w:r>
          </w:p>
        </w:tc>
        <w:tc>
          <w:tcPr>
            <w:tcW w:w="2836" w:type="dxa"/>
            <w:vMerge w:val="restart"/>
            <w:vAlign w:val="center"/>
          </w:tcPr>
          <w:p w14:paraId="1283EC5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pH、BOD</w:t>
            </w:r>
            <w:r>
              <w:rPr>
                <w:color w:val="000000" w:themeColor="text1"/>
                <w:sz w:val="21"/>
                <w:szCs w:val="21"/>
                <w:highlight w:val="none"/>
                <w:vertAlign w:val="subscript"/>
              </w:rPr>
              <w:t>5</w:t>
            </w:r>
            <w:r>
              <w:rPr>
                <w:color w:val="000000" w:themeColor="text1"/>
                <w:sz w:val="21"/>
                <w:szCs w:val="21"/>
                <w:highlight w:val="none"/>
              </w:rPr>
              <w:t>、石油类</w:t>
            </w:r>
          </w:p>
          <w:p w14:paraId="609B006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氨氮、COD、高锰酸盐指数</w:t>
            </w:r>
          </w:p>
        </w:tc>
        <w:tc>
          <w:tcPr>
            <w:tcW w:w="3457" w:type="dxa"/>
            <w:vAlign w:val="center"/>
          </w:tcPr>
          <w:p w14:paraId="7963A89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COD、SS、</w:t>
            </w:r>
            <w:r>
              <w:rPr>
                <w:rFonts w:hint="eastAsia"/>
                <w:color w:val="000000" w:themeColor="text1"/>
                <w:sz w:val="21"/>
                <w:szCs w:val="21"/>
                <w:highlight w:val="none"/>
              </w:rPr>
              <w:t>石油类、</w:t>
            </w:r>
            <w:r>
              <w:rPr>
                <w:color w:val="000000" w:themeColor="text1"/>
                <w:sz w:val="21"/>
                <w:szCs w:val="21"/>
                <w:highlight w:val="none"/>
              </w:rPr>
              <w:t>氨氮等</w:t>
            </w:r>
          </w:p>
        </w:tc>
      </w:tr>
      <w:tr w14:paraId="160108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continue"/>
            <w:vAlign w:val="center"/>
          </w:tcPr>
          <w:p w14:paraId="39FE8D0A">
            <w:pPr>
              <w:pageBreakBefore w:val="0"/>
              <w:wordWrap/>
              <w:topLinePunct w:val="0"/>
              <w:bidi w:val="0"/>
              <w:spacing w:line="240" w:lineRule="auto"/>
              <w:ind w:firstLine="0" w:firstLineChars="0"/>
              <w:jc w:val="center"/>
              <w:rPr>
                <w:color w:val="000000" w:themeColor="text1"/>
                <w:sz w:val="21"/>
                <w:szCs w:val="21"/>
                <w:highlight w:val="none"/>
              </w:rPr>
            </w:pPr>
          </w:p>
        </w:tc>
        <w:tc>
          <w:tcPr>
            <w:tcW w:w="1133" w:type="dxa"/>
            <w:vAlign w:val="center"/>
          </w:tcPr>
          <w:p w14:paraId="2A71BE8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运营期</w:t>
            </w:r>
          </w:p>
        </w:tc>
        <w:tc>
          <w:tcPr>
            <w:tcW w:w="2836" w:type="dxa"/>
            <w:vMerge w:val="continue"/>
            <w:vAlign w:val="center"/>
          </w:tcPr>
          <w:p w14:paraId="053551C9">
            <w:pPr>
              <w:pageBreakBefore w:val="0"/>
              <w:wordWrap/>
              <w:topLinePunct w:val="0"/>
              <w:bidi w:val="0"/>
              <w:spacing w:line="240" w:lineRule="auto"/>
              <w:ind w:firstLine="0" w:firstLineChars="0"/>
              <w:jc w:val="center"/>
              <w:rPr>
                <w:color w:val="000000" w:themeColor="text1"/>
                <w:sz w:val="21"/>
                <w:szCs w:val="21"/>
                <w:highlight w:val="none"/>
              </w:rPr>
            </w:pPr>
          </w:p>
        </w:tc>
        <w:tc>
          <w:tcPr>
            <w:tcW w:w="3457" w:type="dxa"/>
            <w:vAlign w:val="center"/>
          </w:tcPr>
          <w:p w14:paraId="30B38B2F">
            <w:pPr>
              <w:pageBreakBefore w:val="0"/>
              <w:wordWrap/>
              <w:topLinePunct w:val="0"/>
              <w:bidi w:val="0"/>
              <w:spacing w:line="240" w:lineRule="auto"/>
              <w:ind w:firstLine="420"/>
              <w:jc w:val="center"/>
              <w:rPr>
                <w:color w:val="000000" w:themeColor="text1"/>
                <w:sz w:val="21"/>
                <w:szCs w:val="21"/>
                <w:highlight w:val="none"/>
              </w:rPr>
            </w:pPr>
            <w:r>
              <w:rPr>
                <w:color w:val="000000" w:themeColor="text1"/>
                <w:sz w:val="21"/>
                <w:szCs w:val="21"/>
                <w:highlight w:val="none"/>
              </w:rPr>
              <w:t>COD、SS、</w:t>
            </w:r>
            <w:r>
              <w:rPr>
                <w:rFonts w:hint="eastAsia"/>
                <w:color w:val="000000" w:themeColor="text1"/>
                <w:sz w:val="21"/>
                <w:szCs w:val="21"/>
                <w:highlight w:val="none"/>
              </w:rPr>
              <w:t>石油类</w:t>
            </w:r>
          </w:p>
        </w:tc>
      </w:tr>
      <w:tr w14:paraId="01880D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restart"/>
            <w:vAlign w:val="center"/>
          </w:tcPr>
          <w:p w14:paraId="0988A33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固体废物</w:t>
            </w:r>
          </w:p>
        </w:tc>
        <w:tc>
          <w:tcPr>
            <w:tcW w:w="1133" w:type="dxa"/>
            <w:vAlign w:val="center"/>
          </w:tcPr>
          <w:p w14:paraId="6135193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施工期</w:t>
            </w:r>
          </w:p>
        </w:tc>
        <w:tc>
          <w:tcPr>
            <w:tcW w:w="2836" w:type="dxa"/>
            <w:vAlign w:val="center"/>
          </w:tcPr>
          <w:p w14:paraId="6E54414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3457" w:type="dxa"/>
            <w:vAlign w:val="center"/>
          </w:tcPr>
          <w:p w14:paraId="18272A5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w:t>
            </w:r>
            <w:r>
              <w:rPr>
                <w:rFonts w:hint="eastAsia"/>
                <w:color w:val="000000" w:themeColor="text1"/>
                <w:sz w:val="21"/>
                <w:szCs w:val="21"/>
                <w:highlight w:val="none"/>
              </w:rPr>
              <w:t>建筑垃圾</w:t>
            </w:r>
            <w:r>
              <w:rPr>
                <w:color w:val="000000" w:themeColor="text1"/>
                <w:sz w:val="21"/>
                <w:szCs w:val="21"/>
                <w:highlight w:val="none"/>
              </w:rPr>
              <w:t>和施工人员生活垃圾</w:t>
            </w:r>
          </w:p>
        </w:tc>
      </w:tr>
      <w:tr w14:paraId="5FAC6B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continue"/>
            <w:vAlign w:val="center"/>
          </w:tcPr>
          <w:p w14:paraId="177EA01E">
            <w:pPr>
              <w:pageBreakBefore w:val="0"/>
              <w:wordWrap/>
              <w:topLinePunct w:val="0"/>
              <w:bidi w:val="0"/>
              <w:spacing w:line="240" w:lineRule="auto"/>
              <w:ind w:firstLine="0" w:firstLineChars="0"/>
              <w:jc w:val="center"/>
              <w:rPr>
                <w:color w:val="000000" w:themeColor="text1"/>
                <w:sz w:val="21"/>
                <w:szCs w:val="21"/>
                <w:highlight w:val="none"/>
              </w:rPr>
            </w:pPr>
          </w:p>
        </w:tc>
        <w:tc>
          <w:tcPr>
            <w:tcW w:w="1133" w:type="dxa"/>
            <w:vAlign w:val="center"/>
          </w:tcPr>
          <w:p w14:paraId="2E9FCDC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运营期</w:t>
            </w:r>
          </w:p>
        </w:tc>
        <w:tc>
          <w:tcPr>
            <w:tcW w:w="2836" w:type="dxa"/>
            <w:vAlign w:val="center"/>
          </w:tcPr>
          <w:p w14:paraId="6BE0EC4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3457" w:type="dxa"/>
            <w:vAlign w:val="center"/>
          </w:tcPr>
          <w:p w14:paraId="1E94D88D">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w:t>
            </w:r>
          </w:p>
        </w:tc>
      </w:tr>
      <w:tr w14:paraId="432F5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restart"/>
            <w:vAlign w:val="center"/>
          </w:tcPr>
          <w:p w14:paraId="339FE591">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bookmarkStart w:id="130" w:name="_Toc16814"/>
            <w:bookmarkStart w:id="131" w:name="_Toc28416"/>
            <w:bookmarkStart w:id="132" w:name="_Toc13653"/>
            <w:bookmarkStart w:id="133" w:name="_Toc518574357"/>
            <w:r>
              <w:rPr>
                <w:rFonts w:hint="eastAsia"/>
                <w:color w:val="000000" w:themeColor="text1"/>
                <w:sz w:val="21"/>
                <w:szCs w:val="21"/>
                <w:highlight w:val="none"/>
                <w:lang w:val="en-US" w:eastAsia="zh-CN"/>
              </w:rPr>
              <w:t>环境风险</w:t>
            </w:r>
          </w:p>
        </w:tc>
        <w:tc>
          <w:tcPr>
            <w:tcW w:w="1133" w:type="dxa"/>
            <w:vAlign w:val="center"/>
          </w:tcPr>
          <w:p w14:paraId="208B87D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施工期</w:t>
            </w:r>
          </w:p>
        </w:tc>
        <w:tc>
          <w:tcPr>
            <w:tcW w:w="2836" w:type="dxa"/>
            <w:vAlign w:val="center"/>
          </w:tcPr>
          <w:p w14:paraId="6A449396">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w:t>
            </w:r>
          </w:p>
        </w:tc>
        <w:tc>
          <w:tcPr>
            <w:tcW w:w="3457" w:type="dxa"/>
            <w:vAlign w:val="center"/>
          </w:tcPr>
          <w:p w14:paraId="3AB9A4CD">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油类跑、冒、滴、漏</w:t>
            </w:r>
          </w:p>
        </w:tc>
      </w:tr>
      <w:tr w14:paraId="4B5CFD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2" w:type="dxa"/>
            <w:vMerge w:val="continue"/>
            <w:vAlign w:val="center"/>
          </w:tcPr>
          <w:p w14:paraId="1D3D1E95">
            <w:pPr>
              <w:pageBreakBefore w:val="0"/>
              <w:wordWrap/>
              <w:topLinePunct w:val="0"/>
              <w:bidi w:val="0"/>
              <w:spacing w:line="240" w:lineRule="auto"/>
              <w:ind w:firstLine="0" w:firstLineChars="0"/>
              <w:jc w:val="center"/>
              <w:rPr>
                <w:color w:val="000000" w:themeColor="text1"/>
                <w:sz w:val="21"/>
                <w:szCs w:val="21"/>
                <w:highlight w:val="none"/>
              </w:rPr>
            </w:pPr>
          </w:p>
        </w:tc>
        <w:tc>
          <w:tcPr>
            <w:tcW w:w="1133" w:type="dxa"/>
            <w:vAlign w:val="center"/>
          </w:tcPr>
          <w:p w14:paraId="7A9335D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运营期</w:t>
            </w:r>
          </w:p>
        </w:tc>
        <w:tc>
          <w:tcPr>
            <w:tcW w:w="2836" w:type="dxa"/>
            <w:vAlign w:val="center"/>
          </w:tcPr>
          <w:p w14:paraId="5BF75286">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w:t>
            </w:r>
          </w:p>
        </w:tc>
        <w:tc>
          <w:tcPr>
            <w:tcW w:w="3457" w:type="dxa"/>
            <w:vAlign w:val="center"/>
          </w:tcPr>
          <w:p w14:paraId="68379A0A">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危险品运输车辆交通事故分析</w:t>
            </w:r>
          </w:p>
        </w:tc>
      </w:tr>
    </w:tbl>
    <w:p w14:paraId="6D4D15A9">
      <w:pPr>
        <w:pStyle w:val="3"/>
        <w:pageBreakBefore w:val="0"/>
        <w:wordWrap/>
        <w:topLinePunct w:val="0"/>
        <w:bidi w:val="0"/>
        <w:spacing w:before="12" w:after="120" w:line="360" w:lineRule="auto"/>
        <w:rPr>
          <w:rFonts w:hint="eastAsia"/>
          <w:color w:val="000000" w:themeColor="text1"/>
          <w:highlight w:val="none"/>
        </w:rPr>
      </w:pPr>
      <w:bookmarkStart w:id="134" w:name="_Toc25382"/>
    </w:p>
    <w:p w14:paraId="728D0098">
      <w:pPr>
        <w:rPr>
          <w:rFonts w:hint="eastAsia"/>
          <w:color w:val="000000" w:themeColor="text1"/>
          <w:highlight w:val="none"/>
        </w:rPr>
      </w:pPr>
    </w:p>
    <w:p w14:paraId="2B250419">
      <w:pPr>
        <w:pStyle w:val="3"/>
        <w:pageBreakBefore w:val="0"/>
        <w:wordWrap/>
        <w:topLinePunct w:val="0"/>
        <w:bidi w:val="0"/>
        <w:spacing w:before="12" w:after="120" w:line="360" w:lineRule="auto"/>
        <w:rPr>
          <w:color w:val="000000" w:themeColor="text1"/>
          <w:highlight w:val="none"/>
        </w:rPr>
      </w:pPr>
      <w:r>
        <w:rPr>
          <w:rFonts w:hint="eastAsia"/>
          <w:color w:val="000000" w:themeColor="text1"/>
          <w:highlight w:val="none"/>
        </w:rPr>
        <w:t>2.4</w:t>
      </w:r>
      <w:r>
        <w:rPr>
          <w:color w:val="000000" w:themeColor="text1"/>
          <w:highlight w:val="none"/>
        </w:rPr>
        <w:t>评价等级</w:t>
      </w:r>
      <w:bookmarkEnd w:id="130"/>
      <w:bookmarkEnd w:id="131"/>
      <w:bookmarkEnd w:id="132"/>
      <w:bookmarkEnd w:id="133"/>
      <w:bookmarkEnd w:id="134"/>
    </w:p>
    <w:p w14:paraId="42AE22E6">
      <w:pPr>
        <w:pageBreakBefore w:val="0"/>
        <w:wordWrap/>
        <w:topLinePunct w:val="0"/>
        <w:bidi w:val="0"/>
        <w:spacing w:line="360" w:lineRule="auto"/>
        <w:rPr>
          <w:snapToGrid w:val="0"/>
          <w:color w:val="000000" w:themeColor="text1"/>
          <w:highlight w:val="none"/>
        </w:rPr>
      </w:pPr>
      <w:r>
        <w:rPr>
          <w:snapToGrid w:val="0"/>
          <w:color w:val="000000" w:themeColor="text1"/>
          <w:highlight w:val="none"/>
        </w:rPr>
        <w:t>根据拟建公路的工程特点及《环境影响评价技术导则》，本工程各专题环境影响评价等级确定如下：</w:t>
      </w:r>
    </w:p>
    <w:p w14:paraId="2C723CFC">
      <w:pPr>
        <w:pStyle w:val="4"/>
        <w:pageBreakBefore w:val="0"/>
        <w:wordWrap/>
        <w:topLinePunct w:val="0"/>
        <w:bidi w:val="0"/>
        <w:spacing w:before="120" w:line="360" w:lineRule="auto"/>
        <w:rPr>
          <w:color w:val="000000" w:themeColor="text1"/>
          <w:highlight w:val="none"/>
        </w:rPr>
      </w:pPr>
      <w:bookmarkStart w:id="135" w:name="_Toc19690"/>
      <w:bookmarkStart w:id="136" w:name="_Toc7499"/>
      <w:r>
        <w:rPr>
          <w:rFonts w:hint="eastAsia"/>
          <w:color w:val="000000" w:themeColor="text1"/>
          <w:highlight w:val="none"/>
        </w:rPr>
        <w:t>2.4.1</w:t>
      </w:r>
      <w:r>
        <w:rPr>
          <w:color w:val="000000" w:themeColor="text1"/>
          <w:highlight w:val="none"/>
        </w:rPr>
        <w:t>地表水</w:t>
      </w:r>
      <w:bookmarkEnd w:id="135"/>
      <w:bookmarkEnd w:id="136"/>
    </w:p>
    <w:p w14:paraId="6637EDB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rFonts w:hint="eastAsia"/>
          <w:color w:val="000000" w:themeColor="text1"/>
          <w:highlight w:val="none"/>
          <w:lang w:val="en-US" w:eastAsia="zh-CN"/>
        </w:rPr>
        <w:t>地表水环境影响评价可分段确定评价等级，路段划分与评价等级判定应符合下列规定：</w:t>
      </w:r>
    </w:p>
    <w:p w14:paraId="4CE6E0B1">
      <w:pPr>
        <w:pageBreakBefore w:val="0"/>
        <w:wordWrap/>
        <w:topLinePunct w:val="0"/>
        <w:bidi w:val="0"/>
        <w:spacing w:line="360" w:lineRule="auto"/>
        <w:rPr>
          <w:rFonts w:hint="eastAsia"/>
          <w:color w:val="000000" w:themeColor="text1"/>
          <w:highlight w:val="none"/>
          <w:lang w:val="en-US" w:eastAsia="zh-CN"/>
        </w:rPr>
      </w:pPr>
      <w:r>
        <w:rPr>
          <w:rFonts w:hint="eastAsia"/>
          <w:snapToGrid w:val="0"/>
          <w:color w:val="000000" w:themeColor="text1"/>
          <w:highlight w:val="none"/>
        </w:rPr>
        <w:t>a</w:t>
      </w:r>
      <w:r>
        <w:rPr>
          <w:rFonts w:hint="eastAsia"/>
          <w:snapToGrid w:val="0"/>
          <w:color w:val="000000" w:themeColor="text1"/>
          <w:highlight w:val="none"/>
          <w:lang w:eastAsia="zh-CN"/>
        </w:rPr>
        <w:t>）</w:t>
      </w:r>
      <w:r>
        <w:rPr>
          <w:rFonts w:hint="eastAsia"/>
          <w:color w:val="000000" w:themeColor="text1"/>
          <w:highlight w:val="none"/>
          <w:lang w:val="en-US" w:eastAsia="zh-CN"/>
        </w:rPr>
        <w:t>项目线位或沿线设施直接排放受纳水体影响范围涉及地表水饮用水水源保护区、集中式饮用水水源取水</w:t>
      </w:r>
      <w:r>
        <w:rPr>
          <w:rFonts w:hint="default" w:ascii="Times New Roman" w:hAnsi="Times New Roman" w:cs="Times New Roman"/>
          <w:color w:val="000000" w:themeColor="text1"/>
          <w:highlight w:val="none"/>
          <w:lang w:val="en-US" w:eastAsia="zh-CN"/>
        </w:rPr>
        <w:t>口的路段，跨越Ⅱ类及以上</w:t>
      </w:r>
      <w:r>
        <w:rPr>
          <w:rFonts w:hint="eastAsia"/>
          <w:color w:val="000000" w:themeColor="text1"/>
          <w:highlight w:val="none"/>
          <w:lang w:val="en-US" w:eastAsia="zh-CN"/>
        </w:rPr>
        <w:t>水体的路段为地表水环境敏感路段，按照HJ23中水污染影响型项目相关规定分路段确定评价等级；</w:t>
      </w:r>
    </w:p>
    <w:p w14:paraId="7D4C75A2">
      <w:pPr>
        <w:pageBreakBefore w:val="0"/>
        <w:wordWrap/>
        <w:topLinePunct w:val="0"/>
        <w:bidi w:val="0"/>
        <w:spacing w:line="360" w:lineRule="auto"/>
        <w:rPr>
          <w:color w:val="000000" w:themeColor="text1"/>
          <w:highlight w:val="none"/>
        </w:rPr>
      </w:pPr>
      <w:r>
        <w:rPr>
          <w:rFonts w:hint="default"/>
          <w:color w:val="000000" w:themeColor="text1"/>
          <w:highlight w:val="none"/>
          <w:lang w:val="en-US" w:eastAsia="zh-CN"/>
        </w:rPr>
        <w:t>b</w:t>
      </w:r>
      <w:r>
        <w:rPr>
          <w:rFonts w:hint="eastAsia"/>
          <w:color w:val="000000" w:themeColor="text1"/>
          <w:highlight w:val="none"/>
          <w:lang w:val="en-US" w:eastAsia="zh-CN"/>
        </w:rPr>
        <w:t>）其他路段，不必进行评价等级判定。</w:t>
      </w:r>
    </w:p>
    <w:p w14:paraId="7A4E28FF">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本项目施工期生活废水排入防渗旱厕，定期清掏；施工期生产废水经沉淀后回用于施工场地洒水抑尘，不外排。本项目</w:t>
      </w:r>
      <w:r>
        <w:rPr>
          <w:rFonts w:hint="eastAsia" w:ascii="Times New Roman" w:hAnsi="宋体"/>
          <w:color w:val="000000" w:themeColor="text1"/>
          <w:sz w:val="24"/>
          <w:szCs w:val="24"/>
          <w:highlight w:val="none"/>
          <w:lang w:val="en-US" w:eastAsia="zh-CN"/>
        </w:rPr>
        <w:t>不设养护区</w:t>
      </w:r>
      <w:r>
        <w:rPr>
          <w:rFonts w:hint="eastAsia" w:hAnsi="宋体"/>
          <w:color w:val="000000" w:themeColor="text1"/>
          <w:sz w:val="24"/>
          <w:szCs w:val="24"/>
          <w:highlight w:val="none"/>
          <w:lang w:val="en-US" w:eastAsia="zh-CN"/>
        </w:rPr>
        <w:t>、</w:t>
      </w:r>
      <w:r>
        <w:rPr>
          <w:rFonts w:hint="eastAsia" w:ascii="Times New Roman" w:hAnsi="宋体"/>
          <w:color w:val="000000" w:themeColor="text1"/>
          <w:sz w:val="24"/>
          <w:szCs w:val="24"/>
          <w:highlight w:val="none"/>
          <w:lang w:val="en-US" w:eastAsia="zh-CN"/>
        </w:rPr>
        <w:t>服务区</w:t>
      </w:r>
      <w:r>
        <w:rPr>
          <w:rFonts w:hint="eastAsia" w:hAnsi="宋体"/>
          <w:color w:val="000000" w:themeColor="text1"/>
          <w:sz w:val="24"/>
          <w:szCs w:val="24"/>
          <w:highlight w:val="none"/>
          <w:lang w:val="en-US" w:eastAsia="zh-CN"/>
        </w:rPr>
        <w:t>、加油站和收费站</w:t>
      </w:r>
      <w:r>
        <w:rPr>
          <w:rFonts w:hint="eastAsia" w:ascii="Times New Roman" w:hAnsi="宋体"/>
          <w:color w:val="000000" w:themeColor="text1"/>
          <w:sz w:val="24"/>
          <w:szCs w:val="24"/>
          <w:highlight w:val="none"/>
          <w:lang w:val="en-US" w:eastAsia="zh-CN"/>
        </w:rPr>
        <w:t>，运营期无生产废水和生活污水产生</w:t>
      </w:r>
      <w:r>
        <w:rPr>
          <w:rFonts w:hint="eastAsia"/>
          <w:color w:val="000000" w:themeColor="text1"/>
          <w:highlight w:val="none"/>
          <w:lang w:val="en-US" w:eastAsia="zh-CN"/>
        </w:rPr>
        <w:t>。本线路不</w:t>
      </w:r>
      <w:r>
        <w:rPr>
          <w:rFonts w:hint="default" w:ascii="Times New Roman" w:hAnsi="Times New Roman" w:cs="Times New Roman"/>
          <w:color w:val="000000" w:themeColor="text1"/>
          <w:highlight w:val="none"/>
          <w:lang w:val="en-US" w:eastAsia="zh-CN"/>
        </w:rPr>
        <w:t>跨越Ⅱ类及以上</w:t>
      </w:r>
      <w:r>
        <w:rPr>
          <w:rFonts w:hint="eastAsia"/>
          <w:color w:val="000000" w:themeColor="text1"/>
          <w:highlight w:val="none"/>
          <w:lang w:val="en-US" w:eastAsia="zh-CN"/>
        </w:rPr>
        <w:t>水体的路段为地表水综上所述，不必进行评价等级判定</w:t>
      </w:r>
      <w:r>
        <w:rPr>
          <w:rFonts w:hint="eastAsia"/>
          <w:color w:val="000000" w:themeColor="text1"/>
          <w:highlight w:val="none"/>
        </w:rPr>
        <w:t>。</w:t>
      </w:r>
    </w:p>
    <w:p w14:paraId="04D67CB0">
      <w:pPr>
        <w:pStyle w:val="4"/>
        <w:pageBreakBefore w:val="0"/>
        <w:wordWrap/>
        <w:topLinePunct w:val="0"/>
        <w:bidi w:val="0"/>
        <w:spacing w:before="120" w:line="360" w:lineRule="auto"/>
        <w:rPr>
          <w:color w:val="000000" w:themeColor="text1"/>
          <w:highlight w:val="none"/>
        </w:rPr>
      </w:pPr>
      <w:bookmarkStart w:id="137" w:name="_Toc2708"/>
      <w:bookmarkStart w:id="138" w:name="_Toc4007"/>
      <w:r>
        <w:rPr>
          <w:rFonts w:hint="eastAsia"/>
          <w:color w:val="000000" w:themeColor="text1"/>
          <w:highlight w:val="none"/>
        </w:rPr>
        <w:t>2.4.2</w:t>
      </w:r>
      <w:r>
        <w:rPr>
          <w:color w:val="000000" w:themeColor="text1"/>
          <w:highlight w:val="none"/>
        </w:rPr>
        <w:t>地下水</w:t>
      </w:r>
      <w:bookmarkEnd w:id="137"/>
      <w:bookmarkEnd w:id="138"/>
    </w:p>
    <w:p w14:paraId="716CE28E">
      <w:pPr>
        <w:pageBreakBefore w:val="0"/>
        <w:wordWrap/>
        <w:topLinePunct w:val="0"/>
        <w:bidi w:val="0"/>
        <w:spacing w:line="360" w:lineRule="auto"/>
        <w:ind w:firstLine="472"/>
        <w:rPr>
          <w:rFonts w:hint="eastAsia"/>
          <w:color w:val="000000" w:themeColor="text1"/>
          <w:highlight w:val="none"/>
          <w:lang w:eastAsia="zh-CN"/>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1358-2024），地下水环境影响评价应分别对加油站区域和其他区段确定评价等级，等级判定应符合下列规定：</w:t>
      </w:r>
    </w:p>
    <w:p w14:paraId="477226DF">
      <w:pPr>
        <w:pageBreakBefore w:val="0"/>
        <w:wordWrap/>
        <w:topLinePunct w:val="0"/>
        <w:bidi w:val="0"/>
        <w:spacing w:line="360" w:lineRule="auto"/>
        <w:ind w:firstLine="472"/>
        <w:rPr>
          <w:rFonts w:hint="eastAsia"/>
          <w:color w:val="000000" w:themeColor="text1"/>
          <w:highlight w:val="none"/>
          <w:lang w:eastAsia="zh-CN"/>
        </w:rPr>
      </w:pPr>
      <w:r>
        <w:rPr>
          <w:rFonts w:hint="eastAsia"/>
          <w:snapToGrid w:val="0"/>
          <w:color w:val="000000" w:themeColor="text1"/>
          <w:highlight w:val="none"/>
        </w:rPr>
        <w:t>a</w:t>
      </w:r>
      <w:r>
        <w:rPr>
          <w:rFonts w:hint="eastAsia"/>
          <w:snapToGrid w:val="0"/>
          <w:color w:val="000000" w:themeColor="text1"/>
          <w:highlight w:val="none"/>
          <w:lang w:eastAsia="zh-CN"/>
        </w:rPr>
        <w:t>）</w:t>
      </w:r>
      <w:r>
        <w:rPr>
          <w:rFonts w:hint="eastAsia"/>
          <w:color w:val="000000" w:themeColor="text1"/>
          <w:highlight w:val="none"/>
          <w:lang w:eastAsia="zh-CN"/>
        </w:rPr>
        <w:t>加油站选址涉及HJ610中地下水“敏感”区域或未按照要求采取严格的防泄漏、防渗等环保措施的，按照HJ610的相关规定确定评价等级；</w:t>
      </w:r>
      <w:r>
        <w:rPr>
          <w:rFonts w:hint="default" w:ascii="Times New Roman" w:hAnsi="Times New Roman" w:cs="Times New Roman"/>
          <w:color w:val="000000" w:themeColor="text1"/>
          <w:spacing w:val="-2"/>
          <w:highlight w:val="none"/>
        </w:rPr>
        <w:t>其他加油站不必进行评价等级判定</w:t>
      </w:r>
      <w:r>
        <w:rPr>
          <w:rFonts w:hint="eastAsia" w:cs="Times New Roman"/>
          <w:color w:val="000000" w:themeColor="text1"/>
          <w:spacing w:val="-2"/>
          <w:highlight w:val="none"/>
          <w:lang w:eastAsia="zh-CN"/>
        </w:rPr>
        <w:t>；</w:t>
      </w:r>
    </w:p>
    <w:p w14:paraId="34AE2B3E">
      <w:pPr>
        <w:pageBreakBefore w:val="0"/>
        <w:wordWrap/>
        <w:topLinePunct w:val="0"/>
        <w:bidi w:val="0"/>
        <w:spacing w:line="360" w:lineRule="auto"/>
        <w:ind w:firstLine="472"/>
        <w:rPr>
          <w:rFonts w:hint="eastAsia"/>
          <w:color w:val="000000" w:themeColor="text1"/>
          <w:highlight w:val="none"/>
          <w:lang w:eastAsia="zh-CN"/>
        </w:rPr>
      </w:pPr>
      <w:r>
        <w:rPr>
          <w:rFonts w:hint="default"/>
          <w:color w:val="000000" w:themeColor="text1"/>
          <w:highlight w:val="none"/>
          <w:lang w:val="en-US" w:eastAsia="zh-CN"/>
        </w:rPr>
        <w:t>b</w:t>
      </w:r>
      <w:r>
        <w:rPr>
          <w:rFonts w:hint="eastAsia"/>
          <w:color w:val="000000" w:themeColor="text1"/>
          <w:highlight w:val="none"/>
          <w:lang w:val="en-US" w:eastAsia="zh-CN"/>
        </w:rPr>
        <w:t>）</w:t>
      </w:r>
      <w:r>
        <w:rPr>
          <w:rFonts w:hint="eastAsia"/>
          <w:color w:val="000000" w:themeColor="text1"/>
          <w:highlight w:val="none"/>
          <w:lang w:eastAsia="zh-CN"/>
        </w:rPr>
        <w:t>其他区段，不必进行评价等级判定。</w:t>
      </w:r>
    </w:p>
    <w:p w14:paraId="54621719">
      <w:pPr>
        <w:pageBreakBefore w:val="0"/>
        <w:wordWrap/>
        <w:topLinePunct w:val="0"/>
        <w:bidi w:val="0"/>
        <w:spacing w:line="360" w:lineRule="auto"/>
        <w:ind w:firstLine="472"/>
        <w:rPr>
          <w:rFonts w:hint="default" w:ascii="Times New Roman" w:hAnsi="Times New Roman" w:cs="Times New Roman"/>
          <w:color w:val="000000" w:themeColor="text1"/>
          <w:highlight w:val="none"/>
        </w:rPr>
      </w:pPr>
      <w:r>
        <w:rPr>
          <w:rFonts w:hint="eastAsia"/>
          <w:color w:val="000000" w:themeColor="text1"/>
          <w:highlight w:val="none"/>
          <w:lang w:val="en-US" w:eastAsia="zh-CN"/>
        </w:rPr>
        <w:t>本项目不设加油站，不必进行评价等级判定</w:t>
      </w:r>
      <w:r>
        <w:rPr>
          <w:rFonts w:hint="eastAsia"/>
          <w:color w:val="000000" w:themeColor="text1"/>
          <w:highlight w:val="none"/>
        </w:rPr>
        <w:t>。</w:t>
      </w:r>
    </w:p>
    <w:p w14:paraId="782AA9A1">
      <w:pPr>
        <w:pStyle w:val="4"/>
        <w:pageBreakBefore w:val="0"/>
        <w:wordWrap/>
        <w:topLinePunct w:val="0"/>
        <w:bidi w:val="0"/>
        <w:spacing w:before="120" w:line="360" w:lineRule="auto"/>
        <w:rPr>
          <w:color w:val="000000" w:themeColor="text1"/>
          <w:highlight w:val="none"/>
        </w:rPr>
      </w:pPr>
      <w:bookmarkStart w:id="139" w:name="_Toc4138"/>
      <w:bookmarkStart w:id="140" w:name="_Toc1971"/>
      <w:r>
        <w:rPr>
          <w:rFonts w:hint="eastAsia"/>
          <w:color w:val="000000" w:themeColor="text1"/>
          <w:highlight w:val="none"/>
        </w:rPr>
        <w:t>2.4.3</w:t>
      </w:r>
      <w:r>
        <w:rPr>
          <w:color w:val="000000" w:themeColor="text1"/>
          <w:highlight w:val="none"/>
        </w:rPr>
        <w:t>声环境</w:t>
      </w:r>
      <w:bookmarkEnd w:id="139"/>
      <w:bookmarkEnd w:id="140"/>
    </w:p>
    <w:p w14:paraId="3ED5B0DF">
      <w:pPr>
        <w:pageBreakBefore w:val="0"/>
        <w:wordWrap/>
        <w:topLinePunct w:val="0"/>
        <w:bidi w:val="0"/>
        <w:spacing w:line="360" w:lineRule="auto"/>
        <w:rPr>
          <w:rFonts w:hint="eastAsia" w:eastAsia="宋体"/>
          <w:snapToGrid w:val="0"/>
          <w:color w:val="000000" w:themeColor="text1"/>
          <w:highlight w:val="none"/>
          <w:lang w:eastAsia="zh-CN"/>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rFonts w:hint="eastAsia"/>
          <w:snapToGrid w:val="0"/>
          <w:color w:val="000000" w:themeColor="text1"/>
          <w:highlight w:val="none"/>
        </w:rPr>
        <w:t>声环境影响评价等级依据</w:t>
      </w:r>
      <w:r>
        <w:rPr>
          <w:snapToGrid w:val="0"/>
          <w:color w:val="000000" w:themeColor="text1"/>
          <w:highlight w:val="none"/>
        </w:rPr>
        <w:t>《环境影响评价技术导则 声环境》</w:t>
      </w:r>
      <w:r>
        <w:rPr>
          <w:rFonts w:hint="eastAsia"/>
          <w:snapToGrid w:val="0"/>
          <w:color w:val="000000" w:themeColor="text1"/>
          <w:highlight w:val="none"/>
          <w:lang w:eastAsia="zh-CN"/>
        </w:rPr>
        <w:t>（</w:t>
      </w:r>
      <w:r>
        <w:rPr>
          <w:snapToGrid w:val="0"/>
          <w:color w:val="000000" w:themeColor="text1"/>
          <w:highlight w:val="none"/>
        </w:rPr>
        <w:t>HJ/T2.4-2009</w:t>
      </w:r>
      <w:r>
        <w:rPr>
          <w:rFonts w:hint="eastAsia"/>
          <w:snapToGrid w:val="0"/>
          <w:color w:val="000000" w:themeColor="text1"/>
          <w:highlight w:val="none"/>
          <w:lang w:eastAsia="zh-CN"/>
        </w:rPr>
        <w:t>）</w:t>
      </w:r>
      <w:r>
        <w:rPr>
          <w:rFonts w:hint="eastAsia"/>
          <w:snapToGrid w:val="0"/>
          <w:color w:val="000000" w:themeColor="text1"/>
          <w:highlight w:val="none"/>
          <w:lang w:val="en-US" w:eastAsia="zh-CN"/>
        </w:rPr>
        <w:t>判定：</w:t>
      </w:r>
    </w:p>
    <w:p w14:paraId="433B069B">
      <w:pPr>
        <w:pageBreakBefore w:val="0"/>
        <w:wordWrap/>
        <w:topLinePunct w:val="0"/>
        <w:bidi w:val="0"/>
        <w:spacing w:line="360" w:lineRule="auto"/>
        <w:rPr>
          <w:rFonts w:hint="eastAsia" w:eastAsia="宋体"/>
          <w:snapToGrid w:val="0"/>
          <w:color w:val="000000" w:themeColor="text1"/>
          <w:highlight w:val="none"/>
          <w:lang w:eastAsia="zh-CN"/>
        </w:rPr>
      </w:pPr>
      <w:r>
        <w:rPr>
          <w:rFonts w:hint="eastAsia"/>
          <w:snapToGrid w:val="0"/>
          <w:color w:val="000000" w:themeColor="text1"/>
          <w:highlight w:val="none"/>
        </w:rPr>
        <w:t>a</w:t>
      </w:r>
      <w:r>
        <w:rPr>
          <w:rFonts w:hint="eastAsia"/>
          <w:snapToGrid w:val="0"/>
          <w:color w:val="000000" w:themeColor="text1"/>
          <w:highlight w:val="none"/>
          <w:lang w:eastAsia="zh-CN"/>
        </w:rPr>
        <w:t>）</w:t>
      </w:r>
      <w:r>
        <w:rPr>
          <w:rFonts w:hint="eastAsia"/>
          <w:snapToGrid w:val="0"/>
          <w:color w:val="000000" w:themeColor="text1"/>
          <w:highlight w:val="none"/>
        </w:rPr>
        <w:t>评价范围内有适用于GB3096规定的0类声环境功能区域，或项目建设前后评价范围内声环境保护目标噪声级增量达5dB(A)以上</w:t>
      </w:r>
      <w:r>
        <w:rPr>
          <w:rFonts w:hint="eastAsia"/>
          <w:snapToGrid w:val="0"/>
          <w:color w:val="000000" w:themeColor="text1"/>
          <w:highlight w:val="none"/>
          <w:lang w:eastAsia="zh-CN"/>
        </w:rPr>
        <w:t>（</w:t>
      </w:r>
      <w:r>
        <w:rPr>
          <w:rFonts w:hint="eastAsia"/>
          <w:snapToGrid w:val="0"/>
          <w:color w:val="000000" w:themeColor="text1"/>
          <w:highlight w:val="none"/>
        </w:rPr>
        <w:t>不含5dB(A)</w:t>
      </w:r>
      <w:r>
        <w:rPr>
          <w:rFonts w:hint="eastAsia"/>
          <w:snapToGrid w:val="0"/>
          <w:color w:val="000000" w:themeColor="text1"/>
          <w:highlight w:val="none"/>
          <w:lang w:eastAsia="zh-CN"/>
        </w:rPr>
        <w:t>）</w:t>
      </w:r>
      <w:r>
        <w:rPr>
          <w:rFonts w:hint="eastAsia"/>
          <w:snapToGrid w:val="0"/>
          <w:color w:val="000000" w:themeColor="text1"/>
          <w:highlight w:val="none"/>
        </w:rPr>
        <w:t>，或受噪声影响人口数量显著增加时，按一级评价</w:t>
      </w:r>
      <w:r>
        <w:rPr>
          <w:rFonts w:hint="eastAsia"/>
          <w:snapToGrid w:val="0"/>
          <w:color w:val="000000" w:themeColor="text1"/>
          <w:highlight w:val="none"/>
          <w:lang w:eastAsia="zh-CN"/>
        </w:rPr>
        <w:t>；</w:t>
      </w:r>
    </w:p>
    <w:p w14:paraId="21D8ED35">
      <w:pPr>
        <w:pageBreakBefore w:val="0"/>
        <w:wordWrap/>
        <w:topLinePunct w:val="0"/>
        <w:bidi w:val="0"/>
        <w:spacing w:line="360" w:lineRule="auto"/>
        <w:rPr>
          <w:rFonts w:hint="eastAsia"/>
          <w:snapToGrid w:val="0"/>
          <w:color w:val="000000" w:themeColor="text1"/>
          <w:highlight w:val="none"/>
        </w:rPr>
      </w:pPr>
      <w:r>
        <w:rPr>
          <w:rFonts w:hint="default"/>
          <w:color w:val="000000" w:themeColor="text1"/>
          <w:highlight w:val="none"/>
          <w:lang w:val="en-US" w:eastAsia="zh-CN"/>
        </w:rPr>
        <w:t>b</w:t>
      </w:r>
      <w:r>
        <w:rPr>
          <w:rFonts w:hint="eastAsia"/>
          <w:color w:val="000000" w:themeColor="text1"/>
          <w:highlight w:val="none"/>
          <w:lang w:val="en-US" w:eastAsia="zh-CN"/>
        </w:rPr>
        <w:t>）</w:t>
      </w:r>
      <w:r>
        <w:rPr>
          <w:rFonts w:hint="eastAsia"/>
          <w:snapToGrid w:val="0"/>
          <w:color w:val="000000" w:themeColor="text1"/>
          <w:highlight w:val="none"/>
        </w:rPr>
        <w:t>项目所处的声环境功能区为GB3096规定的1类、2类地区，或项目建设前后评价范围内声环境保护目标噪声级增量达3dB(A)~5dB(A)</w:t>
      </w:r>
      <w:r>
        <w:rPr>
          <w:rFonts w:hint="eastAsia"/>
          <w:snapToGrid w:val="0"/>
          <w:color w:val="000000" w:themeColor="text1"/>
          <w:highlight w:val="none"/>
          <w:lang w:eastAsia="zh-CN"/>
        </w:rPr>
        <w:t>，</w:t>
      </w:r>
      <w:r>
        <w:rPr>
          <w:rFonts w:hint="eastAsia"/>
          <w:snapToGrid w:val="0"/>
          <w:color w:val="000000" w:themeColor="text1"/>
          <w:highlight w:val="none"/>
        </w:rPr>
        <w:t>或受噪声影响人口数量增加较多时</w:t>
      </w:r>
      <w:r>
        <w:rPr>
          <w:rFonts w:hint="eastAsia"/>
          <w:snapToGrid w:val="0"/>
          <w:color w:val="000000" w:themeColor="text1"/>
          <w:highlight w:val="none"/>
          <w:lang w:eastAsia="zh-CN"/>
        </w:rPr>
        <w:t>，</w:t>
      </w:r>
      <w:r>
        <w:rPr>
          <w:rFonts w:hint="eastAsia"/>
          <w:snapToGrid w:val="0"/>
          <w:color w:val="000000" w:themeColor="text1"/>
          <w:highlight w:val="none"/>
        </w:rPr>
        <w:t>按二级评价</w:t>
      </w:r>
    </w:p>
    <w:p w14:paraId="6DABC9A5">
      <w:pPr>
        <w:pageBreakBefore w:val="0"/>
        <w:wordWrap/>
        <w:topLinePunct w:val="0"/>
        <w:bidi w:val="0"/>
        <w:spacing w:line="360" w:lineRule="auto"/>
        <w:rPr>
          <w:rFonts w:hint="eastAsia" w:eastAsia="宋体"/>
          <w:snapToGrid w:val="0"/>
          <w:color w:val="000000" w:themeColor="text1"/>
          <w:highlight w:val="none"/>
          <w:lang w:eastAsia="zh-CN"/>
        </w:rPr>
      </w:pPr>
      <w:r>
        <w:rPr>
          <w:rFonts w:hint="default"/>
          <w:color w:val="000000" w:themeColor="text1"/>
          <w:highlight w:val="none"/>
          <w:lang w:val="en-US" w:eastAsia="zh-CN"/>
        </w:rPr>
        <w:t>c</w:t>
      </w:r>
      <w:r>
        <w:rPr>
          <w:rFonts w:hint="eastAsia"/>
          <w:color w:val="000000" w:themeColor="text1"/>
          <w:highlight w:val="none"/>
          <w:lang w:val="en-US" w:eastAsia="zh-CN"/>
        </w:rPr>
        <w:t>）</w:t>
      </w:r>
      <w:r>
        <w:rPr>
          <w:rFonts w:hint="eastAsia"/>
          <w:snapToGrid w:val="0"/>
          <w:color w:val="000000" w:themeColor="text1"/>
          <w:highlight w:val="none"/>
        </w:rPr>
        <w:t>项目所处的声环境功能区为GB3096规定的3类、4类地区，或项目建设前后评价范围内声环境保护目标噪声级增量在3B(A)以下</w:t>
      </w:r>
      <w:r>
        <w:rPr>
          <w:rFonts w:hint="eastAsia"/>
          <w:snapToGrid w:val="0"/>
          <w:color w:val="000000" w:themeColor="text1"/>
          <w:highlight w:val="none"/>
          <w:lang w:eastAsia="zh-CN"/>
        </w:rPr>
        <w:t>（</w:t>
      </w:r>
      <w:r>
        <w:rPr>
          <w:rFonts w:hint="eastAsia"/>
          <w:snapToGrid w:val="0"/>
          <w:color w:val="000000" w:themeColor="text1"/>
          <w:highlight w:val="none"/>
        </w:rPr>
        <w:t>不含3B(A)</w:t>
      </w:r>
      <w:r>
        <w:rPr>
          <w:rFonts w:hint="eastAsia"/>
          <w:snapToGrid w:val="0"/>
          <w:color w:val="000000" w:themeColor="text1"/>
          <w:highlight w:val="none"/>
          <w:lang w:eastAsia="zh-CN"/>
        </w:rPr>
        <w:t>）</w:t>
      </w:r>
      <w:r>
        <w:rPr>
          <w:rFonts w:hint="eastAsia"/>
          <w:snapToGrid w:val="0"/>
          <w:color w:val="000000" w:themeColor="text1"/>
          <w:highlight w:val="none"/>
        </w:rPr>
        <w:t>，且受噪声影响人口数量变化不大时按三级评价</w:t>
      </w:r>
      <w:r>
        <w:rPr>
          <w:rFonts w:hint="eastAsia"/>
          <w:snapToGrid w:val="0"/>
          <w:color w:val="000000" w:themeColor="text1"/>
          <w:highlight w:val="none"/>
          <w:lang w:eastAsia="zh-CN"/>
        </w:rPr>
        <w:t>；</w:t>
      </w:r>
    </w:p>
    <w:p w14:paraId="52FF090E">
      <w:pPr>
        <w:pageBreakBefore w:val="0"/>
        <w:wordWrap/>
        <w:topLinePunct w:val="0"/>
        <w:bidi w:val="0"/>
        <w:spacing w:line="360" w:lineRule="auto"/>
        <w:rPr>
          <w:snapToGrid w:val="0"/>
          <w:color w:val="000000" w:themeColor="text1"/>
          <w:highlight w:val="none"/>
        </w:rPr>
      </w:pPr>
      <w:r>
        <w:rPr>
          <w:rFonts w:hint="eastAsia"/>
          <w:color w:val="000000" w:themeColor="text1"/>
          <w:highlight w:val="none"/>
          <w:lang w:val="en-US" w:eastAsia="zh-CN"/>
        </w:rPr>
        <w:t>d）</w:t>
      </w:r>
      <w:r>
        <w:rPr>
          <w:rFonts w:hint="eastAsia"/>
          <w:snapToGrid w:val="0"/>
          <w:color w:val="000000" w:themeColor="text1"/>
          <w:highlight w:val="none"/>
        </w:rPr>
        <w:t>当项目符合两个等级的划分原则时，按较高等级评价。</w:t>
      </w:r>
    </w:p>
    <w:p w14:paraId="02E09122">
      <w:pPr>
        <w:pageBreakBefore w:val="0"/>
        <w:wordWrap/>
        <w:topLinePunct w:val="0"/>
        <w:bidi w:val="0"/>
        <w:spacing w:line="360" w:lineRule="auto"/>
        <w:rPr>
          <w:snapToGrid w:val="0"/>
          <w:color w:val="000000" w:themeColor="text1"/>
          <w:highlight w:val="none"/>
        </w:rPr>
      </w:pPr>
      <w:r>
        <w:rPr>
          <w:rFonts w:hint="eastAsia"/>
          <w:snapToGrid w:val="0"/>
          <w:color w:val="000000" w:themeColor="text1"/>
          <w:highlight w:val="none"/>
          <w:lang w:val="en-US" w:eastAsia="zh-CN"/>
        </w:rPr>
        <w:t>本项目评价范围处于《声环境质量标准》（</w:t>
      </w:r>
      <w:r>
        <w:rPr>
          <w:rFonts w:hint="default"/>
          <w:snapToGrid w:val="0"/>
          <w:color w:val="000000" w:themeColor="text1"/>
          <w:highlight w:val="none"/>
          <w:lang w:val="en-US" w:eastAsia="zh-CN"/>
        </w:rPr>
        <w:t>GB3096-2008</w:t>
      </w:r>
      <w:r>
        <w:rPr>
          <w:rFonts w:hint="eastAsia"/>
          <w:snapToGrid w:val="0"/>
          <w:color w:val="000000" w:themeColor="text1"/>
          <w:highlight w:val="none"/>
          <w:lang w:val="en-US" w:eastAsia="zh-CN"/>
        </w:rPr>
        <w:t>）规定的2类声环境功能区，</w:t>
      </w:r>
      <w:r>
        <w:rPr>
          <w:rFonts w:hint="eastAsia"/>
          <w:snapToGrid w:val="0"/>
          <w:color w:val="000000" w:themeColor="text1"/>
          <w:highlight w:val="none"/>
        </w:rPr>
        <w:t>项目建设前后评价范围内</w:t>
      </w:r>
      <w:r>
        <w:rPr>
          <w:rFonts w:hint="eastAsia"/>
          <w:snapToGrid w:val="0"/>
          <w:color w:val="000000" w:themeColor="text1"/>
          <w:highlight w:val="none"/>
          <w:lang w:val="en-US" w:eastAsia="zh-CN"/>
        </w:rPr>
        <w:t>无声环境敏感目标</w:t>
      </w:r>
      <w:r>
        <w:rPr>
          <w:rFonts w:hint="eastAsia"/>
          <w:snapToGrid w:val="0"/>
          <w:color w:val="000000" w:themeColor="text1"/>
          <w:highlight w:val="none"/>
          <w:lang w:eastAsia="zh-CN"/>
        </w:rPr>
        <w:t>，</w:t>
      </w:r>
      <w:r>
        <w:rPr>
          <w:rFonts w:hint="eastAsia"/>
          <w:snapToGrid w:val="0"/>
          <w:color w:val="000000" w:themeColor="text1"/>
          <w:highlight w:val="none"/>
          <w:lang w:val="en-US" w:eastAsia="zh-CN"/>
        </w:rPr>
        <w:t>受影响人口数量无变化，</w:t>
      </w:r>
      <w:r>
        <w:rPr>
          <w:snapToGrid w:val="0"/>
          <w:color w:val="000000" w:themeColor="text1"/>
          <w:highlight w:val="none"/>
        </w:rPr>
        <w:t>由此声环境评价工作等级确定为</w:t>
      </w:r>
      <w:r>
        <w:rPr>
          <w:rFonts w:hint="eastAsia"/>
          <w:snapToGrid w:val="0"/>
          <w:color w:val="000000" w:themeColor="text1"/>
          <w:highlight w:val="none"/>
          <w:lang w:val="en-US" w:eastAsia="zh-CN"/>
        </w:rPr>
        <w:t>二</w:t>
      </w:r>
      <w:r>
        <w:rPr>
          <w:snapToGrid w:val="0"/>
          <w:color w:val="000000" w:themeColor="text1"/>
          <w:highlight w:val="none"/>
        </w:rPr>
        <w:t>级。</w:t>
      </w:r>
    </w:p>
    <w:p w14:paraId="156B3C3C">
      <w:pPr>
        <w:pStyle w:val="4"/>
        <w:pageBreakBefore w:val="0"/>
        <w:wordWrap/>
        <w:topLinePunct w:val="0"/>
        <w:bidi w:val="0"/>
        <w:spacing w:before="120" w:line="360" w:lineRule="auto"/>
        <w:rPr>
          <w:color w:val="000000" w:themeColor="text1"/>
          <w:highlight w:val="none"/>
        </w:rPr>
      </w:pPr>
      <w:bookmarkStart w:id="141" w:name="_Toc25706"/>
      <w:bookmarkStart w:id="142" w:name="_Toc12746"/>
      <w:r>
        <w:rPr>
          <w:rFonts w:hint="eastAsia"/>
          <w:color w:val="000000" w:themeColor="text1"/>
          <w:highlight w:val="none"/>
        </w:rPr>
        <w:t>2.4.</w:t>
      </w:r>
      <w:r>
        <w:rPr>
          <w:rFonts w:hint="eastAsia"/>
          <w:color w:val="000000" w:themeColor="text1"/>
          <w:highlight w:val="none"/>
          <w:lang w:val="en-US" w:eastAsia="zh-CN"/>
        </w:rPr>
        <w:t>4</w:t>
      </w:r>
      <w:r>
        <w:rPr>
          <w:color w:val="000000" w:themeColor="text1"/>
          <w:highlight w:val="none"/>
        </w:rPr>
        <w:t>生态环境</w:t>
      </w:r>
      <w:bookmarkEnd w:id="141"/>
      <w:bookmarkEnd w:id="142"/>
    </w:p>
    <w:p w14:paraId="2E27EC7D">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rFonts w:hint="eastAsia"/>
          <w:color w:val="000000" w:themeColor="text1"/>
          <w:highlight w:val="none"/>
          <w:lang w:val="en-US" w:eastAsia="zh-CN"/>
        </w:rPr>
        <w:t>生态影响评价宜根据沿线敏感程度分段确定评价等级，评价等级按《环境影响评价技术导则 生态影响》（</w:t>
      </w:r>
      <w:r>
        <w:rPr>
          <w:rFonts w:hint="default"/>
          <w:color w:val="000000" w:themeColor="text1"/>
          <w:highlight w:val="none"/>
          <w:lang w:val="en-US" w:eastAsia="zh-CN"/>
        </w:rPr>
        <w:t>HJ 19-2022</w:t>
      </w:r>
      <w:r>
        <w:rPr>
          <w:rFonts w:hint="eastAsia"/>
          <w:color w:val="000000" w:themeColor="text1"/>
          <w:highlight w:val="none"/>
          <w:lang w:val="en-US" w:eastAsia="zh-CN"/>
        </w:rPr>
        <w:t>）判定：</w:t>
      </w:r>
    </w:p>
    <w:p w14:paraId="418CBCBD">
      <w:pPr>
        <w:pageBreakBefore w:val="0"/>
        <w:wordWrap/>
        <w:topLinePunct w:val="0"/>
        <w:bidi w:val="0"/>
        <w:spacing w:line="360" w:lineRule="auto"/>
        <w:rPr>
          <w:color w:val="000000" w:themeColor="text1"/>
          <w:highlight w:val="none"/>
        </w:rPr>
      </w:pPr>
      <w:r>
        <w:rPr>
          <w:rFonts w:hint="default"/>
          <w:color w:val="000000" w:themeColor="text1"/>
          <w:highlight w:val="none"/>
          <w:lang w:val="en-US" w:eastAsia="zh-CN"/>
        </w:rPr>
        <w:t>a</w:t>
      </w:r>
      <w:r>
        <w:rPr>
          <w:rFonts w:hint="eastAsia"/>
          <w:color w:val="000000" w:themeColor="text1"/>
          <w:highlight w:val="none"/>
          <w:lang w:val="en-US" w:eastAsia="zh-CN"/>
        </w:rPr>
        <w:t xml:space="preserve">）涉及国家公园、自然保护区、世界自然遗产、重要生境的路段，评价等级为一级； </w:t>
      </w:r>
    </w:p>
    <w:p w14:paraId="03B273EA">
      <w:pPr>
        <w:pageBreakBefore w:val="0"/>
        <w:wordWrap/>
        <w:topLinePunct w:val="0"/>
        <w:bidi w:val="0"/>
        <w:spacing w:line="360" w:lineRule="auto"/>
        <w:rPr>
          <w:color w:val="000000" w:themeColor="text1"/>
          <w:highlight w:val="none"/>
        </w:rPr>
      </w:pPr>
      <w:r>
        <w:rPr>
          <w:rFonts w:hint="default"/>
          <w:color w:val="000000" w:themeColor="text1"/>
          <w:highlight w:val="none"/>
          <w:lang w:val="en-US" w:eastAsia="zh-CN"/>
        </w:rPr>
        <w:t>b</w:t>
      </w:r>
      <w:r>
        <w:rPr>
          <w:rFonts w:hint="eastAsia"/>
          <w:color w:val="000000" w:themeColor="text1"/>
          <w:highlight w:val="none"/>
          <w:lang w:val="en-US" w:eastAsia="zh-CN"/>
        </w:rPr>
        <w:t xml:space="preserve">）涉及自然公园的路段，评价等级为二级； </w:t>
      </w:r>
    </w:p>
    <w:p w14:paraId="4149F630">
      <w:pPr>
        <w:pageBreakBefore w:val="0"/>
        <w:wordWrap/>
        <w:topLinePunct w:val="0"/>
        <w:bidi w:val="0"/>
        <w:spacing w:line="360" w:lineRule="auto"/>
        <w:rPr>
          <w:color w:val="000000" w:themeColor="text1"/>
          <w:highlight w:val="none"/>
        </w:rPr>
      </w:pPr>
      <w:r>
        <w:rPr>
          <w:rFonts w:hint="default"/>
          <w:color w:val="000000" w:themeColor="text1"/>
          <w:highlight w:val="none"/>
          <w:lang w:val="en-US" w:eastAsia="zh-CN"/>
        </w:rPr>
        <w:t>c</w:t>
      </w:r>
      <w:r>
        <w:rPr>
          <w:rFonts w:hint="eastAsia"/>
          <w:color w:val="000000" w:themeColor="text1"/>
          <w:highlight w:val="none"/>
          <w:lang w:val="en-US" w:eastAsia="zh-CN"/>
        </w:rPr>
        <w:t>）涉及生态保护红线或占地规模大于20km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的路段（包括永久和临时占用陆域和水域）或根据HJ610、HJ964判断地下水水位或土壤影响范围内分布有天然林、公益林、湿地等生态保护目标的路段，评价等级不低于二级；改扩建公路建设项目的占地范围以新增占地（包括陆域和水域）确定；</w:t>
      </w:r>
    </w:p>
    <w:p w14:paraId="31638C6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d）</w:t>
      </w:r>
      <w:r>
        <w:rPr>
          <w:rFonts w:hint="default"/>
          <w:color w:val="000000" w:themeColor="text1"/>
          <w:highlight w:val="none"/>
          <w:lang w:val="en-US" w:eastAsia="zh-CN"/>
        </w:rPr>
        <w:t>除本条a</w:t>
      </w:r>
      <w:r>
        <w:rPr>
          <w:rFonts w:hint="eastAsia"/>
          <w:color w:val="000000" w:themeColor="text1"/>
          <w:highlight w:val="none"/>
          <w:lang w:val="en-US" w:eastAsia="zh-CN"/>
        </w:rPr>
        <w:t>）</w:t>
      </w:r>
      <w:r>
        <w:rPr>
          <w:rFonts w:hint="default"/>
          <w:color w:val="000000" w:themeColor="text1"/>
          <w:highlight w:val="none"/>
          <w:lang w:val="en-US" w:eastAsia="zh-CN"/>
        </w:rPr>
        <w:t>、b</w:t>
      </w:r>
      <w:r>
        <w:rPr>
          <w:rFonts w:hint="eastAsia"/>
          <w:color w:val="000000" w:themeColor="text1"/>
          <w:highlight w:val="none"/>
          <w:lang w:val="en-US" w:eastAsia="zh-CN"/>
        </w:rPr>
        <w:t>）</w:t>
      </w:r>
      <w:r>
        <w:rPr>
          <w:rFonts w:hint="default"/>
          <w:color w:val="000000" w:themeColor="text1"/>
          <w:highlight w:val="none"/>
          <w:lang w:val="en-US" w:eastAsia="zh-CN"/>
        </w:rPr>
        <w:t>、c</w:t>
      </w:r>
      <w:r>
        <w:rPr>
          <w:rFonts w:hint="eastAsia"/>
          <w:color w:val="000000" w:themeColor="text1"/>
          <w:highlight w:val="none"/>
          <w:lang w:val="en-US" w:eastAsia="zh-CN"/>
        </w:rPr>
        <w:t>）</w:t>
      </w:r>
      <w:r>
        <w:rPr>
          <w:rFonts w:hint="default"/>
          <w:color w:val="000000" w:themeColor="text1"/>
          <w:highlight w:val="none"/>
          <w:lang w:val="en-US" w:eastAsia="zh-CN"/>
        </w:rPr>
        <w:t>以外的路段，评价等级为三级</w:t>
      </w:r>
      <w:r>
        <w:rPr>
          <w:rFonts w:hint="eastAsia"/>
          <w:color w:val="000000" w:themeColor="text1"/>
          <w:highlight w:val="none"/>
          <w:lang w:val="en-US" w:eastAsia="zh-CN"/>
        </w:rPr>
        <w:t>；</w:t>
      </w:r>
    </w:p>
    <w:p w14:paraId="7728D9B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e）</w:t>
      </w:r>
      <w:r>
        <w:rPr>
          <w:rFonts w:hint="default"/>
          <w:color w:val="000000" w:themeColor="text1"/>
          <w:highlight w:val="none"/>
          <w:lang w:val="en-US" w:eastAsia="zh-CN"/>
        </w:rPr>
        <w:t>当同一路段评价等级判定同时符合上述多种情况时，采用其中最高的评价等级</w:t>
      </w:r>
      <w:r>
        <w:rPr>
          <w:rFonts w:hint="eastAsia"/>
          <w:color w:val="000000" w:themeColor="text1"/>
          <w:highlight w:val="none"/>
          <w:lang w:val="en-US" w:eastAsia="zh-CN"/>
        </w:rPr>
        <w:t>；</w:t>
      </w:r>
    </w:p>
    <w:p w14:paraId="228397BB">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f）</w:t>
      </w:r>
      <w:r>
        <w:rPr>
          <w:rFonts w:hint="default"/>
          <w:color w:val="000000" w:themeColor="text1"/>
          <w:highlight w:val="none"/>
          <w:lang w:val="en-US" w:eastAsia="zh-CN"/>
        </w:rPr>
        <w:t>地下穿越或地表跨越生态敏感区，在生态敏感区范围内无永久占地、临时用地的，评价等级可下调一级。</w:t>
      </w:r>
      <w:r>
        <w:rPr>
          <w:rFonts w:hint="eastAsia"/>
          <w:color w:val="000000" w:themeColor="text1"/>
          <w:highlight w:val="none"/>
          <w:lang w:val="en-US" w:eastAsia="zh-CN"/>
        </w:rPr>
        <w:t xml:space="preserve"> </w:t>
      </w:r>
    </w:p>
    <w:p w14:paraId="5312F9FB">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项目新增临时占地</w:t>
      </w:r>
      <w:r>
        <w:rPr>
          <w:rFonts w:hint="default"/>
          <w:color w:val="000000" w:themeColor="text1"/>
          <w:highlight w:val="none"/>
          <w:lang w:val="en-US" w:eastAsia="zh-CN"/>
        </w:rPr>
        <w:t>0.</w:t>
      </w:r>
      <w:r>
        <w:rPr>
          <w:rFonts w:hint="eastAsia"/>
          <w:color w:val="000000" w:themeColor="text1"/>
          <w:highlight w:val="none"/>
          <w:lang w:val="en-US" w:eastAsia="zh-CN"/>
        </w:rPr>
        <w:t>0437</w:t>
      </w:r>
      <w:r>
        <w:rPr>
          <w:rFonts w:hint="default"/>
          <w:color w:val="000000" w:themeColor="text1"/>
          <w:highlight w:val="none"/>
          <w:lang w:val="en-US" w:eastAsia="zh-CN"/>
        </w:rPr>
        <w:t>km</w:t>
      </w:r>
      <w:r>
        <w:rPr>
          <w:rFonts w:hint="default"/>
          <w:color w:val="000000" w:themeColor="text1"/>
          <w:highlight w:val="none"/>
          <w:vertAlign w:val="superscript"/>
          <w:lang w:val="en-US" w:eastAsia="zh-CN"/>
        </w:rPr>
        <w:t>2</w:t>
      </w:r>
      <w:r>
        <w:rPr>
          <w:rFonts w:hint="eastAsia"/>
          <w:color w:val="000000" w:themeColor="text1"/>
          <w:highlight w:val="none"/>
          <w:lang w:val="en-US" w:eastAsia="zh-CN"/>
        </w:rPr>
        <w:t>，新增永久占地</w:t>
      </w:r>
      <w:r>
        <w:rPr>
          <w:rFonts w:hint="default"/>
          <w:color w:val="000000" w:themeColor="text1"/>
          <w:highlight w:val="none"/>
          <w:lang w:val="en-US" w:eastAsia="zh-CN"/>
        </w:rPr>
        <w:t>0.</w:t>
      </w:r>
      <w:r>
        <w:rPr>
          <w:rFonts w:hint="eastAsia"/>
          <w:color w:val="000000" w:themeColor="text1"/>
          <w:highlight w:val="none"/>
          <w:lang w:val="en-US" w:eastAsia="zh-CN"/>
        </w:rPr>
        <w:t>191083</w:t>
      </w:r>
      <w:r>
        <w:rPr>
          <w:rFonts w:hint="default"/>
          <w:color w:val="000000" w:themeColor="text1"/>
          <w:highlight w:val="none"/>
          <w:lang w:val="en-US" w:eastAsia="zh-CN"/>
        </w:rPr>
        <w:t>m</w:t>
      </w:r>
      <w:r>
        <w:rPr>
          <w:rFonts w:hint="default"/>
          <w:color w:val="000000" w:themeColor="text1"/>
          <w:highlight w:val="none"/>
          <w:vertAlign w:val="superscript"/>
          <w:lang w:val="en-US" w:eastAsia="zh-CN"/>
        </w:rPr>
        <w:t>2</w:t>
      </w:r>
      <w:r>
        <w:rPr>
          <w:rFonts w:hint="eastAsia"/>
          <w:color w:val="000000" w:themeColor="text1"/>
          <w:highlight w:val="none"/>
          <w:lang w:val="en-US" w:eastAsia="zh-CN"/>
        </w:rPr>
        <w:t>，项目不涉及国家公园、自然保护区、世界自然遗产、重要生境；不涉及自然公园；不涉及生态保护红线，地下水水位或土壤影响范围内无天然林、公益林、湿地等生态保护目标。项目不属于上述“</w:t>
      </w:r>
      <w:r>
        <w:rPr>
          <w:rFonts w:hint="default"/>
          <w:color w:val="000000" w:themeColor="text1"/>
          <w:highlight w:val="none"/>
          <w:lang w:val="en-US" w:eastAsia="zh-CN"/>
        </w:rPr>
        <w:t>a</w:t>
      </w:r>
      <w:r>
        <w:rPr>
          <w:rFonts w:hint="eastAsia"/>
          <w:color w:val="000000" w:themeColor="text1"/>
          <w:highlight w:val="none"/>
          <w:lang w:val="en-US" w:eastAsia="zh-CN"/>
        </w:rPr>
        <w:t>）、</w:t>
      </w:r>
      <w:r>
        <w:rPr>
          <w:rFonts w:hint="default"/>
          <w:color w:val="000000" w:themeColor="text1"/>
          <w:highlight w:val="none"/>
          <w:lang w:val="en-US" w:eastAsia="zh-CN"/>
        </w:rPr>
        <w:t>b</w:t>
      </w:r>
      <w:r>
        <w:rPr>
          <w:rFonts w:hint="eastAsia"/>
          <w:color w:val="000000" w:themeColor="text1"/>
          <w:highlight w:val="none"/>
          <w:lang w:val="en-US" w:eastAsia="zh-CN"/>
        </w:rPr>
        <w:t>）、</w:t>
      </w:r>
      <w:r>
        <w:rPr>
          <w:rFonts w:hint="default"/>
          <w:color w:val="000000" w:themeColor="text1"/>
          <w:highlight w:val="none"/>
          <w:lang w:val="en-US" w:eastAsia="zh-CN"/>
        </w:rPr>
        <w:t>c</w:t>
      </w:r>
      <w:r>
        <w:rPr>
          <w:rFonts w:hint="eastAsia"/>
          <w:color w:val="000000" w:themeColor="text1"/>
          <w:highlight w:val="none"/>
          <w:lang w:val="en-US" w:eastAsia="zh-CN"/>
        </w:rPr>
        <w:t>）”，属于“d）”，根据</w:t>
      </w:r>
      <w:r>
        <w:rPr>
          <w:rFonts w:hint="eastAsia"/>
          <w:color w:val="000000" w:themeColor="text1"/>
          <w:highlight w:val="none"/>
          <w:lang w:eastAsia="zh-CN"/>
        </w:rPr>
        <w:t>《环境影响评价技术导则 公路建设项目》（HJ 1358-2024）</w:t>
      </w:r>
      <w:r>
        <w:rPr>
          <w:rFonts w:hint="eastAsia"/>
          <w:color w:val="000000" w:themeColor="text1"/>
          <w:highlight w:val="none"/>
          <w:lang w:val="en-US" w:eastAsia="zh-CN"/>
        </w:rPr>
        <w:t>相关内容，判定为项目拟选路线全线陆生生态评价等级及水生生态评价等级均为三级。</w:t>
      </w:r>
    </w:p>
    <w:p w14:paraId="56E213D1">
      <w:pPr>
        <w:pStyle w:val="4"/>
        <w:pageBreakBefore w:val="0"/>
        <w:wordWrap/>
        <w:topLinePunct w:val="0"/>
        <w:bidi w:val="0"/>
        <w:spacing w:before="120" w:line="360" w:lineRule="auto"/>
        <w:rPr>
          <w:rFonts w:hint="default" w:ascii="Times New Roman" w:hAnsi="Times New Roman" w:cs="Times New Roman"/>
          <w:color w:val="000000" w:themeColor="text1"/>
          <w:highlight w:val="none"/>
        </w:rPr>
      </w:pPr>
      <w:bookmarkStart w:id="143" w:name="_Toc11402"/>
      <w:bookmarkStart w:id="144" w:name="_Toc2669"/>
      <w:r>
        <w:rPr>
          <w:rFonts w:hint="default" w:ascii="Times New Roman" w:hAnsi="Times New Roman" w:cs="Times New Roman"/>
          <w:color w:val="000000" w:themeColor="text1"/>
          <w:highlight w:val="none"/>
        </w:rPr>
        <w:t>2.4.</w:t>
      </w:r>
      <w:r>
        <w:rPr>
          <w:rFonts w:hint="eastAsia" w:cs="Times New Roman"/>
          <w:color w:val="000000" w:themeColor="text1"/>
          <w:highlight w:val="none"/>
          <w:lang w:val="en-US" w:eastAsia="zh-CN"/>
        </w:rPr>
        <w:t>5</w:t>
      </w:r>
      <w:r>
        <w:rPr>
          <w:rFonts w:hint="default" w:ascii="Times New Roman" w:hAnsi="Times New Roman" w:cs="Times New Roman"/>
          <w:color w:val="000000" w:themeColor="text1"/>
          <w:highlight w:val="none"/>
        </w:rPr>
        <w:t>土壤环境</w:t>
      </w:r>
    </w:p>
    <w:p w14:paraId="3536F475">
      <w:pPr>
        <w:pageBreakBefore w:val="0"/>
        <w:wordWrap/>
        <w:topLinePunct w:val="0"/>
        <w:bidi w:val="0"/>
        <w:spacing w:line="360" w:lineRule="auto"/>
        <w:ind w:firstLine="472"/>
        <w:rPr>
          <w:rFonts w:hint="eastAsia" w:cs="Times New Roman"/>
          <w:color w:val="000000" w:themeColor="text1"/>
          <w:spacing w:val="-2"/>
          <w:highlight w:val="none"/>
          <w:lang w:eastAsia="zh-CN"/>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rFonts w:hint="default" w:ascii="Times New Roman" w:hAnsi="Times New Roman" w:cs="Times New Roman"/>
          <w:color w:val="000000" w:themeColor="text1"/>
          <w:spacing w:val="-2"/>
          <w:highlight w:val="none"/>
        </w:rPr>
        <w:t>土壤环境影响评价应分别对加油站区域和其他区段确定评价等级，等级判定应符合下列规定</w:t>
      </w:r>
      <w:r>
        <w:rPr>
          <w:rFonts w:hint="eastAsia" w:cs="Times New Roman"/>
          <w:color w:val="000000" w:themeColor="text1"/>
          <w:spacing w:val="-2"/>
          <w:highlight w:val="none"/>
          <w:lang w:eastAsia="zh-CN"/>
        </w:rPr>
        <w:t>：</w:t>
      </w:r>
    </w:p>
    <w:p w14:paraId="0DE8B90C">
      <w:pPr>
        <w:pageBreakBefore w:val="0"/>
        <w:wordWrap/>
        <w:topLinePunct w:val="0"/>
        <w:bidi w:val="0"/>
        <w:spacing w:line="360" w:lineRule="auto"/>
        <w:ind w:firstLine="472"/>
        <w:rPr>
          <w:rFonts w:hint="eastAsia" w:ascii="Times New Roman" w:hAnsi="Times New Roman" w:eastAsia="宋体" w:cs="Times New Roman"/>
          <w:color w:val="000000" w:themeColor="text1"/>
          <w:spacing w:val="-2"/>
          <w:highlight w:val="none"/>
          <w:lang w:eastAsia="zh-CN"/>
        </w:rPr>
      </w:pPr>
      <w:r>
        <w:rPr>
          <w:rFonts w:hint="default"/>
          <w:color w:val="000000" w:themeColor="text1"/>
          <w:highlight w:val="none"/>
          <w:lang w:val="en-US" w:eastAsia="zh-CN"/>
        </w:rPr>
        <w:t>a</w:t>
      </w:r>
      <w:r>
        <w:rPr>
          <w:rFonts w:hint="eastAsia"/>
          <w:color w:val="000000" w:themeColor="text1"/>
          <w:highlight w:val="none"/>
          <w:lang w:val="en-US" w:eastAsia="zh-CN"/>
        </w:rPr>
        <w:t>）</w:t>
      </w:r>
      <w:r>
        <w:rPr>
          <w:rFonts w:hint="default" w:ascii="Times New Roman" w:hAnsi="Times New Roman" w:cs="Times New Roman"/>
          <w:color w:val="000000" w:themeColor="text1"/>
          <w:spacing w:val="-2"/>
          <w:highlight w:val="none"/>
        </w:rPr>
        <w:t>加油站周边土壤环境敏感程度为HJ964中</w:t>
      </w:r>
      <w:r>
        <w:rPr>
          <w:rFonts w:hint="eastAsia" w:cs="Times New Roman"/>
          <w:color w:val="000000" w:themeColor="text1"/>
          <w:spacing w:val="-2"/>
          <w:highlight w:val="none"/>
          <w:lang w:eastAsia="zh-CN"/>
        </w:rPr>
        <w:t>“</w:t>
      </w:r>
      <w:r>
        <w:rPr>
          <w:rFonts w:hint="default" w:ascii="Times New Roman" w:hAnsi="Times New Roman" w:cs="Times New Roman"/>
          <w:color w:val="000000" w:themeColor="text1"/>
          <w:spacing w:val="-2"/>
          <w:highlight w:val="none"/>
        </w:rPr>
        <w:t>敏感</w:t>
      </w:r>
      <w:r>
        <w:rPr>
          <w:rFonts w:hint="eastAsia" w:cs="Times New Roman"/>
          <w:color w:val="000000" w:themeColor="text1"/>
          <w:spacing w:val="-2"/>
          <w:highlight w:val="none"/>
          <w:lang w:eastAsia="zh-CN"/>
        </w:rPr>
        <w:t>”</w:t>
      </w:r>
      <w:r>
        <w:rPr>
          <w:rFonts w:hint="default" w:ascii="Times New Roman" w:hAnsi="Times New Roman" w:cs="Times New Roman"/>
          <w:color w:val="000000" w:themeColor="text1"/>
          <w:spacing w:val="-2"/>
          <w:highlight w:val="none"/>
        </w:rPr>
        <w:t>且未按照要求采取严格防泄漏、防渗等环保措施的，按照HJ964中污染影响型的相关规定确定评价等级</w:t>
      </w:r>
      <w:r>
        <w:rPr>
          <w:rFonts w:hint="eastAsia" w:cs="Times New Roman"/>
          <w:color w:val="000000" w:themeColor="text1"/>
          <w:spacing w:val="-2"/>
          <w:highlight w:val="none"/>
          <w:lang w:eastAsia="zh-CN"/>
        </w:rPr>
        <w:t>；</w:t>
      </w:r>
      <w:r>
        <w:rPr>
          <w:rFonts w:hint="default" w:ascii="Times New Roman" w:hAnsi="Times New Roman" w:cs="Times New Roman"/>
          <w:color w:val="000000" w:themeColor="text1"/>
          <w:spacing w:val="-2"/>
          <w:highlight w:val="none"/>
        </w:rPr>
        <w:t>其他加油站不必进行评价等级判定</w:t>
      </w:r>
      <w:r>
        <w:rPr>
          <w:rFonts w:hint="eastAsia" w:cs="Times New Roman"/>
          <w:color w:val="000000" w:themeColor="text1"/>
          <w:spacing w:val="-2"/>
          <w:highlight w:val="none"/>
          <w:lang w:eastAsia="zh-CN"/>
        </w:rPr>
        <w:t>；</w:t>
      </w:r>
    </w:p>
    <w:p w14:paraId="341D3780">
      <w:pPr>
        <w:pageBreakBefore w:val="0"/>
        <w:wordWrap/>
        <w:topLinePunct w:val="0"/>
        <w:bidi w:val="0"/>
        <w:spacing w:line="360" w:lineRule="auto"/>
        <w:ind w:firstLine="472"/>
        <w:rPr>
          <w:rFonts w:hint="default" w:ascii="Times New Roman" w:hAnsi="Times New Roman" w:cs="Times New Roman"/>
          <w:color w:val="000000" w:themeColor="text1"/>
          <w:spacing w:val="-2"/>
          <w:highlight w:val="none"/>
        </w:rPr>
      </w:pPr>
      <w:r>
        <w:rPr>
          <w:rFonts w:hint="default"/>
          <w:color w:val="000000" w:themeColor="text1"/>
          <w:highlight w:val="none"/>
          <w:lang w:val="en-US" w:eastAsia="zh-CN"/>
        </w:rPr>
        <w:t>b</w:t>
      </w:r>
      <w:r>
        <w:rPr>
          <w:rFonts w:hint="eastAsia"/>
          <w:color w:val="000000" w:themeColor="text1"/>
          <w:highlight w:val="none"/>
          <w:lang w:val="en-US" w:eastAsia="zh-CN"/>
        </w:rPr>
        <w:t>）</w:t>
      </w:r>
      <w:r>
        <w:rPr>
          <w:rFonts w:hint="default" w:ascii="Times New Roman" w:hAnsi="Times New Roman" w:cs="Times New Roman"/>
          <w:color w:val="000000" w:themeColor="text1"/>
          <w:spacing w:val="-2"/>
          <w:highlight w:val="none"/>
        </w:rPr>
        <w:t>其他区段，不必进行评价等级判定。</w:t>
      </w:r>
    </w:p>
    <w:p w14:paraId="1F9D2036">
      <w:pPr>
        <w:pageBreakBefore w:val="0"/>
        <w:wordWrap/>
        <w:topLinePunct w:val="0"/>
        <w:bidi w:val="0"/>
        <w:spacing w:line="360" w:lineRule="auto"/>
        <w:ind w:firstLine="472"/>
        <w:rPr>
          <w:rFonts w:hint="default" w:ascii="Times New Roman" w:hAnsi="Times New Roman" w:cs="Times New Roman"/>
          <w:color w:val="000000" w:themeColor="text1"/>
          <w:highlight w:val="none"/>
        </w:rPr>
      </w:pPr>
      <w:r>
        <w:rPr>
          <w:rFonts w:hint="eastAsia"/>
          <w:color w:val="000000" w:themeColor="text1"/>
          <w:highlight w:val="none"/>
          <w:lang w:val="en-US" w:eastAsia="zh-CN"/>
        </w:rPr>
        <w:t>本项目不设加油站，不必进行评价等级判定</w:t>
      </w:r>
      <w:r>
        <w:rPr>
          <w:rFonts w:hint="eastAsia"/>
          <w:color w:val="000000" w:themeColor="text1"/>
          <w:highlight w:val="none"/>
        </w:rPr>
        <w:t>。</w:t>
      </w:r>
    </w:p>
    <w:p w14:paraId="044C0436">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2.4.</w:t>
      </w:r>
      <w:r>
        <w:rPr>
          <w:rFonts w:hint="eastAsia"/>
          <w:color w:val="000000" w:themeColor="text1"/>
          <w:highlight w:val="none"/>
          <w:lang w:val="en-US" w:eastAsia="zh-CN"/>
        </w:rPr>
        <w:t>6大气环境、</w:t>
      </w:r>
      <w:r>
        <w:rPr>
          <w:color w:val="000000" w:themeColor="text1"/>
          <w:highlight w:val="none"/>
        </w:rPr>
        <w:t>环境风险</w:t>
      </w:r>
      <w:bookmarkEnd w:id="143"/>
      <w:bookmarkEnd w:id="144"/>
    </w:p>
    <w:p w14:paraId="13F9F744">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rFonts w:hint="eastAsia"/>
          <w:color w:val="000000" w:themeColor="text1"/>
          <w:highlight w:val="none"/>
        </w:rPr>
        <w:t>大气环境影响评价、环境风险评价不必进行评价等级判定</w:t>
      </w:r>
      <w:r>
        <w:rPr>
          <w:color w:val="000000" w:themeColor="text1"/>
          <w:highlight w:val="none"/>
        </w:rPr>
        <w:t>。</w:t>
      </w:r>
    </w:p>
    <w:p w14:paraId="4DF56252">
      <w:pPr>
        <w:pStyle w:val="3"/>
        <w:pageBreakBefore w:val="0"/>
        <w:wordWrap/>
        <w:topLinePunct w:val="0"/>
        <w:bidi w:val="0"/>
        <w:spacing w:before="12" w:after="120" w:line="360" w:lineRule="auto"/>
        <w:rPr>
          <w:color w:val="000000" w:themeColor="text1"/>
          <w:highlight w:val="none"/>
        </w:rPr>
      </w:pPr>
      <w:bookmarkStart w:id="145" w:name="_Toc30383"/>
      <w:bookmarkStart w:id="146" w:name="_Toc131317691"/>
      <w:bookmarkStart w:id="147" w:name="_Toc8416"/>
      <w:bookmarkStart w:id="148" w:name="_Toc19483"/>
      <w:bookmarkStart w:id="149" w:name="_Toc518574358"/>
      <w:bookmarkStart w:id="150" w:name="_Toc7197"/>
      <w:r>
        <w:rPr>
          <w:rFonts w:hint="eastAsia"/>
          <w:color w:val="000000" w:themeColor="text1"/>
          <w:highlight w:val="none"/>
        </w:rPr>
        <w:t>2.5</w:t>
      </w:r>
      <w:r>
        <w:rPr>
          <w:color w:val="000000" w:themeColor="text1"/>
          <w:highlight w:val="none"/>
        </w:rPr>
        <w:t>评价范围</w:t>
      </w:r>
      <w:bookmarkEnd w:id="145"/>
      <w:bookmarkEnd w:id="146"/>
      <w:bookmarkEnd w:id="147"/>
      <w:bookmarkEnd w:id="148"/>
      <w:bookmarkEnd w:id="149"/>
      <w:bookmarkEnd w:id="150"/>
    </w:p>
    <w:p w14:paraId="50432B7E">
      <w:pPr>
        <w:pStyle w:val="4"/>
        <w:pageBreakBefore w:val="0"/>
        <w:wordWrap/>
        <w:topLinePunct w:val="0"/>
        <w:bidi w:val="0"/>
        <w:spacing w:before="120" w:line="360" w:lineRule="auto"/>
        <w:rPr>
          <w:color w:val="000000" w:themeColor="text1"/>
          <w:highlight w:val="none"/>
        </w:rPr>
      </w:pPr>
      <w:bookmarkStart w:id="151" w:name="_Toc2942"/>
      <w:bookmarkStart w:id="152" w:name="_Toc24891"/>
      <w:r>
        <w:rPr>
          <w:rFonts w:hint="eastAsia"/>
          <w:color w:val="000000" w:themeColor="text1"/>
          <w:highlight w:val="none"/>
        </w:rPr>
        <w:t>2.5.</w:t>
      </w:r>
      <w:r>
        <w:rPr>
          <w:rFonts w:hint="eastAsia"/>
          <w:color w:val="000000" w:themeColor="text1"/>
          <w:highlight w:val="none"/>
          <w:lang w:val="en-US" w:eastAsia="zh-CN"/>
        </w:rPr>
        <w:t>1地表</w:t>
      </w:r>
      <w:r>
        <w:rPr>
          <w:color w:val="000000" w:themeColor="text1"/>
          <w:highlight w:val="none"/>
        </w:rPr>
        <w:t>水环境</w:t>
      </w:r>
      <w:bookmarkEnd w:id="151"/>
      <w:bookmarkEnd w:id="152"/>
    </w:p>
    <w:p w14:paraId="16E7EE1D">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color w:val="000000" w:themeColor="text1"/>
          <w:highlight w:val="none"/>
        </w:rPr>
        <w:t>本项目道路沿线跨越水体为</w:t>
      </w:r>
      <w:bookmarkStart w:id="153" w:name="_Hlk70496619"/>
      <w:r>
        <w:rPr>
          <w:rFonts w:hint="eastAsia"/>
          <w:color w:val="000000" w:themeColor="text1"/>
          <w:highlight w:val="none"/>
          <w:lang w:val="en-US" w:eastAsia="zh-CN"/>
        </w:rPr>
        <w:t>路北一支干渠和朝鲜河</w:t>
      </w:r>
      <w:bookmarkEnd w:id="153"/>
      <w:r>
        <w:rPr>
          <w:color w:val="000000" w:themeColor="text1"/>
          <w:highlight w:val="none"/>
        </w:rPr>
        <w:t>。本项目将桥梁跨越水体上游</w:t>
      </w:r>
      <w:r>
        <w:rPr>
          <w:rFonts w:hint="eastAsia"/>
          <w:color w:val="000000" w:themeColor="text1"/>
          <w:highlight w:val="none"/>
          <w:lang w:val="en-US" w:eastAsia="zh-CN"/>
        </w:rPr>
        <w:t>2</w:t>
      </w:r>
      <w:r>
        <w:rPr>
          <w:color w:val="000000" w:themeColor="text1"/>
          <w:highlight w:val="none"/>
        </w:rPr>
        <w:t>00m至下游1000m范围定为地表水评价范围</w:t>
      </w:r>
      <w:r>
        <w:rPr>
          <w:rFonts w:hint="eastAsia"/>
          <w:color w:val="000000" w:themeColor="text1"/>
          <w:highlight w:val="none"/>
        </w:rPr>
        <w:t>。</w:t>
      </w:r>
    </w:p>
    <w:p w14:paraId="1D0AA8AE">
      <w:pPr>
        <w:pStyle w:val="4"/>
        <w:pageBreakBefore w:val="0"/>
        <w:wordWrap/>
        <w:topLinePunct w:val="0"/>
        <w:bidi w:val="0"/>
        <w:spacing w:before="120" w:line="360" w:lineRule="auto"/>
        <w:rPr>
          <w:color w:val="000000" w:themeColor="text1"/>
          <w:highlight w:val="none"/>
        </w:rPr>
      </w:pPr>
      <w:bookmarkStart w:id="154" w:name="_Toc27196"/>
      <w:bookmarkStart w:id="155" w:name="_Toc12757"/>
      <w:r>
        <w:rPr>
          <w:rFonts w:hint="eastAsia"/>
          <w:color w:val="000000" w:themeColor="text1"/>
          <w:highlight w:val="none"/>
        </w:rPr>
        <w:t>2.5.</w:t>
      </w:r>
      <w:r>
        <w:rPr>
          <w:rFonts w:hint="eastAsia"/>
          <w:color w:val="000000" w:themeColor="text1"/>
          <w:highlight w:val="none"/>
          <w:lang w:val="en-US" w:eastAsia="zh-CN"/>
        </w:rPr>
        <w:t>2地下水</w:t>
      </w:r>
      <w:r>
        <w:rPr>
          <w:color w:val="000000" w:themeColor="text1"/>
          <w:highlight w:val="none"/>
        </w:rPr>
        <w:t>环境</w:t>
      </w:r>
    </w:p>
    <w:p w14:paraId="460C0B90">
      <w:pPr>
        <w:pageBreakBefore w:val="0"/>
        <w:wordWrap/>
        <w:topLinePunct w:val="0"/>
        <w:bidi w:val="0"/>
        <w:spacing w:line="360" w:lineRule="auto"/>
        <w:ind w:firstLine="472"/>
        <w:rPr>
          <w:rFonts w:hint="eastAsia"/>
          <w:color w:val="000000" w:themeColor="text1"/>
          <w:highlight w:val="none"/>
          <w:lang w:val="en-US" w:eastAsia="zh-CN"/>
        </w:rPr>
      </w:pPr>
      <w:r>
        <w:rPr>
          <w:rFonts w:hint="eastAsia"/>
          <w:color w:val="000000" w:themeColor="text1"/>
          <w:highlight w:val="none"/>
          <w:lang w:val="en-US" w:eastAsia="zh-CN"/>
        </w:rPr>
        <w:t>根据《环境影响评价技术导则 公路建设项目》（HJ 1358-2024），本项目不设加油站，不设置评价范围</w:t>
      </w:r>
      <w:r>
        <w:rPr>
          <w:rFonts w:hint="eastAsia"/>
          <w:color w:val="000000" w:themeColor="text1"/>
          <w:highlight w:val="none"/>
        </w:rPr>
        <w:t>。</w:t>
      </w:r>
    </w:p>
    <w:p w14:paraId="0F55EC70">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2.5.</w:t>
      </w:r>
      <w:r>
        <w:rPr>
          <w:rFonts w:hint="eastAsia"/>
          <w:color w:val="000000" w:themeColor="text1"/>
          <w:highlight w:val="none"/>
          <w:lang w:val="en-US" w:eastAsia="zh-CN"/>
        </w:rPr>
        <w:t>3</w:t>
      </w:r>
      <w:r>
        <w:rPr>
          <w:color w:val="000000" w:themeColor="text1"/>
          <w:highlight w:val="none"/>
        </w:rPr>
        <w:t>声环境</w:t>
      </w:r>
      <w:bookmarkEnd w:id="154"/>
      <w:bookmarkEnd w:id="155"/>
    </w:p>
    <w:p w14:paraId="41BDA4AC">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color w:val="000000" w:themeColor="text1"/>
          <w:highlight w:val="none"/>
        </w:rPr>
        <w:t>本次评价施工期将施工场地</w:t>
      </w:r>
      <w:r>
        <w:rPr>
          <w:rFonts w:hint="eastAsia"/>
          <w:color w:val="000000" w:themeColor="text1"/>
          <w:highlight w:val="none"/>
        </w:rPr>
        <w:t>（含施工驻地、拌合站、预制场）和</w:t>
      </w:r>
      <w:r>
        <w:rPr>
          <w:color w:val="000000" w:themeColor="text1"/>
          <w:highlight w:val="none"/>
        </w:rPr>
        <w:t>施工便道外200m</w:t>
      </w:r>
      <w:r>
        <w:rPr>
          <w:rFonts w:hint="eastAsia"/>
          <w:color w:val="000000" w:themeColor="text1"/>
          <w:highlight w:val="none"/>
        </w:rPr>
        <w:t>范围内</w:t>
      </w:r>
      <w:r>
        <w:rPr>
          <w:color w:val="000000" w:themeColor="text1"/>
          <w:highlight w:val="none"/>
        </w:rPr>
        <w:t>定为评价范围；运营期</w:t>
      </w:r>
      <w:r>
        <w:rPr>
          <w:rFonts w:hint="eastAsia"/>
          <w:color w:val="000000" w:themeColor="text1"/>
          <w:highlight w:val="none"/>
        </w:rPr>
        <w:t>根据达标距离确定，</w:t>
      </w:r>
      <w:r>
        <w:rPr>
          <w:color w:val="000000" w:themeColor="text1"/>
          <w:highlight w:val="none"/>
        </w:rPr>
        <w:t>将道路中心线</w:t>
      </w:r>
      <w:r>
        <w:rPr>
          <w:rFonts w:hint="eastAsia"/>
          <w:color w:val="000000" w:themeColor="text1"/>
          <w:highlight w:val="none"/>
          <w:lang w:val="en-US" w:eastAsia="zh-CN"/>
        </w:rPr>
        <w:t>外各</w:t>
      </w:r>
      <w:r>
        <w:rPr>
          <w:color w:val="000000" w:themeColor="text1"/>
          <w:highlight w:val="none"/>
        </w:rPr>
        <w:t>两侧2</w:t>
      </w:r>
      <w:r>
        <w:rPr>
          <w:rFonts w:hint="eastAsia"/>
          <w:color w:val="000000" w:themeColor="text1"/>
          <w:highlight w:val="none"/>
          <w:lang w:val="en-US" w:eastAsia="zh-CN"/>
        </w:rPr>
        <w:t>0</w:t>
      </w:r>
      <w:r>
        <w:rPr>
          <w:rFonts w:hint="eastAsia"/>
          <w:color w:val="000000" w:themeColor="text1"/>
          <w:highlight w:val="none"/>
        </w:rPr>
        <w:t>0</w:t>
      </w:r>
      <w:r>
        <w:rPr>
          <w:color w:val="000000" w:themeColor="text1"/>
          <w:highlight w:val="none"/>
        </w:rPr>
        <w:t>m</w:t>
      </w:r>
      <w:r>
        <w:rPr>
          <w:rFonts w:hint="eastAsia"/>
          <w:color w:val="000000" w:themeColor="text1"/>
          <w:highlight w:val="none"/>
        </w:rPr>
        <w:t>范围内</w:t>
      </w:r>
      <w:r>
        <w:rPr>
          <w:color w:val="000000" w:themeColor="text1"/>
          <w:highlight w:val="none"/>
        </w:rPr>
        <w:t>定为评价范围。</w:t>
      </w:r>
    </w:p>
    <w:p w14:paraId="43068FD2">
      <w:pPr>
        <w:pStyle w:val="4"/>
        <w:pageBreakBefore w:val="0"/>
        <w:wordWrap/>
        <w:topLinePunct w:val="0"/>
        <w:bidi w:val="0"/>
        <w:spacing w:before="120" w:line="360" w:lineRule="auto"/>
        <w:rPr>
          <w:color w:val="000000" w:themeColor="text1"/>
          <w:highlight w:val="none"/>
        </w:rPr>
      </w:pPr>
      <w:bookmarkStart w:id="156" w:name="_Toc5876"/>
      <w:bookmarkStart w:id="157" w:name="_Toc21060"/>
      <w:r>
        <w:rPr>
          <w:rFonts w:hint="eastAsia"/>
          <w:color w:val="000000" w:themeColor="text1"/>
          <w:highlight w:val="none"/>
        </w:rPr>
        <w:t>2.5.</w:t>
      </w:r>
      <w:r>
        <w:rPr>
          <w:rFonts w:hint="eastAsia"/>
          <w:color w:val="000000" w:themeColor="text1"/>
          <w:highlight w:val="none"/>
          <w:lang w:val="en-US" w:eastAsia="zh-CN"/>
        </w:rPr>
        <w:t>4</w:t>
      </w:r>
      <w:r>
        <w:rPr>
          <w:color w:val="000000" w:themeColor="text1"/>
          <w:highlight w:val="none"/>
        </w:rPr>
        <w:t>生态环境</w:t>
      </w:r>
      <w:bookmarkEnd w:id="156"/>
      <w:bookmarkEnd w:id="157"/>
    </w:p>
    <w:p w14:paraId="1C87F5B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w:t>
      </w:r>
      <w:r>
        <w:rPr>
          <w:rFonts w:hint="eastAsia"/>
          <w:color w:val="000000" w:themeColor="text1"/>
          <w:highlight w:val="none"/>
          <w:lang w:eastAsia="zh-CN"/>
        </w:rPr>
        <w:t>《环境影响评价技术导则 公路建设项目》（HJ 1358-2024），</w:t>
      </w:r>
      <w:r>
        <w:rPr>
          <w:rFonts w:hint="eastAsia"/>
          <w:color w:val="000000" w:themeColor="text1"/>
          <w:highlight w:val="none"/>
          <w:lang w:val="en-US" w:eastAsia="zh-CN"/>
        </w:rPr>
        <w:t>本项目永久占地和临时占地均不涉及生态敏感区，项目生态评价范围：以道路中心线向两侧各外延</w:t>
      </w:r>
      <w:r>
        <w:rPr>
          <w:rFonts w:hint="default"/>
          <w:color w:val="000000" w:themeColor="text1"/>
          <w:highlight w:val="none"/>
          <w:lang w:val="en-US" w:eastAsia="zh-CN"/>
        </w:rPr>
        <w:t>300m</w:t>
      </w:r>
      <w:r>
        <w:rPr>
          <w:rFonts w:hint="eastAsia"/>
          <w:color w:val="000000" w:themeColor="text1"/>
          <w:highlight w:val="none"/>
          <w:lang w:val="en-US" w:eastAsia="zh-CN"/>
        </w:rPr>
        <w:t>为评价范围；临时占地区评价范围：用地边界外扩2</w:t>
      </w:r>
      <w:r>
        <w:rPr>
          <w:rFonts w:hint="default"/>
          <w:color w:val="000000" w:themeColor="text1"/>
          <w:highlight w:val="none"/>
          <w:lang w:val="en-US" w:eastAsia="zh-CN"/>
        </w:rPr>
        <w:t>00m</w:t>
      </w:r>
      <w:r>
        <w:rPr>
          <w:rFonts w:hint="eastAsia"/>
          <w:color w:val="000000" w:themeColor="text1"/>
          <w:highlight w:val="none"/>
          <w:lang w:val="en-US" w:eastAsia="zh-CN"/>
        </w:rPr>
        <w:t>范围。</w:t>
      </w:r>
    </w:p>
    <w:p w14:paraId="169BB98F">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2.5.</w:t>
      </w:r>
      <w:r>
        <w:rPr>
          <w:rFonts w:hint="eastAsia"/>
          <w:color w:val="000000" w:themeColor="text1"/>
          <w:highlight w:val="none"/>
          <w:lang w:val="en-US" w:eastAsia="zh-CN"/>
        </w:rPr>
        <w:t>5大气环境、</w:t>
      </w:r>
      <w:r>
        <w:rPr>
          <w:color w:val="000000" w:themeColor="text1"/>
          <w:highlight w:val="none"/>
        </w:rPr>
        <w:t>环境风险</w:t>
      </w:r>
    </w:p>
    <w:p w14:paraId="035AC39D">
      <w:pPr>
        <w:pageBreakBefore w:val="0"/>
        <w:wordWrap/>
        <w:topLinePunct w:val="0"/>
        <w:bidi w:val="0"/>
        <w:spacing w:line="360" w:lineRule="auto"/>
        <w:ind w:firstLine="472"/>
        <w:rPr>
          <w:rFonts w:hint="eastAsia" w:ascii="Times New Roman" w:hAnsi="Times New Roman" w:cs="Times New Roman"/>
          <w:color w:val="000000" w:themeColor="text1"/>
          <w:spacing w:val="-2"/>
          <w:highlight w:val="none"/>
          <w:lang w:val="en-US" w:eastAsia="zh-CN"/>
        </w:rPr>
      </w:pPr>
      <w:r>
        <w:rPr>
          <w:rFonts w:hint="eastAsia" w:ascii="Times New Roman" w:hAnsi="Times New Roman" w:cs="Times New Roman"/>
          <w:color w:val="000000" w:themeColor="text1"/>
          <w:spacing w:val="-2"/>
          <w:highlight w:val="none"/>
          <w:lang w:val="en-US" w:eastAsia="zh-CN"/>
        </w:rPr>
        <w:t>根据《环境影响评价技术导则 公路建设项目》（HJ 1358-2024），大气环境影响评价、环境风险评价不必确定评价范围。</w:t>
      </w:r>
    </w:p>
    <w:p w14:paraId="2EE995D0">
      <w:pPr>
        <w:pStyle w:val="3"/>
        <w:pageBreakBefore w:val="0"/>
        <w:wordWrap/>
        <w:topLinePunct w:val="0"/>
        <w:bidi w:val="0"/>
        <w:spacing w:before="12" w:after="120" w:line="360" w:lineRule="auto"/>
        <w:rPr>
          <w:color w:val="000000" w:themeColor="text1"/>
          <w:highlight w:val="none"/>
        </w:rPr>
      </w:pPr>
      <w:bookmarkStart w:id="158" w:name="_Toc27524"/>
      <w:bookmarkStart w:id="159" w:name="_Toc26549"/>
      <w:bookmarkStart w:id="160" w:name="_Toc11923"/>
      <w:r>
        <w:rPr>
          <w:rFonts w:hint="eastAsia"/>
          <w:color w:val="000000" w:themeColor="text1"/>
          <w:highlight w:val="none"/>
        </w:rPr>
        <w:t>2.6</w:t>
      </w:r>
      <w:r>
        <w:rPr>
          <w:color w:val="000000" w:themeColor="text1"/>
          <w:highlight w:val="none"/>
        </w:rPr>
        <w:t>环境功能区划</w:t>
      </w:r>
      <w:bookmarkEnd w:id="158"/>
      <w:bookmarkEnd w:id="159"/>
      <w:bookmarkEnd w:id="160"/>
    </w:p>
    <w:p w14:paraId="138047EA">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2.6.1</w:t>
      </w:r>
      <w:r>
        <w:rPr>
          <w:color w:val="000000" w:themeColor="text1"/>
          <w:highlight w:val="none"/>
        </w:rPr>
        <w:t>地表水环境</w:t>
      </w:r>
    </w:p>
    <w:p w14:paraId="1B5B20C2">
      <w:pPr>
        <w:pageBreakBefore w:val="0"/>
        <w:wordWrap/>
        <w:topLinePunct w:val="0"/>
        <w:bidi w:val="0"/>
        <w:spacing w:line="360" w:lineRule="auto"/>
        <w:rPr>
          <w:color w:val="000000" w:themeColor="text1"/>
          <w:szCs w:val="20"/>
          <w:highlight w:val="none"/>
        </w:rPr>
      </w:pPr>
      <w:r>
        <w:rPr>
          <w:rFonts w:hint="eastAsia"/>
          <w:color w:val="000000" w:themeColor="text1"/>
          <w:highlight w:val="none"/>
        </w:rPr>
        <w:t>项目区域涉及的</w:t>
      </w:r>
      <w:r>
        <w:rPr>
          <w:rFonts w:hint="eastAsia"/>
          <w:color w:val="000000" w:themeColor="text1"/>
          <w:highlight w:val="none"/>
          <w:lang w:val="en-US" w:eastAsia="zh-CN"/>
        </w:rPr>
        <w:t>路北一支干渠和朝鲜河均无</w:t>
      </w:r>
      <w:r>
        <w:rPr>
          <w:color w:val="000000" w:themeColor="text1"/>
          <w:highlight w:val="none"/>
        </w:rPr>
        <w:t>规划水体类别</w:t>
      </w:r>
      <w:r>
        <w:rPr>
          <w:rFonts w:hint="eastAsia"/>
          <w:color w:val="000000" w:themeColor="text1"/>
          <w:highlight w:val="none"/>
        </w:rPr>
        <w:t>，</w:t>
      </w:r>
      <w:r>
        <w:rPr>
          <w:rFonts w:hint="eastAsia"/>
          <w:color w:val="000000" w:themeColor="text1"/>
          <w:highlight w:val="none"/>
          <w:lang w:val="en-US" w:eastAsia="zh-CN"/>
        </w:rPr>
        <w:t>其</w:t>
      </w:r>
      <w:r>
        <w:rPr>
          <w:color w:val="000000" w:themeColor="text1"/>
          <w:szCs w:val="20"/>
          <w:highlight w:val="none"/>
        </w:rPr>
        <w:t>最终均汇入</w:t>
      </w:r>
      <w:r>
        <w:rPr>
          <w:rFonts w:hint="eastAsia"/>
          <w:color w:val="000000" w:themeColor="text1"/>
          <w:szCs w:val="20"/>
          <w:highlight w:val="none"/>
          <w:lang w:val="en-US" w:eastAsia="zh-CN"/>
        </w:rPr>
        <w:t>梧桐河</w:t>
      </w:r>
      <w:r>
        <w:rPr>
          <w:rFonts w:hint="eastAsia"/>
          <w:color w:val="000000" w:themeColor="text1"/>
          <w:szCs w:val="20"/>
          <w:highlight w:val="none"/>
        </w:rPr>
        <w:t>。</w:t>
      </w:r>
      <w:r>
        <w:rPr>
          <w:rFonts w:hint="eastAsia"/>
          <w:color w:val="000000" w:themeColor="text1"/>
          <w:kern w:val="0"/>
          <w:szCs w:val="20"/>
          <w:highlight w:val="none"/>
          <w:lang w:val="en-US" w:eastAsia="zh-CN" w:bidi="ar"/>
        </w:rPr>
        <w:t>根据《全国重要江河湖泊水功能区划（2011-2030年）（黑龙江省）》，</w:t>
      </w:r>
      <w:r>
        <w:rPr>
          <w:rFonts w:hint="eastAsia"/>
          <w:color w:val="000000" w:themeColor="text1"/>
          <w:highlight w:val="none"/>
          <w:lang w:val="en-US" w:eastAsia="zh-CN"/>
        </w:rPr>
        <w:t>梧桐河地表水体功能区划</w:t>
      </w:r>
      <w:r>
        <w:rPr>
          <w:rFonts w:hint="default" w:ascii="Times New Roman" w:hAnsi="Times New Roman" w:cs="Times New Roman"/>
          <w:color w:val="000000" w:themeColor="text1"/>
          <w:highlight w:val="none"/>
          <w:lang w:val="en-US" w:eastAsia="zh-CN"/>
        </w:rPr>
        <w:t>为</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类水体，</w:t>
      </w:r>
      <w:r>
        <w:rPr>
          <w:rFonts w:hint="eastAsia" w:cs="Times New Roman"/>
          <w:color w:val="000000" w:themeColor="text1"/>
          <w:highlight w:val="none"/>
          <w:lang w:val="en-US" w:eastAsia="zh-CN"/>
        </w:rPr>
        <w:t>因此本项目地表水体参照执行</w:t>
      </w:r>
      <w:r>
        <w:rPr>
          <w:color w:val="000000" w:themeColor="text1"/>
          <w:szCs w:val="20"/>
          <w:highlight w:val="none"/>
        </w:rPr>
        <w:t>《地表水环境质量标准》（GB3838-2002）中</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ascii="Times New Roman" w:hAnsi="Times New Roman" w:cs="Times New Roman"/>
          <w:color w:val="000000" w:themeColor="text1"/>
          <w:highlight w:val="none"/>
          <w:lang w:val="en-US" w:eastAsia="zh-CN"/>
        </w:rPr>
        <w:t>标准。</w:t>
      </w:r>
    </w:p>
    <w:p w14:paraId="2AA48567">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2.6.2</w:t>
      </w:r>
      <w:r>
        <w:rPr>
          <w:color w:val="000000" w:themeColor="text1"/>
          <w:highlight w:val="none"/>
        </w:rPr>
        <w:t>空气环境</w:t>
      </w:r>
    </w:p>
    <w:p w14:paraId="4187136E">
      <w:pPr>
        <w:pageBreakBefore w:val="0"/>
        <w:wordWrap/>
        <w:topLinePunct w:val="0"/>
        <w:bidi w:val="0"/>
        <w:spacing w:line="360" w:lineRule="auto"/>
        <w:rPr>
          <w:color w:val="000000" w:themeColor="text1"/>
          <w:szCs w:val="20"/>
          <w:highlight w:val="none"/>
        </w:rPr>
      </w:pPr>
      <w:r>
        <w:rPr>
          <w:rFonts w:hint="eastAsia"/>
          <w:color w:val="000000" w:themeColor="text1"/>
          <w:szCs w:val="20"/>
          <w:highlight w:val="none"/>
          <w:lang w:val="en-US" w:eastAsia="zh-CN"/>
        </w:rPr>
        <w:t>经调查，项目沿线暂无环境空气功能区划。项目沿线主要为乡村，项目不涉及自然保护区、风景名胜区等区域，根据《环境空气质量标准》（</w:t>
      </w:r>
      <w:r>
        <w:rPr>
          <w:rFonts w:hint="default"/>
          <w:color w:val="000000" w:themeColor="text1"/>
          <w:szCs w:val="20"/>
          <w:highlight w:val="none"/>
          <w:lang w:val="en-US" w:eastAsia="zh-CN"/>
        </w:rPr>
        <w:t>GB3095-2012</w:t>
      </w:r>
      <w:r>
        <w:rPr>
          <w:rFonts w:hint="eastAsia"/>
          <w:color w:val="000000" w:themeColor="text1"/>
          <w:szCs w:val="20"/>
          <w:highlight w:val="none"/>
          <w:lang w:val="en-US" w:eastAsia="zh-CN"/>
        </w:rPr>
        <w:t>）：“环境空气功能区划分为二类，一类区为自然保护区、风景名胜区和其他需要特殊保护的区域；二类区为居住区、商业交通居民混合区、文化区、工业区和农村地区”，本项目沿线评价范围为二类环境空气功能区。</w:t>
      </w:r>
    </w:p>
    <w:p w14:paraId="3EE9C4EA">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2.6.3</w:t>
      </w:r>
      <w:r>
        <w:rPr>
          <w:color w:val="000000" w:themeColor="text1"/>
          <w:highlight w:val="none"/>
        </w:rPr>
        <w:t>声环境</w:t>
      </w:r>
    </w:p>
    <w:p w14:paraId="0F2473D3">
      <w:pPr>
        <w:pageBreakBefore w:val="0"/>
        <w:numPr>
          <w:ilvl w:val="0"/>
          <w:numId w:val="0"/>
        </w:numPr>
        <w:wordWrap/>
        <w:topLinePunct w:val="0"/>
        <w:bidi w:val="0"/>
        <w:spacing w:line="360" w:lineRule="auto"/>
        <w:ind w:firstLine="480" w:firstLineChars="200"/>
        <w:rPr>
          <w:color w:val="000000" w:themeColor="text1"/>
          <w:highlight w:val="none"/>
        </w:rPr>
      </w:pPr>
      <w:r>
        <w:rPr>
          <w:rFonts w:ascii="Times New Roman" w:hAnsi="Times New Roman" w:eastAsia="宋体" w:cs="Times New Roman"/>
          <w:color w:val="000000" w:themeColor="text1"/>
          <w:kern w:val="2"/>
          <w:sz w:val="24"/>
          <w:szCs w:val="24"/>
          <w:highlight w:val="none"/>
          <w:lang w:val="en-US" w:eastAsia="zh-CN" w:bidi="ar-SA"/>
        </w:rPr>
        <w:t>（1）</w:t>
      </w:r>
      <w:r>
        <w:rPr>
          <w:color w:val="000000" w:themeColor="text1"/>
          <w:highlight w:val="none"/>
        </w:rPr>
        <w:t>现状声环境</w:t>
      </w:r>
    </w:p>
    <w:p w14:paraId="6A6F7635">
      <w:pPr>
        <w:pageBreakBefore w:val="0"/>
        <w:wordWrap/>
        <w:topLinePunct w:val="0"/>
        <w:bidi w:val="0"/>
        <w:spacing w:line="360" w:lineRule="auto"/>
        <w:rPr>
          <w:rFonts w:hint="eastAsia"/>
          <w:snapToGrid w:val="0"/>
          <w:color w:val="000000" w:themeColor="text1"/>
          <w:highlight w:val="none"/>
          <w:lang w:val="en-US" w:eastAsia="zh-CN"/>
        </w:rPr>
      </w:pPr>
      <w:r>
        <w:rPr>
          <w:rFonts w:hint="eastAsia"/>
          <w:snapToGrid w:val="0"/>
          <w:color w:val="000000" w:themeColor="text1"/>
          <w:highlight w:val="none"/>
          <w:lang w:val="en-US" w:eastAsia="zh-CN"/>
        </w:rPr>
        <w:t>根据《新建黑龙江鹤岗机场项目》环境影响评价：项目所在区域尚未划定声环境功能区划，本项目所处区域为居住和工业混杂地区，根据《声环境功能区划分技术规范》（GB/T1519-2014），项目区域为2类声环境功能区，执行《声环境质量标准》（GB3096-2008）的2类标准。机场建成后，由于评价范围内没有学校、医院等特殊保护目标，评价范围内声环境执行《机场周围飞机噪声环境标准》（GB9660-88）二类区域的标准。</w:t>
      </w:r>
    </w:p>
    <w:p w14:paraId="2106B4A8">
      <w:pPr>
        <w:pageBreakBefore w:val="0"/>
        <w:wordWrap/>
        <w:topLinePunct w:val="0"/>
        <w:bidi w:val="0"/>
        <w:spacing w:line="360" w:lineRule="auto"/>
        <w:ind w:firstLine="720" w:firstLineChars="300"/>
        <w:rPr>
          <w:rFonts w:hint="eastAsia" w:eastAsia="宋体"/>
          <w:color w:val="000000" w:themeColor="text1"/>
          <w:highlight w:val="none"/>
          <w:lang w:val="en-US" w:eastAsia="zh-CN"/>
        </w:rPr>
      </w:pPr>
      <w:r>
        <w:rPr>
          <w:rFonts w:hint="eastAsia"/>
          <w:color w:val="000000" w:themeColor="text1"/>
          <w:highlight w:val="none"/>
          <w:lang w:val="en-US" w:eastAsia="zh-CN"/>
        </w:rPr>
        <w:t>本项目新建连接线0.218km位于机场评价范围内，飞机执飞期执行</w:t>
      </w:r>
      <w:r>
        <w:rPr>
          <w:rFonts w:hint="eastAsia"/>
          <w:snapToGrid w:val="0"/>
          <w:color w:val="000000" w:themeColor="text1"/>
          <w:highlight w:val="none"/>
          <w:lang w:val="en-US" w:eastAsia="zh-CN"/>
        </w:rPr>
        <w:t>《机场周围飞机噪声环境标准》（GB9660-88）二类区域的标准</w:t>
      </w:r>
      <w:r>
        <w:rPr>
          <w:rFonts w:hint="eastAsia"/>
          <w:color w:val="000000" w:themeColor="text1"/>
          <w:highlight w:val="none"/>
          <w:lang w:val="en-US" w:eastAsia="zh-CN"/>
        </w:rPr>
        <w:t>，非飞机执飞期执行</w:t>
      </w:r>
      <w:r>
        <w:rPr>
          <w:rFonts w:hint="eastAsia"/>
          <w:snapToGrid w:val="0"/>
          <w:color w:val="000000" w:themeColor="text1"/>
          <w:highlight w:val="none"/>
          <w:lang w:val="en-US" w:eastAsia="zh-CN"/>
        </w:rPr>
        <w:t>《声环境质量标准》（GB3096-2008）的2类标准；</w:t>
      </w:r>
      <w:r>
        <w:rPr>
          <w:rFonts w:hint="eastAsia"/>
          <w:color w:val="000000" w:themeColor="text1"/>
          <w:highlight w:val="none"/>
          <w:lang w:val="en-US" w:eastAsia="zh-CN"/>
        </w:rPr>
        <w:t>新建机场进场路主线6.323km不在机场评价范围内，执行</w:t>
      </w:r>
      <w:r>
        <w:rPr>
          <w:rFonts w:hint="eastAsia"/>
          <w:snapToGrid w:val="0"/>
          <w:color w:val="000000" w:themeColor="text1"/>
          <w:highlight w:val="none"/>
          <w:lang w:val="en-US" w:eastAsia="zh-CN"/>
        </w:rPr>
        <w:t>《声环境质量标准》（GB3096-2008）的2类标准</w:t>
      </w:r>
      <w:r>
        <w:rPr>
          <w:rFonts w:hint="eastAsia"/>
          <w:color w:val="000000" w:themeColor="text1"/>
          <w:highlight w:val="none"/>
          <w:lang w:val="en-US" w:eastAsia="zh-CN"/>
        </w:rPr>
        <w:t>。</w:t>
      </w:r>
    </w:p>
    <w:p w14:paraId="73FF599D">
      <w:pPr>
        <w:pageBreakBefore w:val="0"/>
        <w:numPr>
          <w:ilvl w:val="0"/>
          <w:numId w:val="0"/>
        </w:numPr>
        <w:wordWrap/>
        <w:topLinePunct w:val="0"/>
        <w:bidi w:val="0"/>
        <w:spacing w:line="360" w:lineRule="auto"/>
        <w:ind w:firstLine="480" w:firstLineChars="200"/>
        <w:rPr>
          <w:color w:val="000000" w:themeColor="text1"/>
          <w:highlight w:val="none"/>
        </w:rPr>
      </w:pPr>
      <w:r>
        <w:rPr>
          <w:rFonts w:ascii="Times New Roman" w:hAnsi="Times New Roman" w:eastAsia="宋体" w:cs="Times New Roman"/>
          <w:color w:val="000000" w:themeColor="text1"/>
          <w:kern w:val="2"/>
          <w:sz w:val="24"/>
          <w:szCs w:val="24"/>
          <w:highlight w:val="none"/>
          <w:lang w:val="en-US" w:eastAsia="zh-CN" w:bidi="ar-SA"/>
        </w:rPr>
        <w:t>（2）</w:t>
      </w:r>
      <w:r>
        <w:rPr>
          <w:color w:val="000000" w:themeColor="text1"/>
          <w:highlight w:val="none"/>
        </w:rPr>
        <w:t>项目建成后声环境</w:t>
      </w:r>
    </w:p>
    <w:p w14:paraId="3AE0A45D">
      <w:pPr>
        <w:pageBreakBefore w:val="0"/>
        <w:wordWrap/>
        <w:topLinePunct w:val="0"/>
        <w:bidi w:val="0"/>
        <w:spacing w:line="360" w:lineRule="auto"/>
        <w:ind w:firstLine="720" w:firstLineChars="300"/>
        <w:rPr>
          <w:rFonts w:hint="eastAsia"/>
          <w:color w:val="000000" w:themeColor="text1"/>
          <w:highlight w:val="none"/>
        </w:rPr>
      </w:pPr>
      <w:r>
        <w:rPr>
          <w:rFonts w:hint="eastAsia"/>
          <w:color w:val="000000" w:themeColor="text1"/>
          <w:highlight w:val="none"/>
          <w:lang w:val="en-US" w:eastAsia="zh-CN"/>
        </w:rPr>
        <w:t>本项目运营期公路边界线外两侧40m范围内区域公路噪声执行《声环境质量标准》（GB3096-2008）中4a类标准；40m范围以外、机场评价范围内飞机执飞期执行</w:t>
      </w:r>
      <w:r>
        <w:rPr>
          <w:rFonts w:hint="eastAsia"/>
          <w:snapToGrid w:val="0"/>
          <w:color w:val="000000" w:themeColor="text1"/>
          <w:highlight w:val="none"/>
          <w:lang w:val="en-US" w:eastAsia="zh-CN"/>
        </w:rPr>
        <w:t>《机场周围飞机噪声环境标准》（GB9660-88）二类区域的标准</w:t>
      </w:r>
      <w:r>
        <w:rPr>
          <w:rFonts w:hint="eastAsia"/>
          <w:color w:val="000000" w:themeColor="text1"/>
          <w:highlight w:val="none"/>
          <w:lang w:val="en-US" w:eastAsia="zh-CN"/>
        </w:rPr>
        <w:t>，其他区域以及非飞机执飞期公路噪声执行《声环境质量标准》（GB3096-2008）中2类标准。</w:t>
      </w:r>
    </w:p>
    <w:p w14:paraId="03E5BE94">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2.6.4</w:t>
      </w:r>
      <w:r>
        <w:rPr>
          <w:color w:val="000000" w:themeColor="text1"/>
          <w:highlight w:val="none"/>
        </w:rPr>
        <w:t>生态环境</w:t>
      </w:r>
    </w:p>
    <w:p w14:paraId="41A4A94B">
      <w:pPr>
        <w:pageBreakBefore w:val="0"/>
        <w:wordWrap/>
        <w:topLinePunct w:val="0"/>
        <w:bidi w:val="0"/>
        <w:spacing w:line="360" w:lineRule="auto"/>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根据《黑龙江省生态功能区划》，</w:t>
      </w:r>
      <w:r>
        <w:rPr>
          <w:rFonts w:hint="default" w:ascii="Times New Roman" w:hAnsi="Times New Roman" w:cs="Times New Roman"/>
          <w:color w:val="000000" w:themeColor="text1"/>
          <w:highlight w:val="none"/>
          <w:lang w:val="en-US" w:eastAsia="zh-CN"/>
        </w:rPr>
        <w:t>项目位于Ⅰ—3三江平原农业与湿地生态区，Ⅰ—3—1三江平原东北部湿地与农业生态亚区，Ⅰ—3—1—</w:t>
      </w:r>
      <w:r>
        <w:rPr>
          <w:rFonts w:hint="eastAsia" w:ascii="Times New Roman" w:hAnsi="Times New Roman" w:cs="Times New Roman"/>
          <w:color w:val="000000" w:themeColor="text1"/>
          <w:highlight w:val="none"/>
          <w:lang w:val="en-US" w:eastAsia="zh-CN"/>
        </w:rPr>
        <w:t>2松花江下游北部农业与沙化控制及土壤保持生态功能区</w:t>
      </w:r>
      <w:r>
        <w:rPr>
          <w:rFonts w:hint="default" w:ascii="Times New Roman" w:hAnsi="Times New Roman" w:cs="Times New Roman"/>
          <w:color w:val="000000" w:themeColor="text1"/>
          <w:highlight w:val="none"/>
          <w:lang w:val="en-US" w:eastAsia="zh-CN"/>
        </w:rPr>
        <w:t>。</w:t>
      </w:r>
    </w:p>
    <w:p w14:paraId="7095F5CC">
      <w:pPr>
        <w:pStyle w:val="3"/>
        <w:pageBreakBefore w:val="0"/>
        <w:wordWrap/>
        <w:topLinePunct w:val="0"/>
        <w:bidi w:val="0"/>
        <w:spacing w:before="12" w:after="120" w:line="360" w:lineRule="auto"/>
        <w:rPr>
          <w:color w:val="000000" w:themeColor="text1"/>
          <w:highlight w:val="none"/>
        </w:rPr>
      </w:pPr>
      <w:bookmarkStart w:id="161" w:name="_Toc30757"/>
      <w:bookmarkStart w:id="162" w:name="_Toc17707"/>
      <w:bookmarkStart w:id="163" w:name="_Toc22585"/>
      <w:bookmarkStart w:id="164" w:name="_Toc415"/>
      <w:bookmarkStart w:id="165" w:name="_Toc518574360"/>
      <w:r>
        <w:rPr>
          <w:rFonts w:hint="eastAsia"/>
          <w:color w:val="000000" w:themeColor="text1"/>
          <w:highlight w:val="none"/>
        </w:rPr>
        <w:t>2.7</w:t>
      </w:r>
      <w:r>
        <w:rPr>
          <w:color w:val="000000" w:themeColor="text1"/>
          <w:highlight w:val="none"/>
        </w:rPr>
        <w:t>评价标准</w:t>
      </w:r>
      <w:bookmarkEnd w:id="161"/>
      <w:bookmarkEnd w:id="162"/>
      <w:bookmarkEnd w:id="163"/>
      <w:bookmarkEnd w:id="164"/>
      <w:bookmarkEnd w:id="165"/>
    </w:p>
    <w:p w14:paraId="426235D4">
      <w:pPr>
        <w:pStyle w:val="4"/>
        <w:pageBreakBefore w:val="0"/>
        <w:wordWrap/>
        <w:topLinePunct w:val="0"/>
        <w:bidi w:val="0"/>
        <w:spacing w:before="120" w:line="360" w:lineRule="auto"/>
        <w:rPr>
          <w:color w:val="000000" w:themeColor="text1"/>
          <w:highlight w:val="none"/>
        </w:rPr>
      </w:pPr>
      <w:bookmarkStart w:id="166" w:name="_Toc7494"/>
      <w:bookmarkStart w:id="167" w:name="_Toc31994"/>
      <w:r>
        <w:rPr>
          <w:rFonts w:hint="eastAsia"/>
          <w:color w:val="000000" w:themeColor="text1"/>
          <w:highlight w:val="none"/>
        </w:rPr>
        <w:t>2.7.1</w:t>
      </w:r>
      <w:r>
        <w:rPr>
          <w:color w:val="000000" w:themeColor="text1"/>
          <w:highlight w:val="none"/>
        </w:rPr>
        <w:t>环境质量标准</w:t>
      </w:r>
      <w:bookmarkEnd w:id="166"/>
      <w:bookmarkEnd w:id="167"/>
    </w:p>
    <w:p w14:paraId="51642F1A">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2.7.1.1</w:t>
      </w:r>
      <w:r>
        <w:rPr>
          <w:color w:val="000000" w:themeColor="text1"/>
          <w:highlight w:val="none"/>
        </w:rPr>
        <w:t>地表水</w:t>
      </w:r>
    </w:p>
    <w:p w14:paraId="7770D15F">
      <w:pPr>
        <w:pageBreakBefore w:val="0"/>
        <w:wordWrap/>
        <w:topLinePunct w:val="0"/>
        <w:bidi w:val="0"/>
        <w:spacing w:line="360" w:lineRule="auto"/>
        <w:rPr>
          <w:b/>
          <w:bCs/>
          <w:color w:val="000000" w:themeColor="text1"/>
          <w:highlight w:val="none"/>
        </w:rPr>
      </w:pPr>
      <w:bookmarkStart w:id="168" w:name="_Hlk84852397"/>
      <w:r>
        <w:rPr>
          <w:rFonts w:hint="eastAsia"/>
          <w:color w:val="000000" w:themeColor="text1"/>
          <w:highlight w:val="none"/>
        </w:rPr>
        <w:t>项目区域涉及的</w:t>
      </w:r>
      <w:r>
        <w:rPr>
          <w:rFonts w:hint="eastAsia"/>
          <w:color w:val="000000" w:themeColor="text1"/>
          <w:highlight w:val="none"/>
          <w:lang w:val="en-US" w:eastAsia="zh-CN"/>
        </w:rPr>
        <w:t>路北一支干渠和朝鲜河均无</w:t>
      </w:r>
      <w:r>
        <w:rPr>
          <w:color w:val="000000" w:themeColor="text1"/>
          <w:highlight w:val="none"/>
        </w:rPr>
        <w:t>规划水体类别</w:t>
      </w:r>
      <w:r>
        <w:rPr>
          <w:rFonts w:hint="eastAsia"/>
          <w:color w:val="000000" w:themeColor="text1"/>
          <w:highlight w:val="none"/>
        </w:rPr>
        <w:t>，</w:t>
      </w:r>
      <w:r>
        <w:rPr>
          <w:rFonts w:hint="eastAsia"/>
          <w:color w:val="000000" w:themeColor="text1"/>
          <w:highlight w:val="none"/>
          <w:lang w:val="en-US" w:eastAsia="zh-CN"/>
        </w:rPr>
        <w:t>其</w:t>
      </w:r>
      <w:r>
        <w:rPr>
          <w:color w:val="000000" w:themeColor="text1"/>
          <w:szCs w:val="20"/>
          <w:highlight w:val="none"/>
        </w:rPr>
        <w:t>最终均汇入</w:t>
      </w:r>
      <w:r>
        <w:rPr>
          <w:rFonts w:hint="eastAsia"/>
          <w:color w:val="000000" w:themeColor="text1"/>
          <w:szCs w:val="20"/>
          <w:highlight w:val="none"/>
          <w:lang w:val="en-US" w:eastAsia="zh-CN"/>
        </w:rPr>
        <w:t>梧桐河</w:t>
      </w:r>
      <w:r>
        <w:rPr>
          <w:rFonts w:hint="eastAsia"/>
          <w:color w:val="000000" w:themeColor="text1"/>
          <w:szCs w:val="20"/>
          <w:highlight w:val="none"/>
        </w:rPr>
        <w:t>。</w:t>
      </w:r>
      <w:r>
        <w:rPr>
          <w:rFonts w:hint="eastAsia"/>
          <w:color w:val="000000" w:themeColor="text1"/>
          <w:kern w:val="0"/>
          <w:szCs w:val="20"/>
          <w:highlight w:val="none"/>
          <w:lang w:val="en-US" w:eastAsia="zh-CN" w:bidi="ar"/>
        </w:rPr>
        <w:t>根据《全国重要江河湖泊水功能区划（2011-2030年）（黑龙江省）》，</w:t>
      </w:r>
      <w:r>
        <w:rPr>
          <w:rFonts w:hint="eastAsia"/>
          <w:color w:val="000000" w:themeColor="text1"/>
          <w:highlight w:val="none"/>
          <w:lang w:val="en-US" w:eastAsia="zh-CN"/>
        </w:rPr>
        <w:t>梧桐河地表水体功能区划</w:t>
      </w:r>
      <w:r>
        <w:rPr>
          <w:rFonts w:hint="default" w:ascii="Times New Roman" w:hAnsi="Times New Roman" w:cs="Times New Roman"/>
          <w:color w:val="000000" w:themeColor="text1"/>
          <w:highlight w:val="none"/>
          <w:lang w:val="en-US" w:eastAsia="zh-CN"/>
        </w:rPr>
        <w:t>为</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类水体，</w:t>
      </w:r>
      <w:r>
        <w:rPr>
          <w:rFonts w:hint="eastAsia" w:cs="Times New Roman"/>
          <w:color w:val="000000" w:themeColor="text1"/>
          <w:highlight w:val="none"/>
          <w:lang w:val="en-US" w:eastAsia="zh-CN"/>
        </w:rPr>
        <w:t>因此本项目地表水体参照执行</w:t>
      </w:r>
      <w:r>
        <w:rPr>
          <w:color w:val="000000" w:themeColor="text1"/>
          <w:szCs w:val="20"/>
          <w:highlight w:val="none"/>
        </w:rPr>
        <w:t>《地表水环境质量标准》（GB3838-2002）中</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ascii="Times New Roman" w:hAnsi="Times New Roman" w:cs="Times New Roman"/>
          <w:color w:val="000000" w:themeColor="text1"/>
          <w:highlight w:val="none"/>
          <w:lang w:val="en-US" w:eastAsia="zh-CN"/>
        </w:rPr>
        <w:t>标准。</w:t>
      </w:r>
    </w:p>
    <w:p w14:paraId="09DAF479">
      <w:pPr>
        <w:pageBreakBefore w:val="0"/>
        <w:wordWrap/>
        <w:topLinePunct w:val="0"/>
        <w:bidi w:val="0"/>
        <w:spacing w:line="360" w:lineRule="auto"/>
        <w:ind w:firstLine="0" w:firstLineChars="0"/>
        <w:jc w:val="center"/>
        <w:rPr>
          <w:color w:val="000000" w:themeColor="text1"/>
          <w:highlight w:val="none"/>
        </w:rPr>
      </w:pPr>
      <w:r>
        <w:rPr>
          <w:b/>
          <w:bCs/>
          <w:color w:val="000000" w:themeColor="text1"/>
          <w:highlight w:val="none"/>
        </w:rPr>
        <w:t xml:space="preserve"> 表2.</w:t>
      </w:r>
      <w:r>
        <w:rPr>
          <w:rFonts w:hint="eastAsia"/>
          <w:b/>
          <w:bCs/>
          <w:color w:val="000000" w:themeColor="text1"/>
          <w:highlight w:val="none"/>
          <w:lang w:val="en-US" w:eastAsia="zh-CN"/>
        </w:rPr>
        <w:t>7</w:t>
      </w:r>
      <w:r>
        <w:rPr>
          <w:b/>
          <w:bCs/>
          <w:color w:val="000000" w:themeColor="text1"/>
          <w:highlight w:val="none"/>
        </w:rPr>
        <w:t>-1  地表水环境质量标准（GB3838-2002）</w:t>
      </w:r>
      <w:r>
        <w:rPr>
          <w:rFonts w:hint="eastAsia"/>
          <w:b/>
          <w:bCs/>
          <w:color w:val="000000" w:themeColor="text1"/>
          <w:highlight w:val="none"/>
          <w:lang w:eastAsia="zh-CN"/>
        </w:rPr>
        <w:t>（</w:t>
      </w:r>
      <w:r>
        <w:rPr>
          <w:rFonts w:hint="eastAsia"/>
          <w:b/>
          <w:bCs/>
          <w:color w:val="000000" w:themeColor="text1"/>
          <w:highlight w:val="none"/>
          <w:lang w:val="en-US" w:eastAsia="zh-CN"/>
        </w:rPr>
        <w:t>摘录）</w:t>
      </w:r>
      <w:r>
        <w:rPr>
          <w:b/>
          <w:bCs/>
          <w:color w:val="000000" w:themeColor="text1"/>
          <w:highlight w:val="none"/>
        </w:rPr>
        <w:t xml:space="preserve"> 单位：mg/L</w:t>
      </w:r>
    </w:p>
    <w:tbl>
      <w:tblPr>
        <w:tblStyle w:val="33"/>
        <w:tblW w:w="0" w:type="auto"/>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28" w:type="dxa"/>
          <w:bottom w:w="0" w:type="dxa"/>
          <w:right w:w="28" w:type="dxa"/>
        </w:tblCellMar>
      </w:tblPr>
      <w:tblGrid>
        <w:gridCol w:w="929"/>
        <w:gridCol w:w="1087"/>
        <w:gridCol w:w="771"/>
        <w:gridCol w:w="929"/>
        <w:gridCol w:w="929"/>
        <w:gridCol w:w="929"/>
        <w:gridCol w:w="929"/>
        <w:gridCol w:w="929"/>
        <w:gridCol w:w="930"/>
      </w:tblGrid>
      <w:tr w14:paraId="3790EA4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8" w:type="dxa"/>
            <w:bottom w:w="0" w:type="dxa"/>
            <w:right w:w="28" w:type="dxa"/>
          </w:tblCellMar>
        </w:tblPrEx>
        <w:trPr>
          <w:trHeight w:val="340" w:hRule="atLeast"/>
          <w:jc w:val="center"/>
        </w:trPr>
        <w:tc>
          <w:tcPr>
            <w:tcW w:w="929" w:type="dxa"/>
            <w:tcBorders>
              <w:bottom w:val="single" w:color="auto" w:sz="2" w:space="0"/>
              <w:right w:val="single" w:color="auto" w:sz="2" w:space="0"/>
            </w:tcBorders>
            <w:noWrap/>
            <w:vAlign w:val="center"/>
          </w:tcPr>
          <w:p w14:paraId="66A9CCBC">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评价标准</w:t>
            </w:r>
          </w:p>
        </w:tc>
        <w:tc>
          <w:tcPr>
            <w:tcW w:w="1087" w:type="dxa"/>
            <w:tcBorders>
              <w:left w:val="single" w:color="auto" w:sz="2" w:space="0"/>
              <w:bottom w:val="single" w:color="auto" w:sz="2" w:space="0"/>
              <w:right w:val="single" w:color="auto" w:sz="2" w:space="0"/>
            </w:tcBorders>
            <w:vAlign w:val="center"/>
          </w:tcPr>
          <w:p w14:paraId="3C0A3C9E">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pH</w:t>
            </w:r>
          </w:p>
          <w:p w14:paraId="5D5161AC">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（无量纲）</w:t>
            </w:r>
          </w:p>
        </w:tc>
        <w:tc>
          <w:tcPr>
            <w:tcW w:w="771" w:type="dxa"/>
            <w:tcBorders>
              <w:left w:val="single" w:color="auto" w:sz="2" w:space="0"/>
              <w:bottom w:val="single" w:color="auto" w:sz="2" w:space="0"/>
              <w:right w:val="single" w:color="auto" w:sz="2" w:space="0"/>
            </w:tcBorders>
            <w:vAlign w:val="center"/>
          </w:tcPr>
          <w:p w14:paraId="1906B835">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COD</w:t>
            </w:r>
          </w:p>
        </w:tc>
        <w:tc>
          <w:tcPr>
            <w:tcW w:w="929" w:type="dxa"/>
            <w:tcBorders>
              <w:left w:val="single" w:color="auto" w:sz="2" w:space="0"/>
              <w:bottom w:val="single" w:color="auto" w:sz="2" w:space="0"/>
              <w:right w:val="single" w:color="auto" w:sz="2" w:space="0"/>
            </w:tcBorders>
            <w:vAlign w:val="center"/>
          </w:tcPr>
          <w:p w14:paraId="103D6E46">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高锰酸盐指数</w:t>
            </w:r>
          </w:p>
        </w:tc>
        <w:tc>
          <w:tcPr>
            <w:tcW w:w="929" w:type="dxa"/>
            <w:tcBorders>
              <w:left w:val="single" w:color="auto" w:sz="2" w:space="0"/>
              <w:bottom w:val="single" w:color="auto" w:sz="2" w:space="0"/>
              <w:right w:val="single" w:color="auto" w:sz="2" w:space="0"/>
            </w:tcBorders>
            <w:vAlign w:val="center"/>
          </w:tcPr>
          <w:p w14:paraId="3F19A792">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BOD</w:t>
            </w:r>
            <w:r>
              <w:rPr>
                <w:rFonts w:hAnsi="Times New Roman"/>
                <w:color w:val="000000" w:themeColor="text1"/>
                <w:sz w:val="21"/>
                <w:szCs w:val="21"/>
                <w:highlight w:val="none"/>
                <w:vertAlign w:val="subscript"/>
              </w:rPr>
              <w:t>5</w:t>
            </w:r>
          </w:p>
        </w:tc>
        <w:tc>
          <w:tcPr>
            <w:tcW w:w="929" w:type="dxa"/>
            <w:tcBorders>
              <w:left w:val="single" w:color="auto" w:sz="2" w:space="0"/>
              <w:bottom w:val="single" w:color="auto" w:sz="2" w:space="0"/>
              <w:right w:val="single" w:color="auto" w:sz="2" w:space="0"/>
            </w:tcBorders>
            <w:vAlign w:val="center"/>
          </w:tcPr>
          <w:p w14:paraId="29EE7AA1">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氨氮</w:t>
            </w:r>
          </w:p>
        </w:tc>
        <w:tc>
          <w:tcPr>
            <w:tcW w:w="929" w:type="dxa"/>
            <w:tcBorders>
              <w:left w:val="single" w:color="auto" w:sz="2" w:space="0"/>
              <w:bottom w:val="single" w:color="auto" w:sz="2" w:space="0"/>
              <w:right w:val="single" w:color="auto" w:sz="2" w:space="0"/>
            </w:tcBorders>
            <w:vAlign w:val="center"/>
          </w:tcPr>
          <w:p w14:paraId="67A17BA8">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石油类</w:t>
            </w:r>
          </w:p>
        </w:tc>
        <w:tc>
          <w:tcPr>
            <w:tcW w:w="929" w:type="dxa"/>
            <w:tcBorders>
              <w:left w:val="single" w:color="auto" w:sz="2" w:space="0"/>
              <w:bottom w:val="single" w:color="auto" w:sz="2" w:space="0"/>
              <w:right w:val="single" w:color="auto" w:sz="2" w:space="0"/>
            </w:tcBorders>
            <w:vAlign w:val="center"/>
          </w:tcPr>
          <w:p w14:paraId="64224D6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总磷</w:t>
            </w:r>
          </w:p>
        </w:tc>
        <w:tc>
          <w:tcPr>
            <w:tcW w:w="930" w:type="dxa"/>
            <w:tcBorders>
              <w:left w:val="single" w:color="auto" w:sz="2" w:space="0"/>
              <w:bottom w:val="single" w:color="auto" w:sz="2" w:space="0"/>
            </w:tcBorders>
            <w:vAlign w:val="center"/>
          </w:tcPr>
          <w:p w14:paraId="71D5B39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粪大肠菌群个/L</w:t>
            </w:r>
          </w:p>
        </w:tc>
      </w:tr>
      <w:tr w14:paraId="252C0BB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28" w:type="dxa"/>
            <w:bottom w:w="0" w:type="dxa"/>
            <w:right w:w="28" w:type="dxa"/>
          </w:tblCellMar>
        </w:tblPrEx>
        <w:trPr>
          <w:trHeight w:val="340" w:hRule="atLeast"/>
          <w:jc w:val="center"/>
        </w:trPr>
        <w:tc>
          <w:tcPr>
            <w:tcW w:w="929" w:type="dxa"/>
            <w:tcBorders>
              <w:top w:val="single" w:color="auto" w:sz="2" w:space="0"/>
              <w:right w:val="single" w:color="auto" w:sz="2" w:space="0"/>
            </w:tcBorders>
            <w:noWrap/>
            <w:vAlign w:val="center"/>
          </w:tcPr>
          <w:p w14:paraId="65B1B4B3">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int="default" w:hAnsi="Times New Roman"/>
                <w:color w:val="000000" w:themeColor="text1"/>
                <w:sz w:val="21"/>
                <w:szCs w:val="21"/>
                <w:highlight w:val="none"/>
                <w:lang w:val="en-US" w:eastAsia="zh-CN"/>
              </w:rPr>
              <w:t>Ⅳ</w:t>
            </w:r>
            <w:r>
              <w:rPr>
                <w:rFonts w:hAnsi="Times New Roman"/>
                <w:color w:val="000000" w:themeColor="text1"/>
                <w:sz w:val="21"/>
                <w:szCs w:val="21"/>
                <w:highlight w:val="none"/>
              </w:rPr>
              <w:t>类</w:t>
            </w:r>
          </w:p>
        </w:tc>
        <w:tc>
          <w:tcPr>
            <w:tcW w:w="1087" w:type="dxa"/>
            <w:tcBorders>
              <w:top w:val="single" w:color="auto" w:sz="2" w:space="0"/>
              <w:left w:val="single" w:color="auto" w:sz="2" w:space="0"/>
              <w:right w:val="single" w:color="auto" w:sz="2" w:space="0"/>
            </w:tcBorders>
            <w:vAlign w:val="center"/>
          </w:tcPr>
          <w:p w14:paraId="0D521ACE">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Ansi="Times New Roman"/>
                <w:color w:val="000000" w:themeColor="text1"/>
                <w:sz w:val="21"/>
                <w:szCs w:val="21"/>
                <w:highlight w:val="none"/>
              </w:rPr>
            </w:pPr>
            <w:r>
              <w:rPr>
                <w:rFonts w:hAnsi="Times New Roman"/>
                <w:color w:val="000000" w:themeColor="text1"/>
                <w:sz w:val="21"/>
                <w:szCs w:val="21"/>
                <w:highlight w:val="none"/>
              </w:rPr>
              <w:t>6~9</w:t>
            </w:r>
          </w:p>
        </w:tc>
        <w:tc>
          <w:tcPr>
            <w:tcW w:w="771" w:type="dxa"/>
            <w:tcBorders>
              <w:top w:val="single" w:color="auto" w:sz="2" w:space="0"/>
              <w:left w:val="single" w:color="auto" w:sz="2" w:space="0"/>
              <w:right w:val="single" w:color="auto" w:sz="2" w:space="0"/>
            </w:tcBorders>
            <w:vAlign w:val="center"/>
          </w:tcPr>
          <w:p w14:paraId="1987A78A">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hAnsi="Times New Roman" w:eastAsia="宋体"/>
                <w:color w:val="000000" w:themeColor="text1"/>
                <w:sz w:val="21"/>
                <w:szCs w:val="21"/>
                <w:highlight w:val="none"/>
                <w:lang w:val="en-US" w:eastAsia="zh-CN"/>
              </w:rPr>
            </w:pPr>
            <w:r>
              <w:rPr>
                <w:rFonts w:hAnsi="Times New Roman"/>
                <w:color w:val="000000" w:themeColor="text1"/>
                <w:sz w:val="21"/>
                <w:szCs w:val="21"/>
                <w:highlight w:val="none"/>
              </w:rPr>
              <w:t>≤</w:t>
            </w:r>
            <w:r>
              <w:rPr>
                <w:rFonts w:hint="eastAsia" w:hAnsi="Times New Roman"/>
                <w:color w:val="000000" w:themeColor="text1"/>
                <w:sz w:val="21"/>
                <w:szCs w:val="21"/>
                <w:highlight w:val="none"/>
                <w:lang w:val="en-US" w:eastAsia="zh-CN"/>
              </w:rPr>
              <w:t>30</w:t>
            </w:r>
          </w:p>
        </w:tc>
        <w:tc>
          <w:tcPr>
            <w:tcW w:w="929" w:type="dxa"/>
            <w:tcBorders>
              <w:top w:val="single" w:color="auto" w:sz="2" w:space="0"/>
              <w:left w:val="single" w:color="auto" w:sz="2" w:space="0"/>
              <w:right w:val="single" w:color="auto" w:sz="2" w:space="0"/>
            </w:tcBorders>
            <w:vAlign w:val="center"/>
          </w:tcPr>
          <w:p w14:paraId="467B29B8">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hAnsi="Times New Roman" w:eastAsia="宋体"/>
                <w:color w:val="000000" w:themeColor="text1"/>
                <w:sz w:val="21"/>
                <w:szCs w:val="21"/>
                <w:highlight w:val="none"/>
                <w:lang w:val="en-US" w:eastAsia="zh-CN"/>
              </w:rPr>
            </w:pPr>
            <w:r>
              <w:rPr>
                <w:rFonts w:hAnsi="Times New Roman"/>
                <w:color w:val="000000" w:themeColor="text1"/>
                <w:sz w:val="21"/>
                <w:szCs w:val="21"/>
                <w:highlight w:val="none"/>
              </w:rPr>
              <w:t>≤</w:t>
            </w:r>
            <w:r>
              <w:rPr>
                <w:rFonts w:hint="eastAsia" w:hAnsi="Times New Roman"/>
                <w:color w:val="000000" w:themeColor="text1"/>
                <w:sz w:val="21"/>
                <w:szCs w:val="21"/>
                <w:highlight w:val="none"/>
                <w:lang w:val="en-US" w:eastAsia="zh-CN"/>
              </w:rPr>
              <w:t>10</w:t>
            </w:r>
          </w:p>
        </w:tc>
        <w:tc>
          <w:tcPr>
            <w:tcW w:w="929" w:type="dxa"/>
            <w:tcBorders>
              <w:top w:val="single" w:color="auto" w:sz="2" w:space="0"/>
              <w:left w:val="single" w:color="auto" w:sz="2" w:space="0"/>
              <w:right w:val="single" w:color="auto" w:sz="2" w:space="0"/>
            </w:tcBorders>
            <w:vAlign w:val="center"/>
          </w:tcPr>
          <w:p w14:paraId="2E548C51">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hAnsi="Times New Roman" w:eastAsia="宋体"/>
                <w:color w:val="000000" w:themeColor="text1"/>
                <w:sz w:val="21"/>
                <w:szCs w:val="21"/>
                <w:highlight w:val="none"/>
                <w:lang w:eastAsia="zh-CN"/>
              </w:rPr>
            </w:pPr>
            <w:r>
              <w:rPr>
                <w:rFonts w:hAnsi="Times New Roman"/>
                <w:color w:val="000000" w:themeColor="text1"/>
                <w:sz w:val="21"/>
                <w:szCs w:val="21"/>
                <w:highlight w:val="none"/>
              </w:rPr>
              <w:t>≤</w:t>
            </w:r>
            <w:r>
              <w:rPr>
                <w:rFonts w:hint="eastAsia" w:hAnsi="Times New Roman"/>
                <w:color w:val="000000" w:themeColor="text1"/>
                <w:sz w:val="21"/>
                <w:szCs w:val="21"/>
                <w:highlight w:val="none"/>
                <w:lang w:val="en-US" w:eastAsia="zh-CN"/>
              </w:rPr>
              <w:t>6</w:t>
            </w:r>
          </w:p>
        </w:tc>
        <w:tc>
          <w:tcPr>
            <w:tcW w:w="929" w:type="dxa"/>
            <w:tcBorders>
              <w:top w:val="single" w:color="auto" w:sz="2" w:space="0"/>
              <w:left w:val="single" w:color="auto" w:sz="2" w:space="0"/>
              <w:right w:val="single" w:color="auto" w:sz="2" w:space="0"/>
            </w:tcBorders>
            <w:vAlign w:val="center"/>
          </w:tcPr>
          <w:p w14:paraId="25EE1383">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hAnsi="Times New Roman" w:eastAsia="宋体"/>
                <w:color w:val="000000" w:themeColor="text1"/>
                <w:sz w:val="21"/>
                <w:szCs w:val="21"/>
                <w:highlight w:val="none"/>
                <w:lang w:eastAsia="zh-CN"/>
              </w:rPr>
            </w:pPr>
            <w:r>
              <w:rPr>
                <w:rFonts w:hAnsi="Times New Roman"/>
                <w:color w:val="000000" w:themeColor="text1"/>
                <w:sz w:val="21"/>
                <w:szCs w:val="21"/>
                <w:highlight w:val="none"/>
              </w:rPr>
              <w:t>≤1.</w:t>
            </w:r>
            <w:r>
              <w:rPr>
                <w:rFonts w:hint="eastAsia" w:hAnsi="Times New Roman"/>
                <w:color w:val="000000" w:themeColor="text1"/>
                <w:sz w:val="21"/>
                <w:szCs w:val="21"/>
                <w:highlight w:val="none"/>
                <w:lang w:val="en-US" w:eastAsia="zh-CN"/>
              </w:rPr>
              <w:t>5</w:t>
            </w:r>
          </w:p>
        </w:tc>
        <w:tc>
          <w:tcPr>
            <w:tcW w:w="929" w:type="dxa"/>
            <w:tcBorders>
              <w:top w:val="single" w:color="auto" w:sz="2" w:space="0"/>
              <w:left w:val="single" w:color="auto" w:sz="2" w:space="0"/>
              <w:right w:val="single" w:color="auto" w:sz="2" w:space="0"/>
            </w:tcBorders>
            <w:vAlign w:val="center"/>
          </w:tcPr>
          <w:p w14:paraId="66C7CECD">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hAnsi="Times New Roman" w:eastAsia="宋体"/>
                <w:color w:val="000000" w:themeColor="text1"/>
                <w:sz w:val="21"/>
                <w:szCs w:val="21"/>
                <w:highlight w:val="none"/>
                <w:lang w:val="en-US" w:eastAsia="zh-CN"/>
              </w:rPr>
            </w:pPr>
            <w:r>
              <w:rPr>
                <w:rFonts w:hAnsi="Times New Roman"/>
                <w:color w:val="000000" w:themeColor="text1"/>
                <w:sz w:val="21"/>
                <w:szCs w:val="21"/>
                <w:highlight w:val="none"/>
              </w:rPr>
              <w:t>≤0.</w:t>
            </w:r>
            <w:r>
              <w:rPr>
                <w:rFonts w:hint="eastAsia" w:hAnsi="Times New Roman"/>
                <w:color w:val="000000" w:themeColor="text1"/>
                <w:sz w:val="21"/>
                <w:szCs w:val="21"/>
                <w:highlight w:val="none"/>
                <w:lang w:val="en-US" w:eastAsia="zh-CN"/>
              </w:rPr>
              <w:t>5</w:t>
            </w:r>
          </w:p>
        </w:tc>
        <w:tc>
          <w:tcPr>
            <w:tcW w:w="929" w:type="dxa"/>
            <w:tcBorders>
              <w:top w:val="single" w:color="auto" w:sz="2" w:space="0"/>
              <w:left w:val="single" w:color="auto" w:sz="2" w:space="0"/>
              <w:right w:val="single" w:color="auto" w:sz="2" w:space="0"/>
            </w:tcBorders>
            <w:vAlign w:val="center"/>
          </w:tcPr>
          <w:p w14:paraId="59D3F59A">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hAnsi="Times New Roman" w:eastAsia="宋体"/>
                <w:color w:val="000000" w:themeColor="text1"/>
                <w:sz w:val="21"/>
                <w:szCs w:val="21"/>
                <w:highlight w:val="none"/>
                <w:lang w:eastAsia="zh-CN"/>
              </w:rPr>
            </w:pPr>
            <w:r>
              <w:rPr>
                <w:rFonts w:hAnsi="Times New Roman"/>
                <w:color w:val="000000" w:themeColor="text1"/>
                <w:sz w:val="21"/>
                <w:szCs w:val="21"/>
                <w:highlight w:val="none"/>
              </w:rPr>
              <w:t>≤0.</w:t>
            </w:r>
            <w:r>
              <w:rPr>
                <w:rFonts w:hint="eastAsia" w:hAnsi="Times New Roman"/>
                <w:color w:val="000000" w:themeColor="text1"/>
                <w:sz w:val="21"/>
                <w:szCs w:val="21"/>
                <w:highlight w:val="none"/>
                <w:lang w:val="en-US" w:eastAsia="zh-CN"/>
              </w:rPr>
              <w:t>3</w:t>
            </w:r>
          </w:p>
        </w:tc>
        <w:tc>
          <w:tcPr>
            <w:tcW w:w="930" w:type="dxa"/>
            <w:tcBorders>
              <w:top w:val="single" w:color="auto" w:sz="2" w:space="0"/>
              <w:left w:val="single" w:color="auto" w:sz="2" w:space="0"/>
            </w:tcBorders>
            <w:vAlign w:val="center"/>
          </w:tcPr>
          <w:p w14:paraId="4532600E">
            <w:pPr>
              <w:pStyle w:val="84"/>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hAnsi="Times New Roman" w:eastAsia="宋体"/>
                <w:color w:val="000000" w:themeColor="text1"/>
                <w:sz w:val="21"/>
                <w:szCs w:val="21"/>
                <w:highlight w:val="none"/>
                <w:lang w:val="en-US" w:eastAsia="zh-CN"/>
              </w:rPr>
            </w:pPr>
            <w:r>
              <w:rPr>
                <w:rFonts w:hint="eastAsia" w:hAnsi="Times New Roman"/>
                <w:color w:val="000000" w:themeColor="text1"/>
                <w:sz w:val="21"/>
                <w:szCs w:val="21"/>
                <w:highlight w:val="none"/>
                <w:lang w:val="en-US" w:eastAsia="zh-CN"/>
              </w:rPr>
              <w:t>20000</w:t>
            </w:r>
          </w:p>
        </w:tc>
      </w:tr>
      <w:bookmarkEnd w:id="168"/>
    </w:tbl>
    <w:p w14:paraId="3DB279BD">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2.7.2.2</w:t>
      </w:r>
      <w:r>
        <w:rPr>
          <w:color w:val="000000" w:themeColor="text1"/>
          <w:highlight w:val="none"/>
        </w:rPr>
        <w:t>环境空气</w:t>
      </w:r>
    </w:p>
    <w:p w14:paraId="044D2EC3">
      <w:pPr>
        <w:pageBreakBefore w:val="0"/>
        <w:wordWrap/>
        <w:topLinePunct w:val="0"/>
        <w:bidi w:val="0"/>
        <w:spacing w:line="360" w:lineRule="auto"/>
        <w:rPr>
          <w:color w:val="000000" w:themeColor="text1"/>
          <w:highlight w:val="none"/>
        </w:rPr>
      </w:pPr>
      <w:bookmarkStart w:id="169" w:name="_Hlk84852701"/>
      <w:r>
        <w:rPr>
          <w:rFonts w:hint="eastAsia"/>
          <w:color w:val="000000" w:themeColor="text1"/>
          <w:highlight w:val="none"/>
        </w:rPr>
        <w:t>本项目运营期环境空气</w:t>
      </w:r>
      <w:r>
        <w:rPr>
          <w:color w:val="000000" w:themeColor="text1"/>
          <w:highlight w:val="none"/>
        </w:rPr>
        <w:t>执行《环境空气质量标准》（GB3095-2012）及修改单中的</w:t>
      </w:r>
      <w:r>
        <w:rPr>
          <w:rFonts w:hint="eastAsia"/>
          <w:color w:val="000000" w:themeColor="text1"/>
          <w:highlight w:val="none"/>
        </w:rPr>
        <w:t>二级</w:t>
      </w:r>
      <w:r>
        <w:rPr>
          <w:color w:val="000000" w:themeColor="text1"/>
          <w:highlight w:val="none"/>
        </w:rPr>
        <w:t>标准。详见表2.</w:t>
      </w:r>
      <w:r>
        <w:rPr>
          <w:rFonts w:hint="eastAsia"/>
          <w:color w:val="000000" w:themeColor="text1"/>
          <w:highlight w:val="none"/>
          <w:lang w:val="en-US" w:eastAsia="zh-CN"/>
        </w:rPr>
        <w:t>7</w:t>
      </w:r>
      <w:r>
        <w:rPr>
          <w:color w:val="000000" w:themeColor="text1"/>
          <w:highlight w:val="none"/>
        </w:rPr>
        <w:t>-2。</w:t>
      </w:r>
    </w:p>
    <w:p w14:paraId="316C5A4A">
      <w:pPr>
        <w:pageBreakBefore w:val="0"/>
        <w:wordWrap/>
        <w:topLinePunct w:val="0"/>
        <w:bidi w:val="0"/>
        <w:spacing w:line="360" w:lineRule="auto"/>
        <w:ind w:firstLine="0" w:firstLineChars="0"/>
        <w:jc w:val="center"/>
        <w:rPr>
          <w:b/>
          <w:bCs/>
          <w:color w:val="000000" w:themeColor="text1"/>
          <w:highlight w:val="none"/>
        </w:rPr>
      </w:pPr>
      <w:r>
        <w:rPr>
          <w:b/>
          <w:bCs/>
          <w:color w:val="000000" w:themeColor="text1"/>
          <w:highlight w:val="none"/>
        </w:rPr>
        <w:t>表2.</w:t>
      </w:r>
      <w:r>
        <w:rPr>
          <w:rFonts w:hint="eastAsia"/>
          <w:b/>
          <w:bCs/>
          <w:color w:val="000000" w:themeColor="text1"/>
          <w:highlight w:val="none"/>
          <w:lang w:val="en-US" w:eastAsia="zh-CN"/>
        </w:rPr>
        <w:t>7</w:t>
      </w:r>
      <w:r>
        <w:rPr>
          <w:b/>
          <w:bCs/>
          <w:color w:val="000000" w:themeColor="text1"/>
          <w:highlight w:val="none"/>
        </w:rPr>
        <w:t>-2  环境空气质量标准</w:t>
      </w:r>
    </w:p>
    <w:tbl>
      <w:tblPr>
        <w:tblStyle w:val="3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8"/>
        <w:gridCol w:w="1728"/>
        <w:gridCol w:w="1415"/>
        <w:gridCol w:w="1522"/>
        <w:gridCol w:w="2679"/>
      </w:tblGrid>
      <w:tr w14:paraId="3E0A79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449BA17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污染物</w:t>
            </w:r>
          </w:p>
          <w:p w14:paraId="12F3D8E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项  目</w:t>
            </w:r>
          </w:p>
        </w:tc>
        <w:tc>
          <w:tcPr>
            <w:tcW w:w="1014" w:type="pct"/>
            <w:vMerge w:val="restart"/>
            <w:vAlign w:val="center"/>
          </w:tcPr>
          <w:p w14:paraId="227D813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平均时间</w:t>
            </w:r>
          </w:p>
        </w:tc>
        <w:tc>
          <w:tcPr>
            <w:tcW w:w="830" w:type="pct"/>
            <w:vAlign w:val="center"/>
          </w:tcPr>
          <w:p w14:paraId="4C0BEBE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浓度限值</w:t>
            </w:r>
          </w:p>
        </w:tc>
        <w:tc>
          <w:tcPr>
            <w:tcW w:w="893" w:type="pct"/>
            <w:vMerge w:val="restart"/>
            <w:vAlign w:val="center"/>
          </w:tcPr>
          <w:p w14:paraId="525F86A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单位</w:t>
            </w:r>
          </w:p>
        </w:tc>
        <w:tc>
          <w:tcPr>
            <w:tcW w:w="1572" w:type="pct"/>
            <w:vMerge w:val="restart"/>
            <w:vAlign w:val="center"/>
          </w:tcPr>
          <w:p w14:paraId="3E96FD7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标准来源</w:t>
            </w:r>
          </w:p>
        </w:tc>
      </w:tr>
      <w:tr w14:paraId="08500D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5FD05EA7">
            <w:pPr>
              <w:pageBreakBefore w:val="0"/>
              <w:wordWrap/>
              <w:topLinePunct w:val="0"/>
              <w:bidi w:val="0"/>
              <w:spacing w:line="240" w:lineRule="auto"/>
              <w:ind w:firstLine="0" w:firstLineChars="0"/>
              <w:jc w:val="center"/>
              <w:rPr>
                <w:color w:val="000000" w:themeColor="text1"/>
                <w:sz w:val="21"/>
                <w:szCs w:val="21"/>
                <w:highlight w:val="none"/>
              </w:rPr>
            </w:pPr>
          </w:p>
        </w:tc>
        <w:tc>
          <w:tcPr>
            <w:tcW w:w="1014" w:type="pct"/>
            <w:vMerge w:val="continue"/>
            <w:vAlign w:val="center"/>
          </w:tcPr>
          <w:p w14:paraId="4BBDFDC8">
            <w:pPr>
              <w:pageBreakBefore w:val="0"/>
              <w:wordWrap/>
              <w:topLinePunct w:val="0"/>
              <w:bidi w:val="0"/>
              <w:spacing w:line="240" w:lineRule="auto"/>
              <w:ind w:firstLine="0" w:firstLineChars="0"/>
              <w:jc w:val="center"/>
              <w:rPr>
                <w:color w:val="000000" w:themeColor="text1"/>
                <w:sz w:val="21"/>
                <w:szCs w:val="21"/>
                <w:highlight w:val="none"/>
              </w:rPr>
            </w:pPr>
          </w:p>
        </w:tc>
        <w:tc>
          <w:tcPr>
            <w:tcW w:w="830" w:type="pct"/>
            <w:vAlign w:val="center"/>
          </w:tcPr>
          <w:p w14:paraId="7A690E29">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二级</w:t>
            </w:r>
          </w:p>
        </w:tc>
        <w:tc>
          <w:tcPr>
            <w:tcW w:w="893" w:type="pct"/>
            <w:vMerge w:val="continue"/>
            <w:vAlign w:val="center"/>
          </w:tcPr>
          <w:p w14:paraId="3D4BC8BE">
            <w:pPr>
              <w:pageBreakBefore w:val="0"/>
              <w:wordWrap/>
              <w:topLinePunct w:val="0"/>
              <w:bidi w:val="0"/>
              <w:spacing w:line="240" w:lineRule="auto"/>
              <w:ind w:firstLine="420"/>
              <w:jc w:val="center"/>
              <w:rPr>
                <w:color w:val="000000" w:themeColor="text1"/>
                <w:sz w:val="21"/>
                <w:szCs w:val="21"/>
                <w:highlight w:val="none"/>
              </w:rPr>
            </w:pPr>
          </w:p>
        </w:tc>
        <w:tc>
          <w:tcPr>
            <w:tcW w:w="1572" w:type="pct"/>
            <w:vMerge w:val="continue"/>
            <w:vAlign w:val="center"/>
          </w:tcPr>
          <w:p w14:paraId="53724DCC">
            <w:pPr>
              <w:pageBreakBefore w:val="0"/>
              <w:wordWrap/>
              <w:topLinePunct w:val="0"/>
              <w:bidi w:val="0"/>
              <w:spacing w:line="240" w:lineRule="auto"/>
              <w:ind w:firstLine="420"/>
              <w:jc w:val="center"/>
              <w:rPr>
                <w:color w:val="000000" w:themeColor="text1"/>
                <w:sz w:val="21"/>
                <w:szCs w:val="21"/>
                <w:highlight w:val="none"/>
              </w:rPr>
            </w:pPr>
          </w:p>
        </w:tc>
      </w:tr>
      <w:tr w14:paraId="5A5137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45C8856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NO</w:t>
            </w:r>
            <w:r>
              <w:rPr>
                <w:color w:val="000000" w:themeColor="text1"/>
                <w:sz w:val="21"/>
                <w:szCs w:val="21"/>
                <w:highlight w:val="none"/>
                <w:vertAlign w:val="subscript"/>
              </w:rPr>
              <w:t>2</w:t>
            </w:r>
          </w:p>
        </w:tc>
        <w:tc>
          <w:tcPr>
            <w:tcW w:w="1014" w:type="pct"/>
            <w:vAlign w:val="center"/>
          </w:tcPr>
          <w:p w14:paraId="272A639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年平均</w:t>
            </w:r>
          </w:p>
        </w:tc>
        <w:tc>
          <w:tcPr>
            <w:tcW w:w="830" w:type="pct"/>
            <w:vAlign w:val="center"/>
          </w:tcPr>
          <w:p w14:paraId="2C100DB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40</w:t>
            </w:r>
          </w:p>
        </w:tc>
        <w:tc>
          <w:tcPr>
            <w:tcW w:w="893" w:type="pct"/>
            <w:vMerge w:val="restart"/>
            <w:vAlign w:val="center"/>
          </w:tcPr>
          <w:p w14:paraId="6E65BAE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μg/m</w:t>
            </w:r>
            <w:r>
              <w:rPr>
                <w:color w:val="000000" w:themeColor="text1"/>
                <w:sz w:val="21"/>
                <w:szCs w:val="21"/>
                <w:highlight w:val="none"/>
                <w:vertAlign w:val="superscript"/>
              </w:rPr>
              <w:t>3</w:t>
            </w:r>
          </w:p>
        </w:tc>
        <w:tc>
          <w:tcPr>
            <w:tcW w:w="1572" w:type="pct"/>
            <w:vMerge w:val="restart"/>
            <w:vAlign w:val="center"/>
          </w:tcPr>
          <w:p w14:paraId="0912C42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《环境空气质量标准》</w:t>
            </w:r>
            <w:r>
              <w:rPr>
                <w:rFonts w:hint="eastAsia"/>
                <w:color w:val="000000" w:themeColor="text1"/>
                <w:sz w:val="21"/>
                <w:szCs w:val="21"/>
                <w:highlight w:val="none"/>
                <w:lang w:eastAsia="zh-CN"/>
              </w:rPr>
              <w:t>（</w:t>
            </w:r>
            <w:r>
              <w:rPr>
                <w:color w:val="000000" w:themeColor="text1"/>
                <w:sz w:val="21"/>
                <w:szCs w:val="21"/>
                <w:highlight w:val="none"/>
              </w:rPr>
              <w:t>GB3095-2012</w:t>
            </w:r>
            <w:r>
              <w:rPr>
                <w:rFonts w:hint="eastAsia"/>
                <w:color w:val="000000" w:themeColor="text1"/>
                <w:sz w:val="21"/>
                <w:szCs w:val="21"/>
                <w:highlight w:val="none"/>
                <w:lang w:eastAsia="zh-CN"/>
              </w:rPr>
              <w:t>）</w:t>
            </w:r>
            <w:r>
              <w:rPr>
                <w:color w:val="000000" w:themeColor="text1"/>
                <w:sz w:val="21"/>
                <w:szCs w:val="21"/>
                <w:highlight w:val="none"/>
              </w:rPr>
              <w:t>及修改单</w:t>
            </w:r>
            <w:r>
              <w:rPr>
                <w:rFonts w:hint="eastAsia"/>
                <w:color w:val="000000" w:themeColor="text1"/>
                <w:sz w:val="21"/>
                <w:szCs w:val="21"/>
                <w:highlight w:val="none"/>
              </w:rPr>
              <w:t>二级标准</w:t>
            </w:r>
          </w:p>
        </w:tc>
      </w:tr>
      <w:tr w14:paraId="68A9FA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14CA1755">
            <w:pPr>
              <w:pageBreakBefore w:val="0"/>
              <w:wordWrap/>
              <w:topLinePunct w:val="0"/>
              <w:bidi w:val="0"/>
              <w:spacing w:line="240" w:lineRule="auto"/>
              <w:ind w:firstLine="0" w:firstLineChars="0"/>
              <w:jc w:val="center"/>
              <w:rPr>
                <w:color w:val="000000" w:themeColor="text1"/>
                <w:sz w:val="21"/>
                <w:szCs w:val="21"/>
                <w:highlight w:val="none"/>
              </w:rPr>
            </w:pPr>
          </w:p>
        </w:tc>
        <w:tc>
          <w:tcPr>
            <w:tcW w:w="1014" w:type="pct"/>
            <w:vAlign w:val="center"/>
          </w:tcPr>
          <w:p w14:paraId="27BCD17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24h平均</w:t>
            </w:r>
          </w:p>
        </w:tc>
        <w:tc>
          <w:tcPr>
            <w:tcW w:w="830" w:type="pct"/>
            <w:vAlign w:val="center"/>
          </w:tcPr>
          <w:p w14:paraId="20EA4FF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80</w:t>
            </w:r>
          </w:p>
        </w:tc>
        <w:tc>
          <w:tcPr>
            <w:tcW w:w="893" w:type="pct"/>
            <w:vMerge w:val="continue"/>
            <w:vAlign w:val="center"/>
          </w:tcPr>
          <w:p w14:paraId="3FD5493D">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5BA49E41">
            <w:pPr>
              <w:pageBreakBefore w:val="0"/>
              <w:wordWrap/>
              <w:topLinePunct w:val="0"/>
              <w:bidi w:val="0"/>
              <w:spacing w:line="240" w:lineRule="auto"/>
              <w:ind w:firstLine="0" w:firstLineChars="0"/>
              <w:jc w:val="center"/>
              <w:rPr>
                <w:color w:val="000000" w:themeColor="text1"/>
                <w:sz w:val="21"/>
                <w:szCs w:val="21"/>
                <w:highlight w:val="none"/>
              </w:rPr>
            </w:pPr>
          </w:p>
        </w:tc>
      </w:tr>
      <w:tr w14:paraId="4DE6CF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126DD885">
            <w:pPr>
              <w:pageBreakBefore w:val="0"/>
              <w:wordWrap/>
              <w:topLinePunct w:val="0"/>
              <w:bidi w:val="0"/>
              <w:spacing w:line="240" w:lineRule="auto"/>
              <w:ind w:firstLine="0" w:firstLineChars="0"/>
              <w:jc w:val="center"/>
              <w:rPr>
                <w:color w:val="000000" w:themeColor="text1"/>
                <w:sz w:val="21"/>
                <w:szCs w:val="21"/>
                <w:highlight w:val="none"/>
              </w:rPr>
            </w:pPr>
          </w:p>
        </w:tc>
        <w:tc>
          <w:tcPr>
            <w:tcW w:w="1014" w:type="pct"/>
            <w:vAlign w:val="center"/>
          </w:tcPr>
          <w:p w14:paraId="46C5C3E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1h平均</w:t>
            </w:r>
          </w:p>
        </w:tc>
        <w:tc>
          <w:tcPr>
            <w:tcW w:w="830" w:type="pct"/>
            <w:vAlign w:val="center"/>
          </w:tcPr>
          <w:p w14:paraId="7B3D8CD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200</w:t>
            </w:r>
          </w:p>
        </w:tc>
        <w:tc>
          <w:tcPr>
            <w:tcW w:w="893" w:type="pct"/>
            <w:vMerge w:val="continue"/>
            <w:vAlign w:val="center"/>
          </w:tcPr>
          <w:p w14:paraId="3798C90D">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670B91E9">
            <w:pPr>
              <w:pageBreakBefore w:val="0"/>
              <w:wordWrap/>
              <w:topLinePunct w:val="0"/>
              <w:bidi w:val="0"/>
              <w:spacing w:line="240" w:lineRule="auto"/>
              <w:ind w:firstLine="0" w:firstLineChars="0"/>
              <w:jc w:val="center"/>
              <w:rPr>
                <w:color w:val="000000" w:themeColor="text1"/>
                <w:sz w:val="21"/>
                <w:szCs w:val="21"/>
                <w:highlight w:val="none"/>
              </w:rPr>
            </w:pPr>
          </w:p>
        </w:tc>
      </w:tr>
      <w:tr w14:paraId="71BA48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71774F0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TSP</w:t>
            </w:r>
          </w:p>
        </w:tc>
        <w:tc>
          <w:tcPr>
            <w:tcW w:w="1014" w:type="pct"/>
            <w:vAlign w:val="center"/>
          </w:tcPr>
          <w:p w14:paraId="525FADD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年平均</w:t>
            </w:r>
          </w:p>
        </w:tc>
        <w:tc>
          <w:tcPr>
            <w:tcW w:w="830" w:type="pct"/>
            <w:vAlign w:val="center"/>
          </w:tcPr>
          <w:p w14:paraId="40A7DE7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200</w:t>
            </w:r>
          </w:p>
        </w:tc>
        <w:tc>
          <w:tcPr>
            <w:tcW w:w="893" w:type="pct"/>
            <w:vMerge w:val="continue"/>
            <w:vAlign w:val="center"/>
          </w:tcPr>
          <w:p w14:paraId="6D199845">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58700443">
            <w:pPr>
              <w:pageBreakBefore w:val="0"/>
              <w:wordWrap/>
              <w:topLinePunct w:val="0"/>
              <w:bidi w:val="0"/>
              <w:spacing w:line="240" w:lineRule="auto"/>
              <w:ind w:firstLine="0" w:firstLineChars="0"/>
              <w:jc w:val="center"/>
              <w:rPr>
                <w:color w:val="000000" w:themeColor="text1"/>
                <w:sz w:val="21"/>
                <w:szCs w:val="21"/>
                <w:highlight w:val="none"/>
              </w:rPr>
            </w:pPr>
          </w:p>
        </w:tc>
      </w:tr>
      <w:tr w14:paraId="7E59D6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2F75E890">
            <w:pPr>
              <w:pageBreakBefore w:val="0"/>
              <w:wordWrap/>
              <w:topLinePunct w:val="0"/>
              <w:bidi w:val="0"/>
              <w:spacing w:line="240" w:lineRule="auto"/>
              <w:ind w:firstLine="0" w:firstLineChars="0"/>
              <w:jc w:val="center"/>
              <w:rPr>
                <w:color w:val="000000" w:themeColor="text1"/>
                <w:sz w:val="21"/>
                <w:szCs w:val="21"/>
                <w:highlight w:val="none"/>
              </w:rPr>
            </w:pPr>
          </w:p>
        </w:tc>
        <w:tc>
          <w:tcPr>
            <w:tcW w:w="1014" w:type="pct"/>
            <w:vAlign w:val="center"/>
          </w:tcPr>
          <w:p w14:paraId="621830A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24h平均</w:t>
            </w:r>
          </w:p>
        </w:tc>
        <w:tc>
          <w:tcPr>
            <w:tcW w:w="830" w:type="pct"/>
            <w:vAlign w:val="center"/>
          </w:tcPr>
          <w:p w14:paraId="1BD05ED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300</w:t>
            </w:r>
          </w:p>
        </w:tc>
        <w:tc>
          <w:tcPr>
            <w:tcW w:w="893" w:type="pct"/>
            <w:vMerge w:val="continue"/>
            <w:vAlign w:val="center"/>
          </w:tcPr>
          <w:p w14:paraId="00174182">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0DE96DBB">
            <w:pPr>
              <w:pageBreakBefore w:val="0"/>
              <w:wordWrap/>
              <w:topLinePunct w:val="0"/>
              <w:bidi w:val="0"/>
              <w:spacing w:line="240" w:lineRule="auto"/>
              <w:ind w:firstLine="0" w:firstLineChars="0"/>
              <w:jc w:val="center"/>
              <w:rPr>
                <w:color w:val="000000" w:themeColor="text1"/>
                <w:sz w:val="21"/>
                <w:szCs w:val="21"/>
                <w:highlight w:val="none"/>
              </w:rPr>
            </w:pPr>
          </w:p>
        </w:tc>
      </w:tr>
      <w:tr w14:paraId="67741D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10047B9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CO</w:t>
            </w:r>
          </w:p>
        </w:tc>
        <w:tc>
          <w:tcPr>
            <w:tcW w:w="1014" w:type="pct"/>
            <w:vAlign w:val="center"/>
          </w:tcPr>
          <w:p w14:paraId="4A7BAEF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24h平均</w:t>
            </w:r>
          </w:p>
        </w:tc>
        <w:tc>
          <w:tcPr>
            <w:tcW w:w="830" w:type="pct"/>
            <w:vAlign w:val="center"/>
          </w:tcPr>
          <w:p w14:paraId="1E2E095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4</w:t>
            </w:r>
          </w:p>
        </w:tc>
        <w:tc>
          <w:tcPr>
            <w:tcW w:w="893" w:type="pct"/>
            <w:vMerge w:val="restart"/>
            <w:vAlign w:val="center"/>
          </w:tcPr>
          <w:p w14:paraId="7911662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mg/m</w:t>
            </w:r>
            <w:r>
              <w:rPr>
                <w:color w:val="000000" w:themeColor="text1"/>
                <w:sz w:val="21"/>
                <w:szCs w:val="21"/>
                <w:highlight w:val="none"/>
                <w:vertAlign w:val="superscript"/>
              </w:rPr>
              <w:t>3</w:t>
            </w:r>
          </w:p>
        </w:tc>
        <w:tc>
          <w:tcPr>
            <w:tcW w:w="1572" w:type="pct"/>
            <w:vMerge w:val="continue"/>
            <w:vAlign w:val="center"/>
          </w:tcPr>
          <w:p w14:paraId="16BAB16F">
            <w:pPr>
              <w:pageBreakBefore w:val="0"/>
              <w:wordWrap/>
              <w:topLinePunct w:val="0"/>
              <w:bidi w:val="0"/>
              <w:spacing w:line="240" w:lineRule="auto"/>
              <w:ind w:firstLine="0" w:firstLineChars="0"/>
              <w:jc w:val="center"/>
              <w:rPr>
                <w:color w:val="000000" w:themeColor="text1"/>
                <w:sz w:val="21"/>
                <w:szCs w:val="21"/>
                <w:highlight w:val="none"/>
              </w:rPr>
            </w:pPr>
          </w:p>
        </w:tc>
      </w:tr>
      <w:tr w14:paraId="281840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58AE101E">
            <w:pPr>
              <w:pageBreakBefore w:val="0"/>
              <w:wordWrap/>
              <w:topLinePunct w:val="0"/>
              <w:bidi w:val="0"/>
              <w:spacing w:line="240" w:lineRule="auto"/>
              <w:ind w:firstLine="420"/>
              <w:jc w:val="center"/>
              <w:rPr>
                <w:color w:val="000000" w:themeColor="text1"/>
                <w:sz w:val="21"/>
                <w:szCs w:val="21"/>
                <w:highlight w:val="none"/>
              </w:rPr>
            </w:pPr>
          </w:p>
        </w:tc>
        <w:tc>
          <w:tcPr>
            <w:tcW w:w="1014" w:type="pct"/>
            <w:vAlign w:val="center"/>
          </w:tcPr>
          <w:p w14:paraId="22BE6E7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1h平均</w:t>
            </w:r>
          </w:p>
        </w:tc>
        <w:tc>
          <w:tcPr>
            <w:tcW w:w="830" w:type="pct"/>
            <w:vAlign w:val="center"/>
          </w:tcPr>
          <w:p w14:paraId="524E445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w:t>
            </w:r>
          </w:p>
        </w:tc>
        <w:tc>
          <w:tcPr>
            <w:tcW w:w="893" w:type="pct"/>
            <w:vMerge w:val="continue"/>
            <w:vAlign w:val="center"/>
          </w:tcPr>
          <w:p w14:paraId="021FA20A">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323923F8">
            <w:pPr>
              <w:pageBreakBefore w:val="0"/>
              <w:wordWrap/>
              <w:topLinePunct w:val="0"/>
              <w:bidi w:val="0"/>
              <w:spacing w:line="240" w:lineRule="auto"/>
              <w:ind w:firstLine="0" w:firstLineChars="0"/>
              <w:jc w:val="center"/>
              <w:rPr>
                <w:color w:val="000000" w:themeColor="text1"/>
                <w:sz w:val="21"/>
                <w:szCs w:val="21"/>
                <w:highlight w:val="none"/>
              </w:rPr>
            </w:pPr>
          </w:p>
        </w:tc>
      </w:tr>
      <w:tr w14:paraId="68D30E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1B7D7FE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PM</w:t>
            </w:r>
            <w:r>
              <w:rPr>
                <w:color w:val="000000" w:themeColor="text1"/>
                <w:sz w:val="21"/>
                <w:szCs w:val="21"/>
                <w:highlight w:val="none"/>
                <w:vertAlign w:val="subscript"/>
              </w:rPr>
              <w:t>10</w:t>
            </w:r>
          </w:p>
        </w:tc>
        <w:tc>
          <w:tcPr>
            <w:tcW w:w="1014" w:type="pct"/>
            <w:vAlign w:val="center"/>
          </w:tcPr>
          <w:p w14:paraId="53B9C49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年平均</w:t>
            </w:r>
          </w:p>
        </w:tc>
        <w:tc>
          <w:tcPr>
            <w:tcW w:w="830" w:type="pct"/>
            <w:vAlign w:val="center"/>
          </w:tcPr>
          <w:p w14:paraId="440B3CF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70</w:t>
            </w:r>
          </w:p>
        </w:tc>
        <w:tc>
          <w:tcPr>
            <w:tcW w:w="893" w:type="pct"/>
            <w:vMerge w:val="restart"/>
            <w:vAlign w:val="center"/>
          </w:tcPr>
          <w:p w14:paraId="3D02EF1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μg/m</w:t>
            </w:r>
            <w:r>
              <w:rPr>
                <w:color w:val="000000" w:themeColor="text1"/>
                <w:sz w:val="21"/>
                <w:szCs w:val="21"/>
                <w:highlight w:val="none"/>
                <w:vertAlign w:val="superscript"/>
              </w:rPr>
              <w:t>3</w:t>
            </w:r>
          </w:p>
        </w:tc>
        <w:tc>
          <w:tcPr>
            <w:tcW w:w="1572" w:type="pct"/>
            <w:vMerge w:val="continue"/>
            <w:vAlign w:val="center"/>
          </w:tcPr>
          <w:p w14:paraId="38FA1545">
            <w:pPr>
              <w:pageBreakBefore w:val="0"/>
              <w:wordWrap/>
              <w:topLinePunct w:val="0"/>
              <w:bidi w:val="0"/>
              <w:spacing w:line="240" w:lineRule="auto"/>
              <w:ind w:firstLine="0" w:firstLineChars="0"/>
              <w:jc w:val="center"/>
              <w:rPr>
                <w:color w:val="000000" w:themeColor="text1"/>
                <w:sz w:val="21"/>
                <w:szCs w:val="21"/>
                <w:highlight w:val="none"/>
              </w:rPr>
            </w:pPr>
          </w:p>
        </w:tc>
      </w:tr>
      <w:tr w14:paraId="798AD4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538E3C39">
            <w:pPr>
              <w:pageBreakBefore w:val="0"/>
              <w:wordWrap/>
              <w:topLinePunct w:val="0"/>
              <w:bidi w:val="0"/>
              <w:spacing w:line="240" w:lineRule="auto"/>
              <w:ind w:firstLine="420"/>
              <w:jc w:val="center"/>
              <w:rPr>
                <w:color w:val="000000" w:themeColor="text1"/>
                <w:sz w:val="21"/>
                <w:szCs w:val="21"/>
                <w:highlight w:val="none"/>
              </w:rPr>
            </w:pPr>
          </w:p>
        </w:tc>
        <w:tc>
          <w:tcPr>
            <w:tcW w:w="1014" w:type="pct"/>
            <w:vAlign w:val="center"/>
          </w:tcPr>
          <w:p w14:paraId="4828BA0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24h平均</w:t>
            </w:r>
          </w:p>
        </w:tc>
        <w:tc>
          <w:tcPr>
            <w:tcW w:w="830" w:type="pct"/>
            <w:vAlign w:val="center"/>
          </w:tcPr>
          <w:p w14:paraId="2B95ACE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150</w:t>
            </w:r>
          </w:p>
        </w:tc>
        <w:tc>
          <w:tcPr>
            <w:tcW w:w="893" w:type="pct"/>
            <w:vMerge w:val="continue"/>
            <w:vAlign w:val="center"/>
          </w:tcPr>
          <w:p w14:paraId="0953F30F">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29DF46D0">
            <w:pPr>
              <w:pageBreakBefore w:val="0"/>
              <w:wordWrap/>
              <w:topLinePunct w:val="0"/>
              <w:bidi w:val="0"/>
              <w:spacing w:line="240" w:lineRule="auto"/>
              <w:ind w:firstLine="0" w:firstLineChars="0"/>
              <w:jc w:val="center"/>
              <w:rPr>
                <w:color w:val="000000" w:themeColor="text1"/>
                <w:sz w:val="21"/>
                <w:szCs w:val="21"/>
                <w:highlight w:val="none"/>
              </w:rPr>
            </w:pPr>
          </w:p>
        </w:tc>
      </w:tr>
      <w:tr w14:paraId="4CDD32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627B149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PM</w:t>
            </w:r>
            <w:r>
              <w:rPr>
                <w:color w:val="000000" w:themeColor="text1"/>
                <w:sz w:val="21"/>
                <w:szCs w:val="21"/>
                <w:highlight w:val="none"/>
                <w:vertAlign w:val="subscript"/>
              </w:rPr>
              <w:t>2.5</w:t>
            </w:r>
          </w:p>
        </w:tc>
        <w:tc>
          <w:tcPr>
            <w:tcW w:w="1014" w:type="pct"/>
            <w:vAlign w:val="center"/>
          </w:tcPr>
          <w:p w14:paraId="54846A1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年平均</w:t>
            </w:r>
          </w:p>
        </w:tc>
        <w:tc>
          <w:tcPr>
            <w:tcW w:w="830" w:type="pct"/>
            <w:vAlign w:val="center"/>
          </w:tcPr>
          <w:p w14:paraId="4210C72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35</w:t>
            </w:r>
          </w:p>
        </w:tc>
        <w:tc>
          <w:tcPr>
            <w:tcW w:w="893" w:type="pct"/>
            <w:vMerge w:val="continue"/>
            <w:vAlign w:val="center"/>
          </w:tcPr>
          <w:p w14:paraId="7C018424">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2FB98A49">
            <w:pPr>
              <w:pageBreakBefore w:val="0"/>
              <w:wordWrap/>
              <w:topLinePunct w:val="0"/>
              <w:bidi w:val="0"/>
              <w:spacing w:line="240" w:lineRule="auto"/>
              <w:ind w:firstLine="0" w:firstLineChars="0"/>
              <w:jc w:val="center"/>
              <w:rPr>
                <w:color w:val="000000" w:themeColor="text1"/>
                <w:sz w:val="21"/>
                <w:szCs w:val="21"/>
                <w:highlight w:val="none"/>
              </w:rPr>
            </w:pPr>
          </w:p>
        </w:tc>
      </w:tr>
      <w:tr w14:paraId="64D372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trPr>
        <w:tc>
          <w:tcPr>
            <w:tcW w:w="691" w:type="pct"/>
            <w:vMerge w:val="continue"/>
            <w:vAlign w:val="center"/>
          </w:tcPr>
          <w:p w14:paraId="3E1348EB">
            <w:pPr>
              <w:pageBreakBefore w:val="0"/>
              <w:wordWrap/>
              <w:topLinePunct w:val="0"/>
              <w:bidi w:val="0"/>
              <w:spacing w:line="240" w:lineRule="auto"/>
              <w:ind w:firstLine="420"/>
              <w:jc w:val="center"/>
              <w:rPr>
                <w:color w:val="000000" w:themeColor="text1"/>
                <w:sz w:val="21"/>
                <w:szCs w:val="21"/>
                <w:highlight w:val="none"/>
              </w:rPr>
            </w:pPr>
          </w:p>
        </w:tc>
        <w:tc>
          <w:tcPr>
            <w:tcW w:w="1014" w:type="pct"/>
            <w:vAlign w:val="center"/>
          </w:tcPr>
          <w:p w14:paraId="3444F7C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24h平均</w:t>
            </w:r>
          </w:p>
        </w:tc>
        <w:tc>
          <w:tcPr>
            <w:tcW w:w="830" w:type="pct"/>
            <w:vAlign w:val="center"/>
          </w:tcPr>
          <w:p w14:paraId="269DE3E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75</w:t>
            </w:r>
          </w:p>
        </w:tc>
        <w:tc>
          <w:tcPr>
            <w:tcW w:w="893" w:type="pct"/>
            <w:vMerge w:val="continue"/>
            <w:vAlign w:val="center"/>
          </w:tcPr>
          <w:p w14:paraId="07144E97">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58D043BB">
            <w:pPr>
              <w:pageBreakBefore w:val="0"/>
              <w:wordWrap/>
              <w:topLinePunct w:val="0"/>
              <w:bidi w:val="0"/>
              <w:spacing w:line="240" w:lineRule="auto"/>
              <w:ind w:firstLine="0" w:firstLineChars="0"/>
              <w:jc w:val="center"/>
              <w:rPr>
                <w:color w:val="000000" w:themeColor="text1"/>
                <w:sz w:val="21"/>
                <w:szCs w:val="21"/>
                <w:highlight w:val="none"/>
              </w:rPr>
            </w:pPr>
          </w:p>
        </w:tc>
      </w:tr>
      <w:tr w14:paraId="1CB00D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60618BC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SO</w:t>
            </w:r>
            <w:r>
              <w:rPr>
                <w:color w:val="000000" w:themeColor="text1"/>
                <w:sz w:val="21"/>
                <w:szCs w:val="21"/>
                <w:highlight w:val="none"/>
                <w:vertAlign w:val="subscript"/>
              </w:rPr>
              <w:t>2</w:t>
            </w:r>
          </w:p>
        </w:tc>
        <w:tc>
          <w:tcPr>
            <w:tcW w:w="1014" w:type="pct"/>
            <w:vAlign w:val="center"/>
          </w:tcPr>
          <w:p w14:paraId="306916D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年平均</w:t>
            </w:r>
          </w:p>
        </w:tc>
        <w:tc>
          <w:tcPr>
            <w:tcW w:w="830" w:type="pct"/>
            <w:vAlign w:val="center"/>
          </w:tcPr>
          <w:p w14:paraId="48B1C4F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60</w:t>
            </w:r>
          </w:p>
        </w:tc>
        <w:tc>
          <w:tcPr>
            <w:tcW w:w="893" w:type="pct"/>
            <w:vMerge w:val="continue"/>
            <w:vAlign w:val="center"/>
          </w:tcPr>
          <w:p w14:paraId="32707474">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209A8FEA">
            <w:pPr>
              <w:pageBreakBefore w:val="0"/>
              <w:wordWrap/>
              <w:topLinePunct w:val="0"/>
              <w:bidi w:val="0"/>
              <w:spacing w:line="240" w:lineRule="auto"/>
              <w:ind w:firstLine="0" w:firstLineChars="0"/>
              <w:jc w:val="center"/>
              <w:rPr>
                <w:color w:val="000000" w:themeColor="text1"/>
                <w:sz w:val="21"/>
                <w:szCs w:val="21"/>
                <w:highlight w:val="none"/>
              </w:rPr>
            </w:pPr>
          </w:p>
        </w:tc>
      </w:tr>
      <w:tr w14:paraId="6DA49E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1BF97392">
            <w:pPr>
              <w:pageBreakBefore w:val="0"/>
              <w:wordWrap/>
              <w:topLinePunct w:val="0"/>
              <w:bidi w:val="0"/>
              <w:spacing w:line="240" w:lineRule="auto"/>
              <w:ind w:firstLine="420"/>
              <w:jc w:val="center"/>
              <w:rPr>
                <w:color w:val="000000" w:themeColor="text1"/>
                <w:sz w:val="21"/>
                <w:szCs w:val="21"/>
                <w:highlight w:val="none"/>
              </w:rPr>
            </w:pPr>
          </w:p>
        </w:tc>
        <w:tc>
          <w:tcPr>
            <w:tcW w:w="1014" w:type="pct"/>
            <w:vAlign w:val="center"/>
          </w:tcPr>
          <w:p w14:paraId="6079343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24小时平均</w:t>
            </w:r>
          </w:p>
        </w:tc>
        <w:tc>
          <w:tcPr>
            <w:tcW w:w="830" w:type="pct"/>
            <w:vAlign w:val="center"/>
          </w:tcPr>
          <w:p w14:paraId="6C1ECE9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150</w:t>
            </w:r>
          </w:p>
        </w:tc>
        <w:tc>
          <w:tcPr>
            <w:tcW w:w="893" w:type="pct"/>
            <w:vMerge w:val="continue"/>
            <w:vAlign w:val="center"/>
          </w:tcPr>
          <w:p w14:paraId="2949FDCD">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0E236DE8">
            <w:pPr>
              <w:pageBreakBefore w:val="0"/>
              <w:wordWrap/>
              <w:topLinePunct w:val="0"/>
              <w:bidi w:val="0"/>
              <w:spacing w:line="240" w:lineRule="auto"/>
              <w:ind w:firstLine="0" w:firstLineChars="0"/>
              <w:jc w:val="center"/>
              <w:rPr>
                <w:color w:val="000000" w:themeColor="text1"/>
                <w:sz w:val="21"/>
                <w:szCs w:val="21"/>
                <w:highlight w:val="none"/>
              </w:rPr>
            </w:pPr>
          </w:p>
        </w:tc>
      </w:tr>
      <w:tr w14:paraId="60E2FB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trPr>
        <w:tc>
          <w:tcPr>
            <w:tcW w:w="691" w:type="pct"/>
            <w:vMerge w:val="continue"/>
            <w:vAlign w:val="center"/>
          </w:tcPr>
          <w:p w14:paraId="34FBDC7E">
            <w:pPr>
              <w:pageBreakBefore w:val="0"/>
              <w:wordWrap/>
              <w:topLinePunct w:val="0"/>
              <w:bidi w:val="0"/>
              <w:spacing w:line="240" w:lineRule="auto"/>
              <w:ind w:firstLine="420"/>
              <w:jc w:val="center"/>
              <w:rPr>
                <w:color w:val="000000" w:themeColor="text1"/>
                <w:sz w:val="21"/>
                <w:szCs w:val="21"/>
                <w:highlight w:val="none"/>
              </w:rPr>
            </w:pPr>
          </w:p>
        </w:tc>
        <w:tc>
          <w:tcPr>
            <w:tcW w:w="1014" w:type="pct"/>
            <w:vAlign w:val="center"/>
          </w:tcPr>
          <w:p w14:paraId="246EA51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1小时平均</w:t>
            </w:r>
          </w:p>
        </w:tc>
        <w:tc>
          <w:tcPr>
            <w:tcW w:w="830" w:type="pct"/>
            <w:vAlign w:val="center"/>
          </w:tcPr>
          <w:p w14:paraId="051D5B2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500</w:t>
            </w:r>
          </w:p>
        </w:tc>
        <w:tc>
          <w:tcPr>
            <w:tcW w:w="893" w:type="pct"/>
            <w:vMerge w:val="continue"/>
            <w:vAlign w:val="center"/>
          </w:tcPr>
          <w:p w14:paraId="6DCC76BD">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1793BBA0">
            <w:pPr>
              <w:pageBreakBefore w:val="0"/>
              <w:wordWrap/>
              <w:topLinePunct w:val="0"/>
              <w:bidi w:val="0"/>
              <w:spacing w:line="240" w:lineRule="auto"/>
              <w:ind w:firstLine="0" w:firstLineChars="0"/>
              <w:jc w:val="center"/>
              <w:rPr>
                <w:color w:val="000000" w:themeColor="text1"/>
                <w:sz w:val="21"/>
                <w:szCs w:val="21"/>
                <w:highlight w:val="none"/>
              </w:rPr>
            </w:pPr>
          </w:p>
        </w:tc>
      </w:tr>
      <w:tr w14:paraId="186427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restart"/>
            <w:vAlign w:val="center"/>
          </w:tcPr>
          <w:p w14:paraId="124BBC1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O</w:t>
            </w:r>
            <w:r>
              <w:rPr>
                <w:color w:val="000000" w:themeColor="text1"/>
                <w:sz w:val="21"/>
                <w:szCs w:val="21"/>
                <w:highlight w:val="none"/>
                <w:vertAlign w:val="subscript"/>
              </w:rPr>
              <w:t>3</w:t>
            </w:r>
          </w:p>
        </w:tc>
        <w:tc>
          <w:tcPr>
            <w:tcW w:w="1014" w:type="pct"/>
            <w:vAlign w:val="center"/>
          </w:tcPr>
          <w:p w14:paraId="7F60DFD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日最大8h平均</w:t>
            </w:r>
          </w:p>
        </w:tc>
        <w:tc>
          <w:tcPr>
            <w:tcW w:w="830" w:type="pct"/>
            <w:vAlign w:val="center"/>
          </w:tcPr>
          <w:p w14:paraId="13289A0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160</w:t>
            </w:r>
          </w:p>
        </w:tc>
        <w:tc>
          <w:tcPr>
            <w:tcW w:w="893" w:type="pct"/>
            <w:vMerge w:val="continue"/>
            <w:vAlign w:val="center"/>
          </w:tcPr>
          <w:p w14:paraId="45F7EF21">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15D233E7">
            <w:pPr>
              <w:pageBreakBefore w:val="0"/>
              <w:wordWrap/>
              <w:topLinePunct w:val="0"/>
              <w:bidi w:val="0"/>
              <w:spacing w:line="240" w:lineRule="auto"/>
              <w:ind w:firstLine="0" w:firstLineChars="0"/>
              <w:jc w:val="center"/>
              <w:rPr>
                <w:color w:val="000000" w:themeColor="text1"/>
                <w:sz w:val="21"/>
                <w:szCs w:val="21"/>
                <w:highlight w:val="none"/>
              </w:rPr>
            </w:pPr>
          </w:p>
        </w:tc>
      </w:tr>
      <w:tr w14:paraId="0210A7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691" w:type="pct"/>
            <w:vMerge w:val="continue"/>
            <w:vAlign w:val="center"/>
          </w:tcPr>
          <w:p w14:paraId="52AD86A1">
            <w:pPr>
              <w:pageBreakBefore w:val="0"/>
              <w:wordWrap/>
              <w:topLinePunct w:val="0"/>
              <w:bidi w:val="0"/>
              <w:spacing w:line="240" w:lineRule="auto"/>
              <w:ind w:firstLine="420"/>
              <w:rPr>
                <w:color w:val="000000" w:themeColor="text1"/>
                <w:sz w:val="21"/>
                <w:szCs w:val="21"/>
                <w:highlight w:val="none"/>
              </w:rPr>
            </w:pPr>
          </w:p>
        </w:tc>
        <w:tc>
          <w:tcPr>
            <w:tcW w:w="1014" w:type="pct"/>
            <w:vAlign w:val="center"/>
          </w:tcPr>
          <w:p w14:paraId="4EFB0AC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1h平均</w:t>
            </w:r>
          </w:p>
        </w:tc>
        <w:tc>
          <w:tcPr>
            <w:tcW w:w="830" w:type="pct"/>
            <w:vAlign w:val="center"/>
          </w:tcPr>
          <w:p w14:paraId="6897292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200</w:t>
            </w:r>
          </w:p>
        </w:tc>
        <w:tc>
          <w:tcPr>
            <w:tcW w:w="893" w:type="pct"/>
            <w:vMerge w:val="continue"/>
            <w:vAlign w:val="center"/>
          </w:tcPr>
          <w:p w14:paraId="20929BF4">
            <w:pPr>
              <w:pageBreakBefore w:val="0"/>
              <w:wordWrap/>
              <w:topLinePunct w:val="0"/>
              <w:bidi w:val="0"/>
              <w:spacing w:line="240" w:lineRule="auto"/>
              <w:ind w:firstLine="0" w:firstLineChars="0"/>
              <w:jc w:val="center"/>
              <w:rPr>
                <w:color w:val="000000" w:themeColor="text1"/>
                <w:sz w:val="21"/>
                <w:szCs w:val="21"/>
                <w:highlight w:val="none"/>
              </w:rPr>
            </w:pPr>
          </w:p>
        </w:tc>
        <w:tc>
          <w:tcPr>
            <w:tcW w:w="1572" w:type="pct"/>
            <w:vMerge w:val="continue"/>
            <w:vAlign w:val="center"/>
          </w:tcPr>
          <w:p w14:paraId="0A3044F0">
            <w:pPr>
              <w:pageBreakBefore w:val="0"/>
              <w:wordWrap/>
              <w:topLinePunct w:val="0"/>
              <w:bidi w:val="0"/>
              <w:spacing w:line="240" w:lineRule="auto"/>
              <w:ind w:firstLine="0" w:firstLineChars="0"/>
              <w:jc w:val="center"/>
              <w:rPr>
                <w:color w:val="000000" w:themeColor="text1"/>
                <w:sz w:val="21"/>
                <w:szCs w:val="21"/>
                <w:highlight w:val="none"/>
              </w:rPr>
            </w:pPr>
          </w:p>
        </w:tc>
      </w:tr>
      <w:bookmarkEnd w:id="169"/>
    </w:tbl>
    <w:p w14:paraId="2B5785F9">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2.7.2.3</w:t>
      </w:r>
      <w:r>
        <w:rPr>
          <w:color w:val="000000" w:themeColor="text1"/>
          <w:highlight w:val="none"/>
        </w:rPr>
        <w:t>声环境</w:t>
      </w:r>
    </w:p>
    <w:p w14:paraId="12F43AEA">
      <w:pPr>
        <w:pageBreakBefore w:val="0"/>
        <w:widowControl/>
        <w:wordWrap/>
        <w:topLinePunct w:val="0"/>
        <w:bidi w:val="0"/>
        <w:spacing w:line="360" w:lineRule="auto"/>
        <w:rPr>
          <w:color w:val="000000" w:themeColor="text1"/>
          <w:highlight w:val="none"/>
        </w:rPr>
      </w:pPr>
      <w:bookmarkStart w:id="170" w:name="_Hlk84852733"/>
      <w:r>
        <w:rPr>
          <w:rFonts w:hint="eastAsia"/>
          <w:color w:val="000000" w:themeColor="text1"/>
          <w:highlight w:val="none"/>
        </w:rPr>
        <w:t>（1）现状声环境</w:t>
      </w:r>
    </w:p>
    <w:p w14:paraId="4F5D7C87">
      <w:pPr>
        <w:pageBreakBefore w:val="0"/>
        <w:wordWrap/>
        <w:topLinePunct w:val="0"/>
        <w:bidi w:val="0"/>
        <w:spacing w:line="360" w:lineRule="auto"/>
        <w:ind w:firstLine="720" w:firstLineChars="300"/>
        <w:rPr>
          <w:rFonts w:hint="eastAsia" w:eastAsia="宋体"/>
          <w:color w:val="000000" w:themeColor="text1"/>
          <w:highlight w:val="none"/>
          <w:lang w:val="en-US" w:eastAsia="zh-CN"/>
        </w:rPr>
      </w:pPr>
      <w:r>
        <w:rPr>
          <w:rFonts w:hint="eastAsia"/>
          <w:color w:val="000000" w:themeColor="text1"/>
          <w:highlight w:val="none"/>
          <w:lang w:val="en-US" w:eastAsia="zh-CN"/>
        </w:rPr>
        <w:t>本项目新建连接线0.218km位于机场评价范围内，飞机执飞期执行</w:t>
      </w:r>
      <w:r>
        <w:rPr>
          <w:rFonts w:hint="eastAsia"/>
          <w:snapToGrid w:val="0"/>
          <w:color w:val="000000" w:themeColor="text1"/>
          <w:highlight w:val="none"/>
          <w:lang w:val="en-US" w:eastAsia="zh-CN"/>
        </w:rPr>
        <w:t>《机场周围飞机噪声环境标准》（GB9660-88）二类区域的标准</w:t>
      </w:r>
      <w:r>
        <w:rPr>
          <w:rFonts w:hint="eastAsia"/>
          <w:color w:val="000000" w:themeColor="text1"/>
          <w:highlight w:val="none"/>
          <w:lang w:val="en-US" w:eastAsia="zh-CN"/>
        </w:rPr>
        <w:t>，非飞机执飞期执行</w:t>
      </w:r>
      <w:r>
        <w:rPr>
          <w:rFonts w:hint="eastAsia"/>
          <w:snapToGrid w:val="0"/>
          <w:color w:val="000000" w:themeColor="text1"/>
          <w:highlight w:val="none"/>
          <w:lang w:val="en-US" w:eastAsia="zh-CN"/>
        </w:rPr>
        <w:t>《声环境质量标准》（GB3096-2008）的2类标准；</w:t>
      </w:r>
      <w:r>
        <w:rPr>
          <w:rFonts w:hint="eastAsia"/>
          <w:color w:val="000000" w:themeColor="text1"/>
          <w:highlight w:val="none"/>
          <w:lang w:val="en-US" w:eastAsia="zh-CN"/>
        </w:rPr>
        <w:t>新建机场进场路主线6.323km不在机场评价范围内，执行</w:t>
      </w:r>
      <w:r>
        <w:rPr>
          <w:rFonts w:hint="eastAsia"/>
          <w:snapToGrid w:val="0"/>
          <w:color w:val="000000" w:themeColor="text1"/>
          <w:highlight w:val="none"/>
          <w:lang w:val="en-US" w:eastAsia="zh-CN"/>
        </w:rPr>
        <w:t>《声环境质量标准》（GB3096-2008）的2类标准</w:t>
      </w:r>
      <w:r>
        <w:rPr>
          <w:rFonts w:hint="eastAsia"/>
          <w:color w:val="000000" w:themeColor="text1"/>
          <w:highlight w:val="none"/>
          <w:lang w:val="en-US" w:eastAsia="zh-CN"/>
        </w:rPr>
        <w:t>。</w:t>
      </w:r>
    </w:p>
    <w:p w14:paraId="297368E7">
      <w:pPr>
        <w:pageBreakBefore w:val="0"/>
        <w:numPr>
          <w:ilvl w:val="0"/>
          <w:numId w:val="0"/>
        </w:numPr>
        <w:wordWrap/>
        <w:topLinePunct w:val="0"/>
        <w:bidi w:val="0"/>
        <w:spacing w:line="360" w:lineRule="auto"/>
        <w:ind w:firstLine="480" w:firstLineChars="200"/>
        <w:rPr>
          <w:color w:val="000000" w:themeColor="text1"/>
          <w:highlight w:val="none"/>
        </w:rPr>
      </w:pPr>
      <w:r>
        <w:rPr>
          <w:rFonts w:ascii="Times New Roman" w:hAnsi="Times New Roman" w:eastAsia="宋体" w:cs="Times New Roman"/>
          <w:color w:val="000000" w:themeColor="text1"/>
          <w:kern w:val="2"/>
          <w:sz w:val="24"/>
          <w:szCs w:val="24"/>
          <w:highlight w:val="none"/>
          <w:lang w:val="en-US" w:eastAsia="zh-CN" w:bidi="ar-SA"/>
        </w:rPr>
        <w:t>（2）</w:t>
      </w:r>
      <w:r>
        <w:rPr>
          <w:color w:val="000000" w:themeColor="text1"/>
          <w:highlight w:val="none"/>
        </w:rPr>
        <w:t>项目建成后声环境</w:t>
      </w:r>
    </w:p>
    <w:p w14:paraId="7BD464AE">
      <w:pPr>
        <w:pageBreakBefore w:val="0"/>
        <w:widowControl/>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本项目运营期公路边界线外两侧40m范围内区域公路噪声执行《声环境质量标准》（GB3096-2008）中4a类标准；40m范围以外、机场评价范围内飞机执飞期执行</w:t>
      </w:r>
      <w:r>
        <w:rPr>
          <w:rFonts w:hint="eastAsia"/>
          <w:snapToGrid w:val="0"/>
          <w:color w:val="000000" w:themeColor="text1"/>
          <w:highlight w:val="none"/>
          <w:lang w:val="en-US" w:eastAsia="zh-CN"/>
        </w:rPr>
        <w:t>《机场周围飞机噪声环境标准》（GB9660-88）二类区域的标准</w:t>
      </w:r>
      <w:r>
        <w:rPr>
          <w:rFonts w:hint="eastAsia"/>
          <w:color w:val="000000" w:themeColor="text1"/>
          <w:highlight w:val="none"/>
          <w:lang w:val="en-US" w:eastAsia="zh-CN"/>
        </w:rPr>
        <w:t>，其他区域以及非飞机执飞期公路噪声执行《声环境质量标准》（GB3096-2008）中2类标准。</w:t>
      </w:r>
    </w:p>
    <w:p w14:paraId="620223ED">
      <w:pPr>
        <w:pageBreakBefore w:val="0"/>
        <w:wordWrap/>
        <w:topLinePunct w:val="0"/>
        <w:bidi w:val="0"/>
        <w:spacing w:line="360" w:lineRule="auto"/>
        <w:ind w:firstLine="482"/>
        <w:jc w:val="center"/>
        <w:rPr>
          <w:b/>
          <w:bCs/>
          <w:color w:val="000000" w:themeColor="text1"/>
          <w:highlight w:val="none"/>
        </w:rPr>
      </w:pPr>
    </w:p>
    <w:p w14:paraId="31553847">
      <w:pPr>
        <w:pageBreakBefore w:val="0"/>
        <w:wordWrap/>
        <w:topLinePunct w:val="0"/>
        <w:bidi w:val="0"/>
        <w:spacing w:line="360" w:lineRule="auto"/>
        <w:ind w:firstLine="482"/>
        <w:jc w:val="center"/>
        <w:rPr>
          <w:b/>
          <w:bCs/>
          <w:color w:val="000000" w:themeColor="text1"/>
          <w:highlight w:val="none"/>
        </w:rPr>
      </w:pPr>
    </w:p>
    <w:p w14:paraId="3F06FEBC">
      <w:pPr>
        <w:pageBreakBefore w:val="0"/>
        <w:wordWrap/>
        <w:topLinePunct w:val="0"/>
        <w:bidi w:val="0"/>
        <w:spacing w:line="360" w:lineRule="auto"/>
        <w:ind w:firstLine="482"/>
        <w:jc w:val="center"/>
        <w:rPr>
          <w:b/>
          <w:bCs/>
          <w:color w:val="000000" w:themeColor="text1"/>
          <w:highlight w:val="none"/>
        </w:rPr>
      </w:pPr>
      <w:r>
        <w:rPr>
          <w:b/>
          <w:bCs/>
          <w:color w:val="000000" w:themeColor="text1"/>
          <w:highlight w:val="none"/>
        </w:rPr>
        <w:t>表2.</w:t>
      </w:r>
      <w:r>
        <w:rPr>
          <w:rFonts w:hint="eastAsia"/>
          <w:b/>
          <w:bCs/>
          <w:color w:val="000000" w:themeColor="text1"/>
          <w:highlight w:val="none"/>
          <w:lang w:val="en-US" w:eastAsia="zh-CN"/>
        </w:rPr>
        <w:t>7</w:t>
      </w:r>
      <w:r>
        <w:rPr>
          <w:b/>
          <w:bCs/>
          <w:color w:val="000000" w:themeColor="text1"/>
          <w:highlight w:val="none"/>
        </w:rPr>
        <w:t>-3  声环境质量标准</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49"/>
        <w:gridCol w:w="1176"/>
        <w:gridCol w:w="1573"/>
        <w:gridCol w:w="1600"/>
        <w:gridCol w:w="2921"/>
      </w:tblGrid>
      <w:tr w14:paraId="6EB197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33" w:type="pct"/>
            <w:vAlign w:val="center"/>
          </w:tcPr>
          <w:p w14:paraId="1DD17350">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序号</w:t>
            </w:r>
          </w:p>
        </w:tc>
        <w:tc>
          <w:tcPr>
            <w:tcW w:w="690" w:type="pct"/>
            <w:vAlign w:val="center"/>
          </w:tcPr>
          <w:p w14:paraId="219DECDC">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类别</w:t>
            </w:r>
          </w:p>
        </w:tc>
        <w:tc>
          <w:tcPr>
            <w:tcW w:w="923" w:type="pct"/>
            <w:vAlign w:val="center"/>
          </w:tcPr>
          <w:p w14:paraId="4B80E320">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昼间</w:t>
            </w:r>
          </w:p>
        </w:tc>
        <w:tc>
          <w:tcPr>
            <w:tcW w:w="939" w:type="pct"/>
            <w:vAlign w:val="center"/>
          </w:tcPr>
          <w:p w14:paraId="540DB875">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夜间</w:t>
            </w:r>
          </w:p>
        </w:tc>
        <w:tc>
          <w:tcPr>
            <w:tcW w:w="1714" w:type="pct"/>
            <w:vAlign w:val="center"/>
          </w:tcPr>
          <w:p w14:paraId="64C97F4E">
            <w:pPr>
              <w:pStyle w:val="84"/>
              <w:pageBreakBefore w:val="0"/>
              <w:wordWrap/>
              <w:topLinePunct w:val="0"/>
              <w:bidi w:val="0"/>
              <w:spacing w:line="240" w:lineRule="auto"/>
              <w:jc w:val="center"/>
              <w:rPr>
                <w:rFonts w:hint="eastAsia" w:hAnsi="Times New Roman" w:eastAsia="宋体"/>
                <w:color w:val="000000" w:themeColor="text1"/>
                <w:highlight w:val="none"/>
                <w:lang w:val="en-US" w:eastAsia="zh-CN"/>
              </w:rPr>
            </w:pPr>
            <w:r>
              <w:rPr>
                <w:rFonts w:hint="eastAsia" w:hAnsi="Times New Roman"/>
                <w:color w:val="000000" w:themeColor="text1"/>
                <w:highlight w:val="none"/>
                <w:lang w:val="en-US" w:eastAsia="zh-CN"/>
              </w:rPr>
              <w:t>执行标准</w:t>
            </w:r>
          </w:p>
        </w:tc>
      </w:tr>
      <w:tr w14:paraId="79875E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33" w:type="pct"/>
            <w:vAlign w:val="center"/>
          </w:tcPr>
          <w:p w14:paraId="5D39774D">
            <w:pPr>
              <w:pStyle w:val="84"/>
              <w:pageBreakBefore w:val="0"/>
              <w:wordWrap/>
              <w:topLinePunct w:val="0"/>
              <w:bidi w:val="0"/>
              <w:spacing w:line="240" w:lineRule="auto"/>
              <w:jc w:val="center"/>
              <w:rPr>
                <w:rFonts w:hAnsi="Times New Roman"/>
                <w:color w:val="000000" w:themeColor="text1"/>
                <w:highlight w:val="none"/>
              </w:rPr>
            </w:pPr>
            <w:r>
              <w:rPr>
                <w:rFonts w:hint="eastAsia" w:hAnsi="Times New Roman"/>
                <w:color w:val="000000" w:themeColor="text1"/>
                <w:highlight w:val="none"/>
              </w:rPr>
              <w:t>1</w:t>
            </w:r>
          </w:p>
        </w:tc>
        <w:tc>
          <w:tcPr>
            <w:tcW w:w="690" w:type="pct"/>
            <w:vAlign w:val="center"/>
          </w:tcPr>
          <w:p w14:paraId="25B284DF">
            <w:pPr>
              <w:pStyle w:val="84"/>
              <w:pageBreakBefore w:val="0"/>
              <w:wordWrap/>
              <w:topLinePunct w:val="0"/>
              <w:bidi w:val="0"/>
              <w:spacing w:line="240" w:lineRule="auto"/>
              <w:jc w:val="center"/>
              <w:rPr>
                <w:rFonts w:hAnsi="Times New Roman"/>
                <w:color w:val="000000" w:themeColor="text1"/>
                <w:highlight w:val="none"/>
              </w:rPr>
            </w:pPr>
            <w:r>
              <w:rPr>
                <w:rFonts w:hint="eastAsia" w:hAnsi="Times New Roman"/>
                <w:color w:val="000000" w:themeColor="text1"/>
                <w:highlight w:val="none"/>
                <w:lang w:val="en-US" w:eastAsia="zh-CN"/>
              </w:rPr>
              <w:t>2</w:t>
            </w:r>
            <w:r>
              <w:rPr>
                <w:rFonts w:hint="eastAsia" w:hAnsi="Times New Roman"/>
                <w:color w:val="000000" w:themeColor="text1"/>
                <w:highlight w:val="none"/>
              </w:rPr>
              <w:t>类</w:t>
            </w:r>
          </w:p>
        </w:tc>
        <w:tc>
          <w:tcPr>
            <w:tcW w:w="923" w:type="pct"/>
            <w:shd w:val="clear" w:color="auto" w:fill="auto"/>
            <w:vAlign w:val="center"/>
          </w:tcPr>
          <w:p w14:paraId="465B1EF1">
            <w:pPr>
              <w:pStyle w:val="84"/>
              <w:pageBreakBefore w:val="0"/>
              <w:wordWrap/>
              <w:topLinePunct w:val="0"/>
              <w:bidi w:val="0"/>
              <w:spacing w:line="240" w:lineRule="auto"/>
              <w:jc w:val="center"/>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60dB（A）</w:t>
            </w:r>
          </w:p>
        </w:tc>
        <w:tc>
          <w:tcPr>
            <w:tcW w:w="939" w:type="pct"/>
            <w:shd w:val="clear" w:color="auto" w:fill="auto"/>
            <w:vAlign w:val="center"/>
          </w:tcPr>
          <w:p w14:paraId="4E64C149">
            <w:pPr>
              <w:pStyle w:val="84"/>
              <w:pageBreakBefore w:val="0"/>
              <w:wordWrap/>
              <w:topLinePunct w:val="0"/>
              <w:bidi w:val="0"/>
              <w:spacing w:line="240" w:lineRule="auto"/>
              <w:jc w:val="center"/>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50dB（A）</w:t>
            </w:r>
          </w:p>
        </w:tc>
        <w:tc>
          <w:tcPr>
            <w:tcW w:w="1714" w:type="pct"/>
            <w:vMerge w:val="restart"/>
            <w:vAlign w:val="center"/>
          </w:tcPr>
          <w:p w14:paraId="069301EB">
            <w:pPr>
              <w:pStyle w:val="84"/>
              <w:pageBreakBefore w:val="0"/>
              <w:wordWrap/>
              <w:topLinePunct w:val="0"/>
              <w:bidi w:val="0"/>
              <w:spacing w:line="240" w:lineRule="auto"/>
              <w:jc w:val="center"/>
              <w:rPr>
                <w:rFonts w:hint="eastAsia" w:hAnsi="Times New Roman"/>
                <w:color w:val="000000" w:themeColor="text1"/>
                <w:highlight w:val="none"/>
                <w:lang w:val="en-US" w:eastAsia="zh-CN"/>
              </w:rPr>
            </w:pPr>
            <w:r>
              <w:rPr>
                <w:rFonts w:hint="eastAsia"/>
                <w:color w:val="000000" w:themeColor="text1"/>
                <w:highlight w:val="none"/>
                <w:lang w:val="en-US" w:eastAsia="zh-CN"/>
              </w:rPr>
              <w:t>《声环境质量标准》（GB3096-2008）</w:t>
            </w:r>
          </w:p>
        </w:tc>
      </w:tr>
      <w:tr w14:paraId="6373A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33" w:type="pct"/>
            <w:vAlign w:val="center"/>
          </w:tcPr>
          <w:p w14:paraId="42027AC8">
            <w:pPr>
              <w:pStyle w:val="84"/>
              <w:pageBreakBefore w:val="0"/>
              <w:wordWrap/>
              <w:topLinePunct w:val="0"/>
              <w:bidi w:val="0"/>
              <w:spacing w:line="240" w:lineRule="auto"/>
              <w:jc w:val="center"/>
              <w:rPr>
                <w:rFonts w:hint="eastAsia" w:hAnsi="Times New Roman" w:eastAsia="宋体"/>
                <w:color w:val="000000" w:themeColor="text1"/>
                <w:highlight w:val="none"/>
                <w:lang w:eastAsia="zh-CN"/>
              </w:rPr>
            </w:pPr>
            <w:r>
              <w:rPr>
                <w:rFonts w:hint="eastAsia" w:hAnsi="Times New Roman"/>
                <w:color w:val="000000" w:themeColor="text1"/>
                <w:highlight w:val="none"/>
                <w:lang w:val="en-US" w:eastAsia="zh-CN"/>
              </w:rPr>
              <w:t>2</w:t>
            </w:r>
          </w:p>
        </w:tc>
        <w:tc>
          <w:tcPr>
            <w:tcW w:w="690" w:type="pct"/>
            <w:vAlign w:val="center"/>
          </w:tcPr>
          <w:p w14:paraId="6D0CF3F0">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4a类</w:t>
            </w:r>
          </w:p>
        </w:tc>
        <w:tc>
          <w:tcPr>
            <w:tcW w:w="923" w:type="pct"/>
            <w:shd w:val="clear" w:color="auto" w:fill="auto"/>
            <w:vAlign w:val="center"/>
          </w:tcPr>
          <w:p w14:paraId="2AE78F32">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70</w:t>
            </w:r>
            <w:r>
              <w:rPr>
                <w:rFonts w:hint="eastAsia" w:hAnsi="Times New Roman"/>
                <w:color w:val="000000" w:themeColor="text1"/>
                <w:highlight w:val="none"/>
                <w:lang w:val="en-US" w:eastAsia="zh-CN"/>
              </w:rPr>
              <w:t>dB（A）</w:t>
            </w:r>
          </w:p>
        </w:tc>
        <w:tc>
          <w:tcPr>
            <w:tcW w:w="939" w:type="pct"/>
            <w:shd w:val="clear" w:color="auto" w:fill="auto"/>
            <w:vAlign w:val="center"/>
          </w:tcPr>
          <w:p w14:paraId="0211DE72">
            <w:pPr>
              <w:pStyle w:val="84"/>
              <w:pageBreakBefore w:val="0"/>
              <w:wordWrap/>
              <w:topLinePunct w:val="0"/>
              <w:bidi w:val="0"/>
              <w:spacing w:line="240" w:lineRule="auto"/>
              <w:jc w:val="center"/>
              <w:rPr>
                <w:rFonts w:hAnsi="Times New Roman"/>
                <w:color w:val="000000" w:themeColor="text1"/>
                <w:highlight w:val="none"/>
              </w:rPr>
            </w:pPr>
            <w:r>
              <w:rPr>
                <w:rFonts w:hAnsi="Times New Roman"/>
                <w:color w:val="000000" w:themeColor="text1"/>
                <w:highlight w:val="none"/>
              </w:rPr>
              <w:t>55</w:t>
            </w:r>
            <w:r>
              <w:rPr>
                <w:rFonts w:hint="eastAsia" w:hAnsi="Times New Roman"/>
                <w:color w:val="000000" w:themeColor="text1"/>
                <w:highlight w:val="none"/>
                <w:lang w:val="en-US" w:eastAsia="zh-CN"/>
              </w:rPr>
              <w:t>dB（A）</w:t>
            </w:r>
          </w:p>
        </w:tc>
        <w:tc>
          <w:tcPr>
            <w:tcW w:w="1714" w:type="pct"/>
            <w:vMerge w:val="continue"/>
            <w:vAlign w:val="center"/>
          </w:tcPr>
          <w:p w14:paraId="629FE164">
            <w:pPr>
              <w:pStyle w:val="84"/>
              <w:pageBreakBefore w:val="0"/>
              <w:wordWrap/>
              <w:topLinePunct w:val="0"/>
              <w:bidi w:val="0"/>
              <w:spacing w:line="240" w:lineRule="auto"/>
              <w:jc w:val="center"/>
              <w:rPr>
                <w:rFonts w:hAnsi="Times New Roman"/>
                <w:color w:val="000000" w:themeColor="text1"/>
                <w:highlight w:val="none"/>
              </w:rPr>
            </w:pPr>
          </w:p>
        </w:tc>
      </w:tr>
      <w:tr w14:paraId="5995A7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33" w:type="pct"/>
            <w:vAlign w:val="center"/>
          </w:tcPr>
          <w:p w14:paraId="414285D6">
            <w:pPr>
              <w:pStyle w:val="84"/>
              <w:pageBreakBefore w:val="0"/>
              <w:wordWrap/>
              <w:topLinePunct w:val="0"/>
              <w:bidi w:val="0"/>
              <w:spacing w:line="240" w:lineRule="auto"/>
              <w:jc w:val="center"/>
              <w:rPr>
                <w:rFonts w:hint="default" w:hAnsi="Times New Roman"/>
                <w:color w:val="000000" w:themeColor="text1"/>
                <w:highlight w:val="none"/>
                <w:lang w:val="en-US" w:eastAsia="zh-CN"/>
              </w:rPr>
            </w:pPr>
            <w:bookmarkStart w:id="171" w:name="_Toc16062"/>
            <w:bookmarkStart w:id="172" w:name="_Toc10067"/>
            <w:r>
              <w:rPr>
                <w:rFonts w:hint="eastAsia" w:hAnsi="Times New Roman"/>
                <w:color w:val="000000" w:themeColor="text1"/>
                <w:highlight w:val="none"/>
                <w:lang w:val="en-US" w:eastAsia="zh-CN"/>
              </w:rPr>
              <w:t>3</w:t>
            </w:r>
          </w:p>
        </w:tc>
        <w:tc>
          <w:tcPr>
            <w:tcW w:w="690" w:type="pct"/>
            <w:vAlign w:val="center"/>
          </w:tcPr>
          <w:p w14:paraId="705AF5D0">
            <w:pPr>
              <w:pStyle w:val="84"/>
              <w:pageBreakBefore w:val="0"/>
              <w:wordWrap/>
              <w:topLinePunct w:val="0"/>
              <w:bidi w:val="0"/>
              <w:spacing w:line="240" w:lineRule="auto"/>
              <w:jc w:val="center"/>
              <w:rPr>
                <w:rFonts w:hint="default" w:hAnsi="Times New Roman"/>
                <w:color w:val="000000" w:themeColor="text1"/>
                <w:highlight w:val="none"/>
                <w:lang w:val="en-US"/>
              </w:rPr>
            </w:pPr>
            <w:r>
              <w:rPr>
                <w:rFonts w:hint="eastAsia" w:hAnsi="Times New Roman"/>
                <w:color w:val="000000" w:themeColor="text1"/>
                <w:highlight w:val="none"/>
                <w:lang w:val="en-US" w:eastAsia="zh-CN"/>
              </w:rPr>
              <w:t>二类区域</w:t>
            </w:r>
          </w:p>
        </w:tc>
        <w:tc>
          <w:tcPr>
            <w:tcW w:w="1862" w:type="pct"/>
            <w:gridSpan w:val="2"/>
            <w:shd w:val="clear" w:color="auto" w:fill="auto"/>
            <w:vAlign w:val="center"/>
          </w:tcPr>
          <w:p w14:paraId="32216364">
            <w:pPr>
              <w:pStyle w:val="84"/>
              <w:pageBreakBefore w:val="0"/>
              <w:wordWrap/>
              <w:topLinePunct w:val="0"/>
              <w:bidi w:val="0"/>
              <w:spacing w:line="240" w:lineRule="auto"/>
              <w:jc w:val="center"/>
              <w:rPr>
                <w:rFonts w:hint="default" w:hAnsi="Times New Roman" w:eastAsia="宋体"/>
                <w:color w:val="000000" w:themeColor="text1"/>
                <w:highlight w:val="none"/>
                <w:lang w:val="en-US" w:eastAsia="zh-CN"/>
              </w:rPr>
            </w:pPr>
            <w:r>
              <w:rPr>
                <w:rFonts w:hint="eastAsia" w:hAnsi="Times New Roman"/>
                <w:color w:val="000000" w:themeColor="text1"/>
                <w:highlight w:val="none"/>
                <w:lang w:val="en-US" w:eastAsia="zh-CN"/>
              </w:rPr>
              <w:t>≤75dB</w:t>
            </w:r>
          </w:p>
        </w:tc>
        <w:tc>
          <w:tcPr>
            <w:tcW w:w="1714" w:type="pct"/>
            <w:vAlign w:val="center"/>
          </w:tcPr>
          <w:p w14:paraId="05D8A24C">
            <w:pPr>
              <w:pStyle w:val="84"/>
              <w:pageBreakBefore w:val="0"/>
              <w:wordWrap/>
              <w:topLinePunct w:val="0"/>
              <w:bidi w:val="0"/>
              <w:spacing w:line="240" w:lineRule="auto"/>
              <w:jc w:val="center"/>
              <w:rPr>
                <w:rFonts w:hAnsi="Times New Roman"/>
                <w:color w:val="000000" w:themeColor="text1"/>
                <w:highlight w:val="none"/>
              </w:rPr>
            </w:pPr>
            <w:r>
              <w:rPr>
                <w:rFonts w:hint="eastAsia"/>
                <w:color w:val="000000" w:themeColor="text1"/>
                <w:highlight w:val="none"/>
                <w:lang w:val="en-US" w:eastAsia="zh-CN"/>
              </w:rPr>
              <w:t>《机场周围飞机噪声环境标准》（GB9660-88）</w:t>
            </w:r>
          </w:p>
        </w:tc>
      </w:tr>
      <w:bookmarkEnd w:id="170"/>
    </w:tbl>
    <w:p w14:paraId="5715266D">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2.7.2</w:t>
      </w:r>
      <w:r>
        <w:rPr>
          <w:color w:val="000000" w:themeColor="text1"/>
          <w:highlight w:val="none"/>
        </w:rPr>
        <w:t>污染物排放标准</w:t>
      </w:r>
      <w:bookmarkEnd w:id="171"/>
      <w:bookmarkEnd w:id="172"/>
    </w:p>
    <w:p w14:paraId="5C07B194">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2.7.2.1</w:t>
      </w:r>
      <w:r>
        <w:rPr>
          <w:color w:val="000000" w:themeColor="text1"/>
          <w:highlight w:val="none"/>
        </w:rPr>
        <w:t>废水</w:t>
      </w:r>
    </w:p>
    <w:p w14:paraId="0CE02DA0">
      <w:pPr>
        <w:pageBreakBefore w:val="0"/>
        <w:wordWrap/>
        <w:topLinePunct w:val="0"/>
        <w:bidi w:val="0"/>
        <w:spacing w:line="360" w:lineRule="auto"/>
        <w:rPr>
          <w:color w:val="000000" w:themeColor="text1"/>
          <w:highlight w:val="none"/>
        </w:rPr>
      </w:pPr>
      <w:bookmarkStart w:id="173" w:name="_Hlk84920304"/>
      <w:r>
        <w:rPr>
          <w:rFonts w:hint="eastAsia"/>
          <w:color w:val="000000" w:themeColor="text1"/>
          <w:highlight w:val="none"/>
          <w:lang w:val="en-US" w:eastAsia="zh-CN"/>
        </w:rPr>
        <w:t>施工期生活废水化粪池收集后定期清运处理，生产废水沉淀池隔油池处理后，回用于洒水降尘，不外排。</w:t>
      </w:r>
    </w:p>
    <w:bookmarkEnd w:id="173"/>
    <w:p w14:paraId="47D48195">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2.7.2.2</w:t>
      </w:r>
      <w:r>
        <w:rPr>
          <w:color w:val="000000" w:themeColor="text1"/>
          <w:highlight w:val="none"/>
        </w:rPr>
        <w:t>废气</w:t>
      </w:r>
    </w:p>
    <w:p w14:paraId="15C1F07F">
      <w:pPr>
        <w:pageBreakBefore w:val="0"/>
        <w:wordWrap/>
        <w:topLinePunct w:val="0"/>
        <w:bidi w:val="0"/>
        <w:spacing w:line="360" w:lineRule="auto"/>
        <w:rPr>
          <w:color w:val="000000" w:themeColor="text1"/>
          <w:highlight w:val="none"/>
        </w:rPr>
      </w:pPr>
      <w:bookmarkStart w:id="174" w:name="_Hlk84920314"/>
      <w:r>
        <w:rPr>
          <w:color w:val="000000" w:themeColor="text1"/>
          <w:highlight w:val="none"/>
        </w:rPr>
        <w:t>本项目</w:t>
      </w:r>
      <w:r>
        <w:rPr>
          <w:rFonts w:hint="eastAsia"/>
          <w:color w:val="000000" w:themeColor="text1"/>
          <w:highlight w:val="none"/>
          <w:lang w:val="en-US" w:eastAsia="zh-CN"/>
        </w:rPr>
        <w:t>施工期基层（水稳、混凝土）拌合站及预制梁场污染物执行《水泥工业大气污染物排放标准》（</w:t>
      </w:r>
      <w:r>
        <w:rPr>
          <w:rFonts w:hint="default"/>
          <w:color w:val="000000" w:themeColor="text1"/>
          <w:highlight w:val="none"/>
          <w:lang w:val="en-US" w:eastAsia="zh-CN"/>
        </w:rPr>
        <w:t>GB4915-2013</w:t>
      </w:r>
      <w:r>
        <w:rPr>
          <w:rFonts w:hint="eastAsia"/>
          <w:color w:val="000000" w:themeColor="text1"/>
          <w:highlight w:val="none"/>
          <w:lang w:val="en-US" w:eastAsia="zh-CN"/>
        </w:rPr>
        <w:t>）中的颗粒物排放标准限值（有组织排放限值</w:t>
      </w:r>
      <w:r>
        <w:rPr>
          <w:rFonts w:hint="default"/>
          <w:color w:val="000000" w:themeColor="text1"/>
          <w:highlight w:val="none"/>
          <w:lang w:val="en-US" w:eastAsia="zh-CN"/>
        </w:rPr>
        <w:t>20mg/m</w:t>
      </w:r>
      <w:r>
        <w:rPr>
          <w:rFonts w:hint="default"/>
          <w:color w:val="000000" w:themeColor="text1"/>
          <w:highlight w:val="none"/>
          <w:vertAlign w:val="superscript"/>
          <w:lang w:val="en-US" w:eastAsia="zh-CN"/>
        </w:rPr>
        <w:t>3</w:t>
      </w:r>
      <w:r>
        <w:rPr>
          <w:rFonts w:hint="eastAsia"/>
          <w:color w:val="000000" w:themeColor="text1"/>
          <w:highlight w:val="none"/>
          <w:lang w:val="en-US" w:eastAsia="zh-CN"/>
        </w:rPr>
        <w:t>；无组织排放限值</w:t>
      </w:r>
      <w:r>
        <w:rPr>
          <w:rFonts w:hint="default"/>
          <w:color w:val="000000" w:themeColor="text1"/>
          <w:highlight w:val="none"/>
          <w:lang w:val="en-US" w:eastAsia="zh-CN"/>
        </w:rPr>
        <w:t>0.5mg/m</w:t>
      </w:r>
      <w:r>
        <w:rPr>
          <w:rFonts w:hint="default"/>
          <w:color w:val="000000" w:themeColor="text1"/>
          <w:highlight w:val="none"/>
          <w:vertAlign w:val="superscript"/>
          <w:lang w:val="en-US" w:eastAsia="zh-CN"/>
        </w:rPr>
        <w:t>3</w:t>
      </w:r>
      <w:r>
        <w:rPr>
          <w:rFonts w:hint="eastAsia"/>
          <w:color w:val="000000" w:themeColor="text1"/>
          <w:highlight w:val="none"/>
          <w:lang w:val="en-US" w:eastAsia="zh-CN"/>
        </w:rPr>
        <w:t>）；</w:t>
      </w:r>
      <w:r>
        <w:rPr>
          <w:color w:val="000000" w:themeColor="text1"/>
          <w:highlight w:val="none"/>
        </w:rPr>
        <w:t>施工期</w:t>
      </w:r>
      <w:r>
        <w:rPr>
          <w:rFonts w:hint="eastAsia"/>
          <w:color w:val="000000" w:themeColor="text1"/>
          <w:highlight w:val="none"/>
        </w:rPr>
        <w:t>扬尘</w:t>
      </w:r>
      <w:r>
        <w:rPr>
          <w:rFonts w:hint="eastAsia"/>
          <w:color w:val="000000" w:themeColor="text1"/>
          <w:highlight w:val="none"/>
          <w:lang w:eastAsia="zh-CN"/>
        </w:rPr>
        <w:t>、</w:t>
      </w:r>
      <w:r>
        <w:rPr>
          <w:rFonts w:hint="eastAsia"/>
          <w:color w:val="000000" w:themeColor="text1"/>
          <w:highlight w:val="none"/>
          <w:lang w:val="en-US" w:eastAsia="zh-CN"/>
        </w:rPr>
        <w:t>面层拌合站污染物、沥青混凝土拌合站</w:t>
      </w:r>
      <w:r>
        <w:rPr>
          <w:color w:val="000000" w:themeColor="text1"/>
          <w:highlight w:val="none"/>
        </w:rPr>
        <w:t>沥青烟</w:t>
      </w:r>
      <w:r>
        <w:rPr>
          <w:rFonts w:hint="eastAsia"/>
          <w:color w:val="000000" w:themeColor="text1"/>
          <w:highlight w:val="none"/>
        </w:rPr>
        <w:t>、苯并[a]芘</w:t>
      </w:r>
      <w:r>
        <w:rPr>
          <w:color w:val="000000" w:themeColor="text1"/>
          <w:highlight w:val="none"/>
        </w:rPr>
        <w:t>执行《大气污染物综合排放标准》（GB16297-1996）。</w:t>
      </w:r>
    </w:p>
    <w:p w14:paraId="5838E3F2">
      <w:pPr>
        <w:pageBreakBefore w:val="0"/>
        <w:wordWrap/>
        <w:topLinePunct w:val="0"/>
        <w:bidi w:val="0"/>
        <w:spacing w:line="360" w:lineRule="auto"/>
        <w:ind w:left="0" w:leftChars="0" w:firstLine="0" w:firstLineChars="0"/>
        <w:jc w:val="center"/>
        <w:rPr>
          <w:b/>
          <w:bCs/>
          <w:color w:val="000000" w:themeColor="text1"/>
          <w:highlight w:val="none"/>
        </w:rPr>
      </w:pPr>
      <w:r>
        <w:rPr>
          <w:b/>
          <w:bCs/>
          <w:color w:val="000000" w:themeColor="text1"/>
          <w:highlight w:val="none"/>
        </w:rPr>
        <w:t>表2.</w:t>
      </w:r>
      <w:r>
        <w:rPr>
          <w:rFonts w:hint="eastAsia"/>
          <w:b/>
          <w:bCs/>
          <w:color w:val="000000" w:themeColor="text1"/>
          <w:highlight w:val="none"/>
          <w:lang w:val="en-US" w:eastAsia="zh-CN"/>
        </w:rPr>
        <w:t>7-4</w:t>
      </w:r>
      <w:r>
        <w:rPr>
          <w:b/>
          <w:bCs/>
          <w:color w:val="000000" w:themeColor="text1"/>
          <w:highlight w:val="none"/>
        </w:rPr>
        <w:t xml:space="preserve">  大气污染物排放标准</w:t>
      </w:r>
    </w:p>
    <w:tbl>
      <w:tblPr>
        <w:tblStyle w:val="132"/>
        <w:tblW w:w="8417" w:type="dxa"/>
        <w:tblInd w:w="52"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0" w:type="dxa"/>
          <w:bottom w:w="0" w:type="dxa"/>
          <w:right w:w="0" w:type="dxa"/>
        </w:tblCellMar>
      </w:tblPr>
      <w:tblGrid>
        <w:gridCol w:w="701"/>
        <w:gridCol w:w="2538"/>
        <w:gridCol w:w="1365"/>
        <w:gridCol w:w="1533"/>
        <w:gridCol w:w="938"/>
        <w:gridCol w:w="1342"/>
      </w:tblGrid>
      <w:tr w14:paraId="309C47D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restart"/>
            <w:tcBorders>
              <w:tl2br w:val="nil"/>
              <w:tr2bl w:val="nil"/>
            </w:tcBorders>
            <w:vAlign w:val="center"/>
          </w:tcPr>
          <w:p w14:paraId="04CD699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类别</w:t>
            </w:r>
          </w:p>
        </w:tc>
        <w:tc>
          <w:tcPr>
            <w:tcW w:w="2538" w:type="dxa"/>
            <w:vMerge w:val="restart"/>
            <w:tcBorders>
              <w:tl2br w:val="nil"/>
              <w:tr2bl w:val="nil"/>
            </w:tcBorders>
            <w:vAlign w:val="center"/>
          </w:tcPr>
          <w:p w14:paraId="1DE5D6B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标准名称及级（类）别</w:t>
            </w:r>
          </w:p>
        </w:tc>
        <w:tc>
          <w:tcPr>
            <w:tcW w:w="1365" w:type="dxa"/>
            <w:vMerge w:val="restart"/>
            <w:tcBorders>
              <w:tl2br w:val="nil"/>
              <w:tr2bl w:val="nil"/>
            </w:tcBorders>
            <w:vAlign w:val="center"/>
          </w:tcPr>
          <w:p w14:paraId="6D6743B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污染因子</w:t>
            </w:r>
          </w:p>
        </w:tc>
        <w:tc>
          <w:tcPr>
            <w:tcW w:w="3813" w:type="dxa"/>
            <w:gridSpan w:val="3"/>
            <w:tcBorders>
              <w:tl2br w:val="nil"/>
              <w:tr2bl w:val="nil"/>
            </w:tcBorders>
            <w:vAlign w:val="center"/>
          </w:tcPr>
          <w:p w14:paraId="5E47451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标准值</w:t>
            </w:r>
          </w:p>
        </w:tc>
      </w:tr>
      <w:tr w14:paraId="4DE8FB9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4ADC4BD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2F85810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15D8BAA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471" w:type="dxa"/>
            <w:gridSpan w:val="2"/>
            <w:tcBorders>
              <w:tl2br w:val="nil"/>
              <w:tr2bl w:val="nil"/>
            </w:tcBorders>
            <w:vAlign w:val="center"/>
          </w:tcPr>
          <w:p w14:paraId="50476FA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单位</w:t>
            </w:r>
          </w:p>
        </w:tc>
        <w:tc>
          <w:tcPr>
            <w:tcW w:w="1342" w:type="dxa"/>
            <w:tcBorders>
              <w:tl2br w:val="nil"/>
              <w:tr2bl w:val="nil"/>
            </w:tcBorders>
            <w:vAlign w:val="center"/>
          </w:tcPr>
          <w:p w14:paraId="78A8D00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数值</w:t>
            </w:r>
          </w:p>
        </w:tc>
      </w:tr>
      <w:tr w14:paraId="054FD20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restart"/>
            <w:tcBorders>
              <w:tl2br w:val="nil"/>
              <w:tr2bl w:val="nil"/>
            </w:tcBorders>
            <w:vAlign w:val="center"/>
          </w:tcPr>
          <w:p w14:paraId="61FD543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废气</w:t>
            </w:r>
          </w:p>
        </w:tc>
        <w:tc>
          <w:tcPr>
            <w:tcW w:w="2538" w:type="dxa"/>
            <w:vMerge w:val="restart"/>
            <w:tcBorders>
              <w:tl2br w:val="nil"/>
              <w:tr2bl w:val="nil"/>
            </w:tcBorders>
            <w:vAlign w:val="center"/>
          </w:tcPr>
          <w:p w14:paraId="193C05F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《大气污染物综合排放标准》（GB16297-1996）表2中二级标准要求</w:t>
            </w:r>
          </w:p>
        </w:tc>
        <w:tc>
          <w:tcPr>
            <w:tcW w:w="1365" w:type="dxa"/>
            <w:vMerge w:val="restart"/>
            <w:tcBorders>
              <w:tl2br w:val="nil"/>
              <w:tr2bl w:val="nil"/>
            </w:tcBorders>
            <w:vAlign w:val="center"/>
          </w:tcPr>
          <w:p w14:paraId="646626CB">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颗粒物</w:t>
            </w:r>
          </w:p>
        </w:tc>
        <w:tc>
          <w:tcPr>
            <w:tcW w:w="1533" w:type="dxa"/>
            <w:vMerge w:val="restart"/>
            <w:tcBorders>
              <w:tl2br w:val="nil"/>
              <w:tr2bl w:val="nil"/>
            </w:tcBorders>
            <w:vAlign w:val="center"/>
          </w:tcPr>
          <w:p w14:paraId="692B514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15m排气筒</w:t>
            </w:r>
          </w:p>
        </w:tc>
        <w:tc>
          <w:tcPr>
            <w:tcW w:w="938" w:type="dxa"/>
            <w:tcBorders>
              <w:tl2br w:val="nil"/>
              <w:tr2bl w:val="nil"/>
            </w:tcBorders>
            <w:vAlign w:val="center"/>
          </w:tcPr>
          <w:p w14:paraId="6BC6A6E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vAlign w:val="center"/>
          </w:tcPr>
          <w:p w14:paraId="2A961CA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120</w:t>
            </w:r>
          </w:p>
        </w:tc>
      </w:tr>
      <w:tr w14:paraId="57912A7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11E8B87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0B527E8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2D0F5BE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vMerge w:val="continue"/>
            <w:tcBorders>
              <w:tl2br w:val="nil"/>
              <w:tr2bl w:val="nil"/>
            </w:tcBorders>
            <w:vAlign w:val="center"/>
          </w:tcPr>
          <w:p w14:paraId="622897E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938" w:type="dxa"/>
            <w:tcBorders>
              <w:tl2br w:val="nil"/>
              <w:tr2bl w:val="nil"/>
            </w:tcBorders>
            <w:vAlign w:val="center"/>
          </w:tcPr>
          <w:p w14:paraId="4EEB554B">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kg/h</w:t>
            </w:r>
          </w:p>
        </w:tc>
        <w:tc>
          <w:tcPr>
            <w:tcW w:w="1342" w:type="dxa"/>
            <w:tcBorders>
              <w:tl2br w:val="nil"/>
              <w:tr2bl w:val="nil"/>
            </w:tcBorders>
            <w:vAlign w:val="center"/>
          </w:tcPr>
          <w:p w14:paraId="601C107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3.5</w:t>
            </w:r>
          </w:p>
        </w:tc>
      </w:tr>
      <w:tr w14:paraId="2FFFFCC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41B1D4E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41358DB3">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000561C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vAlign w:val="center"/>
          </w:tcPr>
          <w:p w14:paraId="4DCC8286">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938" w:type="dxa"/>
            <w:tcBorders>
              <w:tl2br w:val="nil"/>
              <w:tr2bl w:val="nil"/>
            </w:tcBorders>
            <w:vAlign w:val="center"/>
          </w:tcPr>
          <w:p w14:paraId="3EDD31E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vAlign w:val="center"/>
          </w:tcPr>
          <w:p w14:paraId="4400F45C">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1.0</w:t>
            </w:r>
          </w:p>
        </w:tc>
      </w:tr>
      <w:tr w14:paraId="3FBB974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20B34C7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38EDA0A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restart"/>
            <w:tcBorders>
              <w:tl2br w:val="nil"/>
              <w:tr2bl w:val="nil"/>
            </w:tcBorders>
            <w:vAlign w:val="center"/>
          </w:tcPr>
          <w:p w14:paraId="74C4793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非甲烷总烃</w:t>
            </w:r>
          </w:p>
        </w:tc>
        <w:tc>
          <w:tcPr>
            <w:tcW w:w="1533" w:type="dxa"/>
            <w:vMerge w:val="restart"/>
            <w:tcBorders>
              <w:tl2br w:val="nil"/>
              <w:tr2bl w:val="nil"/>
            </w:tcBorders>
            <w:shd w:val="clear" w:color="auto" w:fill="auto"/>
            <w:vAlign w:val="center"/>
          </w:tcPr>
          <w:p w14:paraId="54F635A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15m排气筒</w:t>
            </w:r>
          </w:p>
        </w:tc>
        <w:tc>
          <w:tcPr>
            <w:tcW w:w="938" w:type="dxa"/>
            <w:tcBorders>
              <w:tl2br w:val="nil"/>
              <w:tr2bl w:val="nil"/>
            </w:tcBorders>
            <w:shd w:val="clear" w:color="auto" w:fill="auto"/>
            <w:vAlign w:val="center"/>
          </w:tcPr>
          <w:p w14:paraId="3AE2EDB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shd w:val="clear" w:color="auto" w:fill="auto"/>
            <w:vAlign w:val="center"/>
          </w:tcPr>
          <w:p w14:paraId="2F87197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120</w:t>
            </w:r>
          </w:p>
        </w:tc>
      </w:tr>
      <w:tr w14:paraId="3FE2578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1F3C670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2B15DA5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77C3092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vMerge w:val="continue"/>
            <w:tcBorders>
              <w:tl2br w:val="nil"/>
              <w:tr2bl w:val="nil"/>
            </w:tcBorders>
            <w:vAlign w:val="center"/>
          </w:tcPr>
          <w:p w14:paraId="7ED994A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938" w:type="dxa"/>
            <w:tcBorders>
              <w:tl2br w:val="nil"/>
              <w:tr2bl w:val="nil"/>
            </w:tcBorders>
            <w:shd w:val="clear" w:color="auto" w:fill="auto"/>
            <w:vAlign w:val="center"/>
          </w:tcPr>
          <w:p w14:paraId="6756025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kg/h</w:t>
            </w:r>
          </w:p>
        </w:tc>
        <w:tc>
          <w:tcPr>
            <w:tcW w:w="1342" w:type="dxa"/>
            <w:tcBorders>
              <w:tl2br w:val="nil"/>
              <w:tr2bl w:val="nil"/>
            </w:tcBorders>
            <w:shd w:val="clear" w:color="auto" w:fill="auto"/>
            <w:vAlign w:val="center"/>
          </w:tcPr>
          <w:p w14:paraId="5FCB9D3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10</w:t>
            </w:r>
          </w:p>
        </w:tc>
      </w:tr>
      <w:tr w14:paraId="37BFAB7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0336399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4135275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36131F0B">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shd w:val="clear" w:color="auto" w:fill="auto"/>
            <w:vAlign w:val="center"/>
          </w:tcPr>
          <w:p w14:paraId="3041689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938" w:type="dxa"/>
            <w:tcBorders>
              <w:tl2br w:val="nil"/>
              <w:tr2bl w:val="nil"/>
            </w:tcBorders>
            <w:shd w:val="clear" w:color="auto" w:fill="auto"/>
            <w:vAlign w:val="center"/>
          </w:tcPr>
          <w:p w14:paraId="07246A7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shd w:val="clear" w:color="auto" w:fill="auto"/>
            <w:vAlign w:val="center"/>
          </w:tcPr>
          <w:p w14:paraId="2BABAC4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4.0</w:t>
            </w:r>
          </w:p>
        </w:tc>
      </w:tr>
      <w:tr w14:paraId="0ECC3E9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3636FD5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25A8E593">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restart"/>
            <w:tcBorders>
              <w:tl2br w:val="nil"/>
              <w:tr2bl w:val="nil"/>
            </w:tcBorders>
            <w:vAlign w:val="center"/>
          </w:tcPr>
          <w:p w14:paraId="34597D6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pacing w:val="6"/>
                <w:sz w:val="21"/>
                <w:szCs w:val="21"/>
                <w:highlight w:val="none"/>
              </w:rPr>
              <w:t>苯并[a]芘</w:t>
            </w:r>
          </w:p>
        </w:tc>
        <w:tc>
          <w:tcPr>
            <w:tcW w:w="1533" w:type="dxa"/>
            <w:tcBorders>
              <w:tl2br w:val="nil"/>
              <w:tr2bl w:val="nil"/>
            </w:tcBorders>
            <w:shd w:val="clear" w:color="auto" w:fill="auto"/>
            <w:vAlign w:val="center"/>
          </w:tcPr>
          <w:p w14:paraId="4C408C0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15m排气筒</w:t>
            </w:r>
          </w:p>
        </w:tc>
        <w:tc>
          <w:tcPr>
            <w:tcW w:w="938" w:type="dxa"/>
            <w:tcBorders>
              <w:tl2br w:val="nil"/>
              <w:tr2bl w:val="nil"/>
            </w:tcBorders>
            <w:shd w:val="clear" w:color="auto" w:fill="auto"/>
            <w:vAlign w:val="center"/>
          </w:tcPr>
          <w:p w14:paraId="3A44EE4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shd w:val="clear" w:color="auto" w:fill="auto"/>
            <w:vAlign w:val="center"/>
          </w:tcPr>
          <w:p w14:paraId="1888FF6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0.3×10</w:t>
            </w:r>
            <w:r>
              <w:rPr>
                <w:rFonts w:hint="default" w:ascii="Times New Roman" w:hAnsi="Times New Roman" w:cs="Times New Roman"/>
                <w:color w:val="000000" w:themeColor="text1"/>
                <w:sz w:val="21"/>
                <w:szCs w:val="21"/>
                <w:highlight w:val="none"/>
                <w:vertAlign w:val="superscript"/>
                <w:lang w:val="en-US" w:eastAsia="zh-CN"/>
              </w:rPr>
              <w:t>-3</w:t>
            </w:r>
          </w:p>
        </w:tc>
      </w:tr>
      <w:tr w14:paraId="6CF70F1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216FC3CB">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51F27A4B">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604608A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shd w:val="clear" w:color="auto" w:fill="auto"/>
            <w:vAlign w:val="center"/>
          </w:tcPr>
          <w:p w14:paraId="1E14934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938" w:type="dxa"/>
            <w:tcBorders>
              <w:tl2br w:val="nil"/>
              <w:tr2bl w:val="nil"/>
            </w:tcBorders>
            <w:shd w:val="clear" w:color="auto" w:fill="auto"/>
            <w:vAlign w:val="center"/>
          </w:tcPr>
          <w:p w14:paraId="61676DB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kg/h</w:t>
            </w:r>
          </w:p>
        </w:tc>
        <w:tc>
          <w:tcPr>
            <w:tcW w:w="1342" w:type="dxa"/>
            <w:tcBorders>
              <w:tl2br w:val="nil"/>
              <w:tr2bl w:val="nil"/>
            </w:tcBorders>
            <w:shd w:val="clear" w:color="auto" w:fill="auto"/>
            <w:vAlign w:val="center"/>
          </w:tcPr>
          <w:p w14:paraId="699CF3BB">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0.05×10</w:t>
            </w:r>
            <w:r>
              <w:rPr>
                <w:rFonts w:hint="default" w:ascii="Times New Roman" w:hAnsi="Times New Roman" w:cs="Times New Roman"/>
                <w:color w:val="000000" w:themeColor="text1"/>
                <w:sz w:val="21"/>
                <w:szCs w:val="21"/>
                <w:highlight w:val="none"/>
                <w:vertAlign w:val="superscript"/>
                <w:lang w:val="en-US" w:eastAsia="zh-CN"/>
              </w:rPr>
              <w:t>-3</w:t>
            </w:r>
          </w:p>
        </w:tc>
      </w:tr>
      <w:tr w14:paraId="50AE106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1621F20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2FB7941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0A7B81C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shd w:val="clear" w:color="auto" w:fill="auto"/>
            <w:vAlign w:val="center"/>
          </w:tcPr>
          <w:p w14:paraId="7473E47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938" w:type="dxa"/>
            <w:tcBorders>
              <w:tl2br w:val="nil"/>
              <w:tr2bl w:val="nil"/>
            </w:tcBorders>
            <w:shd w:val="clear" w:color="auto" w:fill="auto"/>
            <w:vAlign w:val="center"/>
          </w:tcPr>
          <w:p w14:paraId="3B5DB0A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μg/m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shd w:val="clear" w:color="auto" w:fill="auto"/>
            <w:vAlign w:val="center"/>
          </w:tcPr>
          <w:p w14:paraId="6E60B94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0.008</w:t>
            </w:r>
          </w:p>
        </w:tc>
      </w:tr>
      <w:tr w14:paraId="261E205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65A59EE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25EB95F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restart"/>
            <w:tcBorders>
              <w:tl2br w:val="nil"/>
              <w:tr2bl w:val="nil"/>
            </w:tcBorders>
            <w:vAlign w:val="center"/>
          </w:tcPr>
          <w:p w14:paraId="5BCC32A6">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ascii="宋体" w:hAnsi="宋体" w:eastAsia="宋体" w:cs="宋体"/>
                <w:color w:val="000000" w:themeColor="text1"/>
                <w:spacing w:val="7"/>
                <w:sz w:val="21"/>
                <w:szCs w:val="21"/>
                <w:highlight w:val="none"/>
              </w:rPr>
              <w:t>沥青</w:t>
            </w:r>
            <w:r>
              <w:rPr>
                <w:rFonts w:ascii="宋体" w:hAnsi="宋体" w:eastAsia="宋体" w:cs="宋体"/>
                <w:color w:val="000000" w:themeColor="text1"/>
                <w:spacing w:val="6"/>
                <w:sz w:val="21"/>
                <w:szCs w:val="21"/>
                <w:highlight w:val="none"/>
              </w:rPr>
              <w:t>烟</w:t>
            </w:r>
          </w:p>
        </w:tc>
        <w:tc>
          <w:tcPr>
            <w:tcW w:w="1533" w:type="dxa"/>
            <w:vMerge w:val="restart"/>
            <w:tcBorders>
              <w:tl2br w:val="nil"/>
              <w:tr2bl w:val="nil"/>
            </w:tcBorders>
            <w:shd w:val="clear" w:color="auto" w:fill="auto"/>
            <w:vAlign w:val="center"/>
          </w:tcPr>
          <w:p w14:paraId="68754E0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15m排气筒</w:t>
            </w:r>
          </w:p>
        </w:tc>
        <w:tc>
          <w:tcPr>
            <w:tcW w:w="938" w:type="dxa"/>
            <w:tcBorders>
              <w:tl2br w:val="nil"/>
              <w:tr2bl w:val="nil"/>
            </w:tcBorders>
            <w:shd w:val="clear" w:color="auto" w:fill="auto"/>
            <w:vAlign w:val="center"/>
          </w:tcPr>
          <w:p w14:paraId="230DD07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1342" w:type="dxa"/>
            <w:tcBorders>
              <w:tl2br w:val="nil"/>
              <w:tr2bl w:val="nil"/>
            </w:tcBorders>
            <w:shd w:val="clear" w:color="auto" w:fill="auto"/>
            <w:vAlign w:val="center"/>
          </w:tcPr>
          <w:p w14:paraId="7BBDE57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75</w:t>
            </w:r>
          </w:p>
        </w:tc>
      </w:tr>
      <w:tr w14:paraId="43C3B25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7DD24F2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7669E9C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0E337FF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vMerge w:val="continue"/>
            <w:tcBorders>
              <w:tl2br w:val="nil"/>
              <w:tr2bl w:val="nil"/>
            </w:tcBorders>
            <w:vAlign w:val="center"/>
          </w:tcPr>
          <w:p w14:paraId="1E1B6FB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938" w:type="dxa"/>
            <w:tcBorders>
              <w:tl2br w:val="nil"/>
              <w:tr2bl w:val="nil"/>
            </w:tcBorders>
            <w:shd w:val="clear" w:color="auto" w:fill="auto"/>
            <w:vAlign w:val="center"/>
          </w:tcPr>
          <w:p w14:paraId="4B6BE72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kg/h</w:t>
            </w:r>
          </w:p>
        </w:tc>
        <w:tc>
          <w:tcPr>
            <w:tcW w:w="1342" w:type="dxa"/>
            <w:tcBorders>
              <w:tl2br w:val="nil"/>
              <w:tr2bl w:val="nil"/>
            </w:tcBorders>
            <w:shd w:val="clear" w:color="auto" w:fill="auto"/>
            <w:vAlign w:val="center"/>
          </w:tcPr>
          <w:p w14:paraId="2C88B91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0.18</w:t>
            </w:r>
          </w:p>
        </w:tc>
      </w:tr>
      <w:tr w14:paraId="42C92BE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0F85002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32BF51C3">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1339C18C">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shd w:val="clear" w:color="auto" w:fill="auto"/>
            <w:vAlign w:val="center"/>
          </w:tcPr>
          <w:p w14:paraId="0BC48B2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2280" w:type="dxa"/>
            <w:gridSpan w:val="2"/>
            <w:tcBorders>
              <w:tl2br w:val="nil"/>
              <w:tr2bl w:val="nil"/>
            </w:tcBorders>
            <w:shd w:val="clear" w:color="auto" w:fill="auto"/>
            <w:vAlign w:val="center"/>
          </w:tcPr>
          <w:p w14:paraId="6F30E5D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生产设备不得有明显的 无组织排放存在</w:t>
            </w:r>
          </w:p>
        </w:tc>
      </w:tr>
      <w:tr w14:paraId="18DC1E7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76A69D2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4CCE94F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restart"/>
            <w:tcBorders>
              <w:tl2br w:val="nil"/>
              <w:tr2bl w:val="nil"/>
            </w:tcBorders>
            <w:vAlign w:val="center"/>
          </w:tcPr>
          <w:p w14:paraId="7DA42D7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ascii="宋体" w:hAnsi="宋体" w:eastAsia="宋体" w:cs="宋体"/>
                <w:color w:val="000000" w:themeColor="text1"/>
                <w:spacing w:val="8"/>
                <w:sz w:val="21"/>
                <w:szCs w:val="21"/>
                <w:highlight w:val="none"/>
              </w:rPr>
              <w:t>氮氧化</w:t>
            </w:r>
            <w:r>
              <w:rPr>
                <w:rFonts w:ascii="宋体" w:hAnsi="宋体" w:eastAsia="宋体" w:cs="宋体"/>
                <w:color w:val="000000" w:themeColor="text1"/>
                <w:spacing w:val="7"/>
                <w:sz w:val="21"/>
                <w:szCs w:val="21"/>
                <w:highlight w:val="none"/>
              </w:rPr>
              <w:t>物</w:t>
            </w:r>
          </w:p>
        </w:tc>
        <w:tc>
          <w:tcPr>
            <w:tcW w:w="1533" w:type="dxa"/>
            <w:vMerge w:val="restart"/>
            <w:tcBorders>
              <w:tl2br w:val="nil"/>
              <w:tr2bl w:val="nil"/>
            </w:tcBorders>
            <w:shd w:val="clear" w:color="auto" w:fill="auto"/>
            <w:vAlign w:val="center"/>
          </w:tcPr>
          <w:p w14:paraId="205F8F5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15m排气筒</w:t>
            </w:r>
          </w:p>
        </w:tc>
        <w:tc>
          <w:tcPr>
            <w:tcW w:w="0" w:type="auto"/>
            <w:tcBorders>
              <w:tl2br w:val="nil"/>
              <w:tr2bl w:val="nil"/>
            </w:tcBorders>
            <w:shd w:val="clear" w:color="auto" w:fill="auto"/>
            <w:vAlign w:val="center"/>
          </w:tcPr>
          <w:p w14:paraId="21B847D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0" w:type="auto"/>
            <w:tcBorders>
              <w:tl2br w:val="nil"/>
              <w:tr2bl w:val="nil"/>
            </w:tcBorders>
            <w:shd w:val="clear" w:color="auto" w:fill="auto"/>
            <w:vAlign w:val="center"/>
          </w:tcPr>
          <w:p w14:paraId="786816F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240</w:t>
            </w:r>
          </w:p>
        </w:tc>
      </w:tr>
      <w:tr w14:paraId="5EAA261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01A816F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1AF05F7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1E69D9D6">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vMerge w:val="continue"/>
            <w:tcBorders>
              <w:tl2br w:val="nil"/>
              <w:tr2bl w:val="nil"/>
            </w:tcBorders>
            <w:vAlign w:val="center"/>
          </w:tcPr>
          <w:p w14:paraId="4759B5D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0" w:type="auto"/>
            <w:tcBorders>
              <w:tl2br w:val="nil"/>
              <w:tr2bl w:val="nil"/>
            </w:tcBorders>
            <w:shd w:val="clear" w:color="auto" w:fill="auto"/>
            <w:vAlign w:val="center"/>
          </w:tcPr>
          <w:p w14:paraId="6319233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kg/h</w:t>
            </w:r>
          </w:p>
        </w:tc>
        <w:tc>
          <w:tcPr>
            <w:tcW w:w="0" w:type="auto"/>
            <w:tcBorders>
              <w:tl2br w:val="nil"/>
              <w:tr2bl w:val="nil"/>
            </w:tcBorders>
            <w:shd w:val="clear" w:color="auto" w:fill="auto"/>
            <w:vAlign w:val="center"/>
          </w:tcPr>
          <w:p w14:paraId="660BC72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0.77</w:t>
            </w:r>
          </w:p>
        </w:tc>
      </w:tr>
      <w:tr w14:paraId="12CEA5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61E08E93">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0C365BF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6E1AA85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shd w:val="clear" w:color="auto" w:fill="auto"/>
            <w:vAlign w:val="center"/>
          </w:tcPr>
          <w:p w14:paraId="5CD4FACC">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0" w:type="auto"/>
            <w:tcBorders>
              <w:tl2br w:val="nil"/>
              <w:tr2bl w:val="nil"/>
            </w:tcBorders>
            <w:shd w:val="clear" w:color="auto" w:fill="auto"/>
            <w:vAlign w:val="center"/>
          </w:tcPr>
          <w:p w14:paraId="6CEA03A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0" w:type="auto"/>
            <w:tcBorders>
              <w:tl2br w:val="nil"/>
              <w:tr2bl w:val="nil"/>
            </w:tcBorders>
            <w:shd w:val="clear" w:color="auto" w:fill="auto"/>
            <w:vAlign w:val="center"/>
          </w:tcPr>
          <w:p w14:paraId="3501DEE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0.12</w:t>
            </w:r>
          </w:p>
        </w:tc>
      </w:tr>
      <w:tr w14:paraId="706B947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3400AD15">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3B7E9A14">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restart"/>
            <w:tcBorders>
              <w:tl2br w:val="nil"/>
              <w:tr2bl w:val="nil"/>
            </w:tcBorders>
            <w:vAlign w:val="center"/>
          </w:tcPr>
          <w:p w14:paraId="3D88647E">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ascii="Times New Roman" w:hAnsi="Times New Roman" w:eastAsia="Times New Roman" w:cs="Times New Roman"/>
                <w:color w:val="000000" w:themeColor="text1"/>
                <w:sz w:val="21"/>
                <w:szCs w:val="21"/>
                <w:highlight w:val="none"/>
              </w:rPr>
              <w:t>SO</w:t>
            </w:r>
            <w:r>
              <w:rPr>
                <w:rFonts w:ascii="Times New Roman" w:hAnsi="Times New Roman" w:eastAsia="Times New Roman" w:cs="Times New Roman"/>
                <w:color w:val="000000" w:themeColor="text1"/>
                <w:spacing w:val="3"/>
                <w:position w:val="-1"/>
                <w:sz w:val="21"/>
                <w:szCs w:val="21"/>
                <w:highlight w:val="none"/>
                <w:vertAlign w:val="subscript"/>
              </w:rPr>
              <w:t>2</w:t>
            </w:r>
          </w:p>
        </w:tc>
        <w:tc>
          <w:tcPr>
            <w:tcW w:w="1533" w:type="dxa"/>
            <w:vMerge w:val="restart"/>
            <w:tcBorders>
              <w:tl2br w:val="nil"/>
              <w:tr2bl w:val="nil"/>
            </w:tcBorders>
            <w:shd w:val="clear" w:color="auto" w:fill="auto"/>
            <w:vAlign w:val="center"/>
          </w:tcPr>
          <w:p w14:paraId="23057A7C">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15m排气筒</w:t>
            </w:r>
          </w:p>
        </w:tc>
        <w:tc>
          <w:tcPr>
            <w:tcW w:w="0" w:type="auto"/>
            <w:tcBorders>
              <w:tl2br w:val="nil"/>
              <w:tr2bl w:val="nil"/>
            </w:tcBorders>
            <w:shd w:val="clear" w:color="auto" w:fill="auto"/>
            <w:vAlign w:val="center"/>
          </w:tcPr>
          <w:p w14:paraId="790648E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0" w:type="auto"/>
            <w:tcBorders>
              <w:tl2br w:val="nil"/>
              <w:tr2bl w:val="nil"/>
            </w:tcBorders>
            <w:shd w:val="clear" w:color="auto" w:fill="auto"/>
            <w:vAlign w:val="center"/>
          </w:tcPr>
          <w:p w14:paraId="11BCA568">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550</w:t>
            </w:r>
          </w:p>
        </w:tc>
      </w:tr>
      <w:tr w14:paraId="54D9F86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050B1901">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569A1497">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2EC6C3F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vMerge w:val="continue"/>
            <w:tcBorders>
              <w:tl2br w:val="nil"/>
              <w:tr2bl w:val="nil"/>
            </w:tcBorders>
            <w:vAlign w:val="center"/>
          </w:tcPr>
          <w:p w14:paraId="62C13713">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0" w:type="auto"/>
            <w:tcBorders>
              <w:tl2br w:val="nil"/>
              <w:tr2bl w:val="nil"/>
            </w:tcBorders>
            <w:shd w:val="clear" w:color="auto" w:fill="auto"/>
            <w:vAlign w:val="center"/>
          </w:tcPr>
          <w:p w14:paraId="30E1B94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kg/h</w:t>
            </w:r>
          </w:p>
        </w:tc>
        <w:tc>
          <w:tcPr>
            <w:tcW w:w="0" w:type="auto"/>
            <w:tcBorders>
              <w:tl2br w:val="nil"/>
              <w:tr2bl w:val="nil"/>
            </w:tcBorders>
            <w:shd w:val="clear" w:color="auto" w:fill="auto"/>
            <w:vAlign w:val="center"/>
          </w:tcPr>
          <w:p w14:paraId="5D6A14CA">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2.6</w:t>
            </w:r>
          </w:p>
        </w:tc>
      </w:tr>
      <w:tr w14:paraId="5755249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01" w:type="dxa"/>
            <w:vMerge w:val="continue"/>
            <w:tcBorders>
              <w:tl2br w:val="nil"/>
              <w:tr2bl w:val="nil"/>
            </w:tcBorders>
            <w:vAlign w:val="center"/>
          </w:tcPr>
          <w:p w14:paraId="78C782BD">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2538" w:type="dxa"/>
            <w:vMerge w:val="continue"/>
            <w:tcBorders>
              <w:tl2br w:val="nil"/>
              <w:tr2bl w:val="nil"/>
            </w:tcBorders>
            <w:vAlign w:val="center"/>
          </w:tcPr>
          <w:p w14:paraId="3F3DA35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365" w:type="dxa"/>
            <w:vMerge w:val="continue"/>
            <w:tcBorders>
              <w:tl2br w:val="nil"/>
              <w:tr2bl w:val="nil"/>
            </w:tcBorders>
            <w:vAlign w:val="center"/>
          </w:tcPr>
          <w:p w14:paraId="4E08A9C0">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p>
        </w:tc>
        <w:tc>
          <w:tcPr>
            <w:tcW w:w="1533" w:type="dxa"/>
            <w:tcBorders>
              <w:tl2br w:val="nil"/>
              <w:tr2bl w:val="nil"/>
            </w:tcBorders>
            <w:shd w:val="clear" w:color="auto" w:fill="auto"/>
            <w:vAlign w:val="center"/>
          </w:tcPr>
          <w:p w14:paraId="720799B2">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无组织</w:t>
            </w:r>
          </w:p>
        </w:tc>
        <w:tc>
          <w:tcPr>
            <w:tcW w:w="0" w:type="auto"/>
            <w:tcBorders>
              <w:tl2br w:val="nil"/>
              <w:tr2bl w:val="nil"/>
            </w:tcBorders>
            <w:shd w:val="clear" w:color="auto" w:fill="auto"/>
            <w:vAlign w:val="center"/>
          </w:tcPr>
          <w:p w14:paraId="4A12730F">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mg/m</w:t>
            </w:r>
            <w:r>
              <w:rPr>
                <w:rFonts w:hint="default" w:ascii="Times New Roman" w:hAnsi="Times New Roman" w:cs="Times New Roman"/>
                <w:color w:val="000000" w:themeColor="text1"/>
                <w:sz w:val="21"/>
                <w:szCs w:val="21"/>
                <w:highlight w:val="none"/>
                <w:vertAlign w:val="superscript"/>
                <w:lang w:val="en-US" w:eastAsia="zh-CN"/>
              </w:rPr>
              <w:t>3</w:t>
            </w:r>
          </w:p>
        </w:tc>
        <w:tc>
          <w:tcPr>
            <w:tcW w:w="0" w:type="auto"/>
            <w:tcBorders>
              <w:tl2br w:val="nil"/>
              <w:tr2bl w:val="nil"/>
            </w:tcBorders>
            <w:shd w:val="clear" w:color="auto" w:fill="auto"/>
            <w:vAlign w:val="center"/>
          </w:tcPr>
          <w:p w14:paraId="05FFAC49">
            <w:pPr>
              <w:pStyle w:val="84"/>
              <w:pageBreakBefore w:val="0"/>
              <w:wordWrap/>
              <w:topLinePunct w:val="0"/>
              <w:bidi w:val="0"/>
              <w:spacing w:line="240" w:lineRule="auto"/>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0.4</w:t>
            </w:r>
          </w:p>
        </w:tc>
      </w:tr>
    </w:tbl>
    <w:p w14:paraId="0C84FFAB">
      <w:pPr>
        <w:pageBreakBefore w:val="0"/>
        <w:wordWrap/>
        <w:topLinePunct w:val="0"/>
        <w:bidi w:val="0"/>
        <w:spacing w:line="360" w:lineRule="auto"/>
        <w:ind w:left="0" w:leftChars="0" w:firstLine="0" w:firstLineChars="0"/>
        <w:jc w:val="center"/>
        <w:rPr>
          <w:b/>
          <w:bCs/>
          <w:color w:val="000000" w:themeColor="text1"/>
          <w:highlight w:val="none"/>
          <w:vertAlign w:val="baseline"/>
        </w:rPr>
      </w:pPr>
      <w:r>
        <w:rPr>
          <w:b/>
          <w:bCs/>
          <w:color w:val="000000" w:themeColor="text1"/>
          <w:highlight w:val="none"/>
        </w:rPr>
        <w:t>表2.</w:t>
      </w:r>
      <w:r>
        <w:rPr>
          <w:rFonts w:hint="eastAsia"/>
          <w:b/>
          <w:bCs/>
          <w:color w:val="000000" w:themeColor="text1"/>
          <w:highlight w:val="none"/>
          <w:lang w:val="en-US" w:eastAsia="zh-CN"/>
        </w:rPr>
        <w:t>7-5</w:t>
      </w:r>
      <w:r>
        <w:rPr>
          <w:b/>
          <w:bCs/>
          <w:color w:val="000000" w:themeColor="text1"/>
          <w:highlight w:val="none"/>
        </w:rPr>
        <w:t xml:space="preserve">  </w:t>
      </w:r>
      <w:r>
        <w:rPr>
          <w:rFonts w:hint="eastAsia"/>
          <w:b/>
          <w:bCs/>
          <w:color w:val="000000" w:themeColor="text1"/>
          <w:highlight w:val="none"/>
          <w:lang w:val="en-US" w:eastAsia="zh-CN"/>
        </w:rPr>
        <w:t>水泥工业大气污染物排放标准</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843"/>
        <w:gridCol w:w="892"/>
        <w:gridCol w:w="1645"/>
        <w:gridCol w:w="1716"/>
        <w:gridCol w:w="3266"/>
      </w:tblGrid>
      <w:tr w14:paraId="78576A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504" w:type="pct"/>
            <w:vAlign w:val="center"/>
          </w:tcPr>
          <w:p w14:paraId="0E11AB0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功能区</w:t>
            </w:r>
          </w:p>
        </w:tc>
        <w:tc>
          <w:tcPr>
            <w:tcW w:w="533" w:type="pct"/>
            <w:vAlign w:val="center"/>
          </w:tcPr>
          <w:p w14:paraId="722FC56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项目</w:t>
            </w:r>
          </w:p>
        </w:tc>
        <w:tc>
          <w:tcPr>
            <w:tcW w:w="983" w:type="pct"/>
            <w:vAlign w:val="center"/>
          </w:tcPr>
          <w:p w14:paraId="432A1AF4">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有组织排放</w:t>
            </w:r>
          </w:p>
        </w:tc>
        <w:tc>
          <w:tcPr>
            <w:tcW w:w="1026" w:type="pct"/>
            <w:vAlign w:val="center"/>
          </w:tcPr>
          <w:p w14:paraId="45A32B2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无组织排放</w:t>
            </w:r>
          </w:p>
        </w:tc>
        <w:tc>
          <w:tcPr>
            <w:tcW w:w="1952" w:type="pct"/>
            <w:vAlign w:val="center"/>
          </w:tcPr>
          <w:p w14:paraId="38A74D0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标准来源</w:t>
            </w:r>
          </w:p>
        </w:tc>
      </w:tr>
      <w:tr w14:paraId="2BD24F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504" w:type="pct"/>
            <w:vAlign w:val="center"/>
          </w:tcPr>
          <w:p w14:paraId="7A4E7DB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二类</w:t>
            </w:r>
          </w:p>
        </w:tc>
        <w:tc>
          <w:tcPr>
            <w:tcW w:w="533" w:type="pct"/>
            <w:vAlign w:val="center"/>
          </w:tcPr>
          <w:p w14:paraId="7E39B40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颗粒物</w:t>
            </w:r>
          </w:p>
        </w:tc>
        <w:tc>
          <w:tcPr>
            <w:tcW w:w="983" w:type="pct"/>
            <w:vAlign w:val="center"/>
          </w:tcPr>
          <w:p w14:paraId="0B80C4B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20</w:t>
            </w:r>
            <w:r>
              <w:rPr>
                <w:color w:val="000000" w:themeColor="text1"/>
                <w:sz w:val="21"/>
                <w:szCs w:val="21"/>
                <w:highlight w:val="none"/>
              </w:rPr>
              <w:t>mg/m</w:t>
            </w:r>
            <w:r>
              <w:rPr>
                <w:color w:val="000000" w:themeColor="text1"/>
                <w:sz w:val="21"/>
                <w:szCs w:val="21"/>
                <w:highlight w:val="none"/>
                <w:vertAlign w:val="superscript"/>
              </w:rPr>
              <w:t>3</w:t>
            </w:r>
          </w:p>
        </w:tc>
        <w:tc>
          <w:tcPr>
            <w:tcW w:w="1026" w:type="pct"/>
            <w:vAlign w:val="center"/>
          </w:tcPr>
          <w:p w14:paraId="0600D71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0.5</w:t>
            </w:r>
            <w:r>
              <w:rPr>
                <w:color w:val="000000" w:themeColor="text1"/>
                <w:sz w:val="21"/>
                <w:szCs w:val="21"/>
                <w:highlight w:val="none"/>
              </w:rPr>
              <w:t>mg/m</w:t>
            </w:r>
            <w:r>
              <w:rPr>
                <w:color w:val="000000" w:themeColor="text1"/>
                <w:sz w:val="21"/>
                <w:szCs w:val="21"/>
                <w:highlight w:val="none"/>
                <w:vertAlign w:val="superscript"/>
              </w:rPr>
              <w:t>3</w:t>
            </w:r>
          </w:p>
        </w:tc>
        <w:tc>
          <w:tcPr>
            <w:tcW w:w="1952" w:type="pct"/>
            <w:vAlign w:val="center"/>
          </w:tcPr>
          <w:p w14:paraId="032891B1">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《水泥工业大气污染物排放标准》（</w:t>
            </w:r>
            <w:r>
              <w:rPr>
                <w:rFonts w:hint="default"/>
                <w:color w:val="000000" w:themeColor="text1"/>
                <w:sz w:val="21"/>
                <w:szCs w:val="21"/>
                <w:highlight w:val="none"/>
                <w:lang w:val="en-US" w:eastAsia="zh-CN"/>
              </w:rPr>
              <w:t>GB4915-2013</w:t>
            </w:r>
            <w:r>
              <w:rPr>
                <w:rFonts w:hint="eastAsia"/>
                <w:color w:val="000000" w:themeColor="text1"/>
                <w:sz w:val="21"/>
                <w:szCs w:val="21"/>
                <w:highlight w:val="none"/>
                <w:lang w:val="en-US" w:eastAsia="zh-CN"/>
              </w:rPr>
              <w:t>）</w:t>
            </w:r>
            <w:r>
              <w:rPr>
                <w:color w:val="000000" w:themeColor="text1"/>
                <w:sz w:val="21"/>
                <w:szCs w:val="21"/>
                <w:highlight w:val="none"/>
              </w:rPr>
              <w:t xml:space="preserve"> </w:t>
            </w:r>
          </w:p>
        </w:tc>
      </w:tr>
      <w:bookmarkEnd w:id="174"/>
    </w:tbl>
    <w:p w14:paraId="08E8166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2.7.2.3</w:t>
      </w:r>
      <w:r>
        <w:rPr>
          <w:color w:val="000000" w:themeColor="text1"/>
          <w:highlight w:val="none"/>
        </w:rPr>
        <w:t>噪声</w:t>
      </w:r>
    </w:p>
    <w:p w14:paraId="00B15D19">
      <w:pPr>
        <w:pageBreakBefore w:val="0"/>
        <w:wordWrap/>
        <w:topLinePunct w:val="0"/>
        <w:bidi w:val="0"/>
        <w:spacing w:line="360" w:lineRule="auto"/>
        <w:ind w:firstLine="720" w:firstLineChars="300"/>
        <w:rPr>
          <w:color w:val="000000" w:themeColor="text1"/>
          <w:highlight w:val="none"/>
        </w:rPr>
      </w:pPr>
      <w:bookmarkStart w:id="175" w:name="_Hlk84920324"/>
      <w:r>
        <w:rPr>
          <w:color w:val="000000" w:themeColor="text1"/>
          <w:highlight w:val="none"/>
        </w:rPr>
        <w:t>本项目施工期噪声执行《建筑施工场界环境噪声排放标准》（GB12523-2011）。</w:t>
      </w:r>
    </w:p>
    <w:p w14:paraId="12A2AEAC">
      <w:pPr>
        <w:pageBreakBefore w:val="0"/>
        <w:wordWrap/>
        <w:topLinePunct w:val="0"/>
        <w:bidi w:val="0"/>
        <w:spacing w:line="360" w:lineRule="auto"/>
        <w:ind w:firstLine="482"/>
        <w:jc w:val="center"/>
        <w:rPr>
          <w:b/>
          <w:bCs/>
          <w:color w:val="000000" w:themeColor="text1"/>
          <w:highlight w:val="none"/>
        </w:rPr>
      </w:pPr>
      <w:r>
        <w:rPr>
          <w:b/>
          <w:bCs/>
          <w:color w:val="000000" w:themeColor="text1"/>
          <w:highlight w:val="none"/>
        </w:rPr>
        <w:t>表2.</w:t>
      </w:r>
      <w:r>
        <w:rPr>
          <w:rFonts w:hint="eastAsia"/>
          <w:b/>
          <w:bCs/>
          <w:color w:val="000000" w:themeColor="text1"/>
          <w:highlight w:val="none"/>
          <w:lang w:val="en-US" w:eastAsia="zh-CN"/>
        </w:rPr>
        <w:t>7-6</w:t>
      </w:r>
      <w:r>
        <w:rPr>
          <w:b/>
          <w:bCs/>
          <w:color w:val="000000" w:themeColor="text1"/>
          <w:highlight w:val="none"/>
        </w:rPr>
        <w:t xml:space="preserve">  施工期噪声排放标准    单位：dB（A）</w:t>
      </w:r>
    </w:p>
    <w:tbl>
      <w:tblPr>
        <w:tblStyle w:val="3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83"/>
        <w:gridCol w:w="853"/>
        <w:gridCol w:w="849"/>
        <w:gridCol w:w="5443"/>
      </w:tblGrid>
      <w:tr w14:paraId="392E5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83" w:type="dxa"/>
            <w:vAlign w:val="center"/>
          </w:tcPr>
          <w:p w14:paraId="6EE2BF7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项目</w:t>
            </w:r>
          </w:p>
        </w:tc>
        <w:tc>
          <w:tcPr>
            <w:tcW w:w="853" w:type="dxa"/>
            <w:vAlign w:val="center"/>
          </w:tcPr>
          <w:p w14:paraId="77F34BB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昼间</w:t>
            </w:r>
          </w:p>
        </w:tc>
        <w:tc>
          <w:tcPr>
            <w:tcW w:w="849" w:type="dxa"/>
            <w:vAlign w:val="center"/>
          </w:tcPr>
          <w:p w14:paraId="791C029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夜间</w:t>
            </w:r>
          </w:p>
        </w:tc>
        <w:tc>
          <w:tcPr>
            <w:tcW w:w="5443" w:type="dxa"/>
            <w:vAlign w:val="center"/>
          </w:tcPr>
          <w:p w14:paraId="2E4D374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标准来源</w:t>
            </w:r>
          </w:p>
        </w:tc>
      </w:tr>
      <w:tr w14:paraId="11584E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83" w:type="dxa"/>
            <w:vAlign w:val="center"/>
          </w:tcPr>
          <w:p w14:paraId="0B642C6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标准</w:t>
            </w:r>
          </w:p>
        </w:tc>
        <w:tc>
          <w:tcPr>
            <w:tcW w:w="853" w:type="dxa"/>
            <w:vAlign w:val="center"/>
          </w:tcPr>
          <w:p w14:paraId="5E4DBB9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70</w:t>
            </w:r>
          </w:p>
        </w:tc>
        <w:tc>
          <w:tcPr>
            <w:tcW w:w="849" w:type="dxa"/>
            <w:vAlign w:val="center"/>
          </w:tcPr>
          <w:p w14:paraId="637CA74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55</w:t>
            </w:r>
          </w:p>
        </w:tc>
        <w:tc>
          <w:tcPr>
            <w:tcW w:w="5443" w:type="dxa"/>
            <w:vAlign w:val="center"/>
          </w:tcPr>
          <w:p w14:paraId="418FF991">
            <w:pPr>
              <w:pStyle w:val="95"/>
              <w:pageBreakBefore w:val="0"/>
              <w:wordWrap/>
              <w:topLinePunct w:val="0"/>
              <w:autoSpaceDE w:val="0"/>
              <w:autoSpaceDN w:val="0"/>
              <w:bidi w:val="0"/>
              <w:snapToGrid w:val="0"/>
              <w:spacing w:line="240" w:lineRule="auto"/>
              <w:jc w:val="center"/>
              <w:textAlignment w:val="bottom"/>
              <w:rPr>
                <w:rFonts w:ascii="Times New Roman"/>
                <w:color w:val="000000" w:themeColor="text1"/>
                <w:sz w:val="21"/>
                <w:szCs w:val="21"/>
                <w:highlight w:val="none"/>
              </w:rPr>
            </w:pPr>
            <w:r>
              <w:rPr>
                <w:rFonts w:ascii="Times New Roman"/>
                <w:color w:val="000000" w:themeColor="text1"/>
                <w:sz w:val="21"/>
                <w:szCs w:val="21"/>
                <w:highlight w:val="none"/>
              </w:rPr>
              <w:t>《建筑施工场界环境噪声排放标准》</w:t>
            </w:r>
            <w:r>
              <w:rPr>
                <w:rFonts w:ascii="Times New Roman"/>
                <w:color w:val="000000" w:themeColor="text1"/>
                <w:kern w:val="2"/>
                <w:sz w:val="21"/>
                <w:szCs w:val="21"/>
                <w:highlight w:val="none"/>
              </w:rPr>
              <w:t>（GB12523-2011）</w:t>
            </w:r>
          </w:p>
        </w:tc>
      </w:tr>
      <w:bookmarkEnd w:id="175"/>
    </w:tbl>
    <w:p w14:paraId="14C3146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2.7.2.4</w:t>
      </w:r>
      <w:r>
        <w:rPr>
          <w:color w:val="000000" w:themeColor="text1"/>
          <w:highlight w:val="none"/>
        </w:rPr>
        <w:t>固体废物</w:t>
      </w:r>
    </w:p>
    <w:p w14:paraId="36C2BC65">
      <w:pPr>
        <w:pStyle w:val="42"/>
        <w:pageBreakBefore w:val="0"/>
        <w:wordWrap/>
        <w:topLinePunct w:val="0"/>
        <w:bidi w:val="0"/>
        <w:spacing w:line="360" w:lineRule="auto"/>
        <w:ind w:firstLine="480" w:firstLineChars="200"/>
        <w:jc w:val="both"/>
        <w:rPr>
          <w:rFonts w:ascii="Times New Roman" w:eastAsia="宋体"/>
          <w:color w:val="000000" w:themeColor="text1"/>
          <w:kern w:val="2"/>
          <w:highlight w:val="none"/>
        </w:rPr>
      </w:pPr>
      <w:r>
        <w:rPr>
          <w:rFonts w:ascii="Times New Roman" w:eastAsia="宋体"/>
          <w:color w:val="000000" w:themeColor="text1"/>
          <w:kern w:val="2"/>
          <w:highlight w:val="none"/>
        </w:rPr>
        <w:t>本项目</w:t>
      </w:r>
      <w:r>
        <w:rPr>
          <w:rFonts w:hint="eastAsia" w:ascii="Times New Roman" w:eastAsia="宋体"/>
          <w:color w:val="000000" w:themeColor="text1"/>
          <w:kern w:val="2"/>
          <w:highlight w:val="none"/>
          <w:lang w:val="en-US" w:eastAsia="zh-CN"/>
        </w:rPr>
        <w:t>一般</w:t>
      </w:r>
      <w:r>
        <w:rPr>
          <w:rFonts w:ascii="Times New Roman" w:eastAsia="宋体"/>
          <w:color w:val="000000" w:themeColor="text1"/>
          <w:kern w:val="2"/>
          <w:highlight w:val="none"/>
        </w:rPr>
        <w:t>固体废物执行《一般工业固体废物贮存</w:t>
      </w:r>
      <w:r>
        <w:rPr>
          <w:rFonts w:hint="eastAsia" w:ascii="Times New Roman" w:eastAsia="宋体"/>
          <w:color w:val="000000" w:themeColor="text1"/>
          <w:kern w:val="2"/>
          <w:highlight w:val="none"/>
        </w:rPr>
        <w:t>和填埋</w:t>
      </w:r>
      <w:r>
        <w:rPr>
          <w:rFonts w:ascii="Times New Roman" w:eastAsia="宋体"/>
          <w:color w:val="000000" w:themeColor="text1"/>
          <w:kern w:val="2"/>
          <w:highlight w:val="none"/>
        </w:rPr>
        <w:t>污染控制标准》</w:t>
      </w:r>
      <w:r>
        <w:rPr>
          <w:rFonts w:hint="eastAsia" w:ascii="Times New Roman" w:eastAsia="宋体"/>
          <w:color w:val="000000" w:themeColor="text1"/>
          <w:kern w:val="2"/>
          <w:highlight w:val="none"/>
        </w:rPr>
        <w:t>（</w:t>
      </w:r>
      <w:r>
        <w:rPr>
          <w:rFonts w:ascii="Times New Roman" w:eastAsia="宋体"/>
          <w:color w:val="000000" w:themeColor="text1"/>
          <w:kern w:val="2"/>
          <w:highlight w:val="none"/>
        </w:rPr>
        <w:t>GB18599-20</w:t>
      </w:r>
      <w:r>
        <w:rPr>
          <w:rFonts w:hint="eastAsia" w:ascii="Times New Roman" w:eastAsia="宋体"/>
          <w:color w:val="000000" w:themeColor="text1"/>
          <w:kern w:val="2"/>
          <w:highlight w:val="none"/>
        </w:rPr>
        <w:t>20）</w:t>
      </w:r>
      <w:r>
        <w:rPr>
          <w:rFonts w:hint="eastAsia" w:ascii="Times New Roman" w:eastAsia="宋体"/>
          <w:color w:val="000000" w:themeColor="text1"/>
          <w:kern w:val="2"/>
          <w:highlight w:val="none"/>
          <w:lang w:eastAsia="zh-CN"/>
        </w:rPr>
        <w:t>，危险</w:t>
      </w:r>
      <w:r>
        <w:rPr>
          <w:rFonts w:hint="eastAsia" w:ascii="Times New Roman" w:eastAsia="宋体"/>
          <w:color w:val="000000" w:themeColor="text1"/>
          <w:kern w:val="2"/>
          <w:highlight w:val="none"/>
          <w:lang w:val="en-US" w:eastAsia="zh-CN"/>
        </w:rPr>
        <w:t>废物</w:t>
      </w:r>
      <w:r>
        <w:rPr>
          <w:rFonts w:hint="eastAsia" w:ascii="Times New Roman" w:eastAsia="宋体"/>
          <w:color w:val="000000" w:themeColor="text1"/>
          <w:kern w:val="2"/>
          <w:highlight w:val="none"/>
          <w:lang w:eastAsia="zh-CN"/>
        </w:rPr>
        <w:t>处置执行《危险废物贮存污染控制标准》（GB18597-2023）</w:t>
      </w:r>
      <w:r>
        <w:rPr>
          <w:rFonts w:hint="eastAsia" w:ascii="Times New Roman" w:eastAsia="宋体"/>
          <w:color w:val="000000" w:themeColor="text1"/>
          <w:kern w:val="2"/>
          <w:highlight w:val="none"/>
        </w:rPr>
        <w:t>。</w:t>
      </w:r>
    </w:p>
    <w:p w14:paraId="154B62EA">
      <w:pPr>
        <w:pStyle w:val="3"/>
        <w:pageBreakBefore w:val="0"/>
        <w:wordWrap/>
        <w:topLinePunct w:val="0"/>
        <w:bidi w:val="0"/>
        <w:spacing w:before="12" w:after="120" w:line="360" w:lineRule="auto"/>
        <w:rPr>
          <w:color w:val="000000" w:themeColor="text1"/>
          <w:highlight w:val="none"/>
        </w:rPr>
      </w:pPr>
      <w:bookmarkStart w:id="176" w:name="_Toc22360"/>
      <w:bookmarkStart w:id="177" w:name="_Toc24571"/>
      <w:bookmarkStart w:id="178" w:name="_Toc24838"/>
      <w:bookmarkStart w:id="179" w:name="_Toc518574361"/>
      <w:bookmarkStart w:id="180" w:name="_Toc16618"/>
      <w:r>
        <w:rPr>
          <w:rFonts w:hint="eastAsia"/>
          <w:color w:val="000000" w:themeColor="text1"/>
          <w:highlight w:val="none"/>
        </w:rPr>
        <w:t>2.8</w:t>
      </w:r>
      <w:r>
        <w:rPr>
          <w:color w:val="000000" w:themeColor="text1"/>
          <w:highlight w:val="none"/>
        </w:rPr>
        <w:t>评价时段</w:t>
      </w:r>
      <w:bookmarkEnd w:id="176"/>
      <w:bookmarkEnd w:id="177"/>
      <w:bookmarkEnd w:id="178"/>
      <w:bookmarkEnd w:id="179"/>
      <w:r>
        <w:rPr>
          <w:rFonts w:hint="eastAsia"/>
          <w:color w:val="000000" w:themeColor="text1"/>
          <w:highlight w:val="none"/>
        </w:rPr>
        <w:t>及方法</w:t>
      </w:r>
      <w:bookmarkEnd w:id="180"/>
    </w:p>
    <w:p w14:paraId="3BC28591">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2.8.1评价时段</w:t>
      </w:r>
    </w:p>
    <w:p w14:paraId="01FD40FC">
      <w:pPr>
        <w:pStyle w:val="72"/>
        <w:pageBreakBefore w:val="0"/>
        <w:wordWrap/>
        <w:topLinePunct w:val="0"/>
        <w:bidi w:val="0"/>
        <w:spacing w:line="360" w:lineRule="auto"/>
        <w:ind w:firstLine="480" w:firstLineChars="200"/>
        <w:jc w:val="both"/>
        <w:rPr>
          <w:rFonts w:ascii="Times New Roman" w:hAnsi="Times New Roman"/>
          <w:color w:val="000000" w:themeColor="text1"/>
          <w:highlight w:val="none"/>
        </w:rPr>
      </w:pPr>
      <w:r>
        <w:rPr>
          <w:rFonts w:ascii="Times New Roman" w:hAnsi="Times New Roman"/>
          <w:color w:val="000000" w:themeColor="text1"/>
          <w:highlight w:val="none"/>
        </w:rPr>
        <w:t>本项目评价时段分为施工期和营运期两个时段，建设期为202</w:t>
      </w:r>
      <w:r>
        <w:rPr>
          <w:rFonts w:hint="eastAsia" w:ascii="Times New Roman" w:hAnsi="Times New Roman"/>
          <w:color w:val="000000" w:themeColor="text1"/>
          <w:highlight w:val="none"/>
          <w:lang w:val="en-US" w:eastAsia="zh-CN"/>
        </w:rPr>
        <w:t>5</w:t>
      </w:r>
      <w:r>
        <w:rPr>
          <w:rFonts w:ascii="Times New Roman" w:hAnsi="Times New Roman"/>
          <w:color w:val="000000" w:themeColor="text1"/>
          <w:highlight w:val="none"/>
        </w:rPr>
        <w:t>年</w:t>
      </w:r>
      <w:r>
        <w:rPr>
          <w:rFonts w:hint="eastAsia" w:ascii="Times New Roman" w:hAnsi="Times New Roman"/>
          <w:color w:val="000000" w:themeColor="text1"/>
          <w:highlight w:val="none"/>
          <w:lang w:val="en-US" w:eastAsia="zh-CN"/>
        </w:rPr>
        <w:t>11</w:t>
      </w:r>
      <w:r>
        <w:rPr>
          <w:rFonts w:ascii="Times New Roman" w:hAnsi="Times New Roman"/>
          <w:color w:val="000000" w:themeColor="text1"/>
          <w:highlight w:val="none"/>
        </w:rPr>
        <w:t>月</w:t>
      </w:r>
      <w:r>
        <w:rPr>
          <w:rFonts w:hint="eastAsia" w:ascii="Times New Roman" w:hAnsi="Times New Roman"/>
          <w:color w:val="000000" w:themeColor="text1"/>
          <w:highlight w:val="none"/>
        </w:rPr>
        <w:t>开工建设</w:t>
      </w:r>
      <w:r>
        <w:rPr>
          <w:rFonts w:ascii="Times New Roman" w:hAnsi="Times New Roman"/>
          <w:color w:val="000000" w:themeColor="text1"/>
          <w:highlight w:val="none"/>
        </w:rPr>
        <w:t>，拟于202</w:t>
      </w:r>
      <w:r>
        <w:rPr>
          <w:rFonts w:hint="eastAsia" w:ascii="Times New Roman" w:hAnsi="Times New Roman"/>
          <w:color w:val="000000" w:themeColor="text1"/>
          <w:highlight w:val="none"/>
          <w:lang w:val="en-US" w:eastAsia="zh-CN"/>
        </w:rPr>
        <w:t>6</w:t>
      </w:r>
      <w:r>
        <w:rPr>
          <w:rFonts w:ascii="Times New Roman" w:hAnsi="Times New Roman"/>
          <w:color w:val="000000" w:themeColor="text1"/>
          <w:highlight w:val="none"/>
        </w:rPr>
        <w:t>年</w:t>
      </w:r>
      <w:r>
        <w:rPr>
          <w:rFonts w:hint="eastAsia" w:ascii="Times New Roman" w:hAnsi="Times New Roman"/>
          <w:color w:val="000000" w:themeColor="text1"/>
          <w:highlight w:val="none"/>
          <w:lang w:val="en-US" w:eastAsia="zh-CN"/>
        </w:rPr>
        <w:t>10</w:t>
      </w:r>
      <w:r>
        <w:rPr>
          <w:rFonts w:hint="eastAsia" w:ascii="Times New Roman" w:hAnsi="Times New Roman"/>
          <w:color w:val="000000" w:themeColor="text1"/>
          <w:highlight w:val="none"/>
        </w:rPr>
        <w:t>月建成通车</w:t>
      </w:r>
      <w:r>
        <w:rPr>
          <w:rFonts w:ascii="Times New Roman" w:hAnsi="Times New Roman"/>
          <w:color w:val="000000" w:themeColor="text1"/>
          <w:highlight w:val="none"/>
        </w:rPr>
        <w:t>。营运期以202</w:t>
      </w:r>
      <w:r>
        <w:rPr>
          <w:rFonts w:hint="eastAsia" w:ascii="Times New Roman" w:hAnsi="Times New Roman"/>
          <w:color w:val="000000" w:themeColor="text1"/>
          <w:highlight w:val="none"/>
          <w:lang w:val="en-US" w:eastAsia="zh-CN"/>
        </w:rPr>
        <w:t>7</w:t>
      </w:r>
      <w:r>
        <w:rPr>
          <w:rFonts w:ascii="Times New Roman" w:hAnsi="Times New Roman"/>
          <w:color w:val="000000" w:themeColor="text1"/>
          <w:highlight w:val="none"/>
        </w:rPr>
        <w:t>年、203</w:t>
      </w:r>
      <w:r>
        <w:rPr>
          <w:rFonts w:hint="eastAsia" w:ascii="Times New Roman" w:hAnsi="Times New Roman"/>
          <w:color w:val="000000" w:themeColor="text1"/>
          <w:highlight w:val="none"/>
          <w:lang w:val="en-US" w:eastAsia="zh-CN"/>
        </w:rPr>
        <w:t>3</w:t>
      </w:r>
      <w:r>
        <w:rPr>
          <w:rFonts w:ascii="Times New Roman" w:hAnsi="Times New Roman"/>
          <w:color w:val="000000" w:themeColor="text1"/>
          <w:highlight w:val="none"/>
        </w:rPr>
        <w:t>年、20</w:t>
      </w:r>
      <w:r>
        <w:rPr>
          <w:rFonts w:hint="eastAsia" w:ascii="Times New Roman" w:hAnsi="Times New Roman"/>
          <w:color w:val="000000" w:themeColor="text1"/>
          <w:highlight w:val="none"/>
          <w:lang w:val="en-US" w:eastAsia="zh-CN"/>
        </w:rPr>
        <w:t>41</w:t>
      </w:r>
      <w:r>
        <w:rPr>
          <w:rFonts w:ascii="Times New Roman" w:hAnsi="Times New Roman"/>
          <w:color w:val="000000" w:themeColor="text1"/>
          <w:highlight w:val="none"/>
        </w:rPr>
        <w:t>年3个年度分别代表营运近期、中期和远期。</w:t>
      </w:r>
    </w:p>
    <w:p w14:paraId="45B6E89C">
      <w:pPr>
        <w:pStyle w:val="4"/>
        <w:pageBreakBefore w:val="0"/>
        <w:wordWrap/>
        <w:topLinePunct w:val="0"/>
        <w:bidi w:val="0"/>
        <w:spacing w:before="120" w:line="360" w:lineRule="auto"/>
        <w:rPr>
          <w:color w:val="000000" w:themeColor="text1"/>
          <w:highlight w:val="none"/>
        </w:rPr>
      </w:pPr>
      <w:bookmarkStart w:id="181" w:name="_Toc19015"/>
      <w:bookmarkStart w:id="182" w:name="_Toc18380"/>
      <w:bookmarkStart w:id="183" w:name="_Toc518574362"/>
      <w:bookmarkStart w:id="184" w:name="_Toc4664"/>
      <w:r>
        <w:rPr>
          <w:rFonts w:hint="eastAsia"/>
          <w:color w:val="000000" w:themeColor="text1"/>
          <w:highlight w:val="none"/>
        </w:rPr>
        <w:t>2.8.2</w:t>
      </w:r>
      <w:r>
        <w:rPr>
          <w:color w:val="000000" w:themeColor="text1"/>
          <w:highlight w:val="none"/>
        </w:rPr>
        <w:t>评价方法</w:t>
      </w:r>
      <w:bookmarkEnd w:id="181"/>
      <w:bookmarkEnd w:id="182"/>
      <w:bookmarkEnd w:id="183"/>
      <w:bookmarkEnd w:id="184"/>
    </w:p>
    <w:p w14:paraId="5F9C22BC">
      <w:pPr>
        <w:pStyle w:val="72"/>
        <w:pageBreakBefore w:val="0"/>
        <w:wordWrap/>
        <w:topLinePunct w:val="0"/>
        <w:bidi w:val="0"/>
        <w:spacing w:line="360" w:lineRule="auto"/>
        <w:ind w:firstLine="480" w:firstLineChars="200"/>
        <w:jc w:val="both"/>
        <w:rPr>
          <w:rFonts w:ascii="Times New Roman" w:hAnsi="Times New Roman"/>
          <w:color w:val="000000" w:themeColor="text1"/>
          <w:highlight w:val="none"/>
        </w:rPr>
      </w:pPr>
      <w:r>
        <w:rPr>
          <w:rFonts w:ascii="Times New Roman" w:hAnsi="Times New Roman"/>
          <w:color w:val="000000" w:themeColor="text1"/>
          <w:highlight w:val="none"/>
        </w:rPr>
        <w:t>各专题采用的评价方法见表2.</w:t>
      </w:r>
      <w:r>
        <w:rPr>
          <w:rFonts w:hint="eastAsia" w:ascii="Times New Roman" w:hAnsi="Times New Roman"/>
          <w:color w:val="000000" w:themeColor="text1"/>
          <w:highlight w:val="none"/>
        </w:rPr>
        <w:t>8</w:t>
      </w:r>
      <w:r>
        <w:rPr>
          <w:rFonts w:ascii="Times New Roman" w:hAnsi="Times New Roman"/>
          <w:color w:val="000000" w:themeColor="text1"/>
          <w:highlight w:val="none"/>
        </w:rPr>
        <w:t>-1。</w:t>
      </w:r>
    </w:p>
    <w:p w14:paraId="3BD81C40">
      <w:pPr>
        <w:pageBreakBefore w:val="0"/>
        <w:wordWrap/>
        <w:topLinePunct w:val="0"/>
        <w:bidi w:val="0"/>
        <w:spacing w:line="360" w:lineRule="auto"/>
        <w:ind w:firstLine="0" w:firstLineChars="0"/>
        <w:jc w:val="center"/>
        <w:rPr>
          <w:b/>
          <w:bCs/>
          <w:color w:val="000000" w:themeColor="text1"/>
          <w:highlight w:val="none"/>
        </w:rPr>
      </w:pPr>
      <w:r>
        <w:rPr>
          <w:b/>
          <w:bCs/>
          <w:color w:val="000000" w:themeColor="text1"/>
          <w:highlight w:val="none"/>
        </w:rPr>
        <w:t>表2.</w:t>
      </w:r>
      <w:r>
        <w:rPr>
          <w:rFonts w:hint="eastAsia"/>
          <w:b/>
          <w:bCs/>
          <w:color w:val="000000" w:themeColor="text1"/>
          <w:highlight w:val="none"/>
        </w:rPr>
        <w:t>8</w:t>
      </w:r>
      <w:r>
        <w:rPr>
          <w:b/>
          <w:bCs/>
          <w:color w:val="000000" w:themeColor="text1"/>
          <w:highlight w:val="none"/>
        </w:rPr>
        <w:t>-1  本项目评价方法</w:t>
      </w:r>
    </w:p>
    <w:tbl>
      <w:tblPr>
        <w:tblStyle w:val="33"/>
        <w:tblW w:w="852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69"/>
        <w:gridCol w:w="3216"/>
        <w:gridCol w:w="2843"/>
      </w:tblGrid>
      <w:tr w14:paraId="2434FE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9" w:type="dxa"/>
            <w:vAlign w:val="center"/>
          </w:tcPr>
          <w:p w14:paraId="6538ECC9">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专题</w:t>
            </w:r>
          </w:p>
        </w:tc>
        <w:tc>
          <w:tcPr>
            <w:tcW w:w="3216" w:type="dxa"/>
            <w:vAlign w:val="center"/>
          </w:tcPr>
          <w:p w14:paraId="628D270D">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现状评价</w:t>
            </w:r>
          </w:p>
        </w:tc>
        <w:tc>
          <w:tcPr>
            <w:tcW w:w="2843" w:type="dxa"/>
            <w:vAlign w:val="center"/>
          </w:tcPr>
          <w:p w14:paraId="63C51019">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预测评价</w:t>
            </w:r>
          </w:p>
        </w:tc>
      </w:tr>
      <w:tr w14:paraId="752279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9" w:type="dxa"/>
            <w:vAlign w:val="center"/>
          </w:tcPr>
          <w:p w14:paraId="4E0D4FD1">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生态环境影响评价</w:t>
            </w:r>
          </w:p>
        </w:tc>
        <w:tc>
          <w:tcPr>
            <w:tcW w:w="3216" w:type="dxa"/>
            <w:vAlign w:val="center"/>
          </w:tcPr>
          <w:p w14:paraId="0283ACA8">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现场调查、资料收集、遥感解译、专家咨询</w:t>
            </w:r>
          </w:p>
        </w:tc>
        <w:tc>
          <w:tcPr>
            <w:tcW w:w="2843" w:type="dxa"/>
            <w:vAlign w:val="center"/>
          </w:tcPr>
          <w:p w14:paraId="67F59B09">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生态机理法、图形叠置法、类比分析和预测计算相结合</w:t>
            </w:r>
          </w:p>
        </w:tc>
      </w:tr>
      <w:tr w14:paraId="77BC79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9" w:type="dxa"/>
            <w:vAlign w:val="center"/>
          </w:tcPr>
          <w:p w14:paraId="32EFF10D">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声环境影响评价</w:t>
            </w:r>
          </w:p>
        </w:tc>
        <w:tc>
          <w:tcPr>
            <w:tcW w:w="3216" w:type="dxa"/>
            <w:vAlign w:val="center"/>
          </w:tcPr>
          <w:p w14:paraId="14E65358">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现状监测、类比分析</w:t>
            </w:r>
          </w:p>
        </w:tc>
        <w:tc>
          <w:tcPr>
            <w:tcW w:w="2843" w:type="dxa"/>
            <w:vAlign w:val="center"/>
          </w:tcPr>
          <w:p w14:paraId="2D6D02B5">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模式计算</w:t>
            </w:r>
          </w:p>
        </w:tc>
      </w:tr>
      <w:tr w14:paraId="24E30F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9" w:type="dxa"/>
            <w:vAlign w:val="center"/>
          </w:tcPr>
          <w:p w14:paraId="2F19B86D">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地表水环境影响分析</w:t>
            </w:r>
          </w:p>
        </w:tc>
        <w:tc>
          <w:tcPr>
            <w:tcW w:w="3216" w:type="dxa"/>
            <w:vAlign w:val="center"/>
          </w:tcPr>
          <w:p w14:paraId="62DF16EA">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资料收集</w:t>
            </w:r>
          </w:p>
        </w:tc>
        <w:tc>
          <w:tcPr>
            <w:tcW w:w="2843" w:type="dxa"/>
            <w:vAlign w:val="center"/>
          </w:tcPr>
          <w:p w14:paraId="29F2981F">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类比分析</w:t>
            </w:r>
          </w:p>
        </w:tc>
      </w:tr>
      <w:tr w14:paraId="16065C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469" w:type="dxa"/>
            <w:vAlign w:val="center"/>
          </w:tcPr>
          <w:p w14:paraId="353AF01D">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环境空气质量影响分析</w:t>
            </w:r>
          </w:p>
        </w:tc>
        <w:tc>
          <w:tcPr>
            <w:tcW w:w="3216" w:type="dxa"/>
            <w:vAlign w:val="center"/>
          </w:tcPr>
          <w:p w14:paraId="103894FF">
            <w:pPr>
              <w:pStyle w:val="13"/>
              <w:pageBreakBefore w:val="0"/>
              <w:wordWrap/>
              <w:topLinePunct w:val="0"/>
              <w:bidi w:val="0"/>
              <w:spacing w:line="240" w:lineRule="auto"/>
              <w:jc w:val="center"/>
              <w:rPr>
                <w:rFonts w:hint="default" w:ascii="Times New Roman" w:hAnsi="Times New Roman" w:eastAsia="宋体"/>
                <w:color w:val="000000" w:themeColor="text1"/>
                <w:sz w:val="21"/>
                <w:szCs w:val="21"/>
                <w:highlight w:val="none"/>
                <w:lang w:val="en-US" w:eastAsia="zh-CN"/>
              </w:rPr>
            </w:pPr>
            <w:r>
              <w:rPr>
                <w:rFonts w:ascii="Times New Roman" w:hAnsi="Times New Roman" w:eastAsia="宋体"/>
                <w:color w:val="000000" w:themeColor="text1"/>
                <w:sz w:val="21"/>
                <w:szCs w:val="21"/>
                <w:highlight w:val="none"/>
              </w:rPr>
              <w:t>现状监测</w:t>
            </w:r>
            <w:r>
              <w:rPr>
                <w:rFonts w:hint="eastAsia" w:ascii="Times New Roman" w:hAnsi="Times New Roman" w:eastAsia="宋体"/>
                <w:color w:val="000000" w:themeColor="text1"/>
                <w:sz w:val="21"/>
                <w:szCs w:val="21"/>
                <w:highlight w:val="none"/>
                <w:lang w:eastAsia="zh-CN"/>
              </w:rPr>
              <w:t>、</w:t>
            </w:r>
            <w:r>
              <w:rPr>
                <w:rFonts w:hint="eastAsia" w:ascii="Times New Roman" w:hAnsi="Times New Roman" w:eastAsia="宋体"/>
                <w:color w:val="000000" w:themeColor="text1"/>
                <w:sz w:val="21"/>
                <w:szCs w:val="21"/>
                <w:highlight w:val="none"/>
                <w:lang w:val="en-US" w:eastAsia="zh-CN"/>
              </w:rPr>
              <w:t>资料收集</w:t>
            </w:r>
          </w:p>
        </w:tc>
        <w:tc>
          <w:tcPr>
            <w:tcW w:w="2843" w:type="dxa"/>
            <w:vAlign w:val="center"/>
          </w:tcPr>
          <w:p w14:paraId="1DDD51AA">
            <w:pPr>
              <w:pStyle w:val="13"/>
              <w:pageBreakBefore w:val="0"/>
              <w:wordWrap/>
              <w:topLinePunct w:val="0"/>
              <w:bidi w:val="0"/>
              <w:spacing w:line="240" w:lineRule="auto"/>
              <w:jc w:val="center"/>
              <w:rPr>
                <w:rFonts w:ascii="Times New Roman" w:hAnsi="Times New Roman" w:eastAsia="宋体"/>
                <w:color w:val="000000" w:themeColor="text1"/>
                <w:sz w:val="21"/>
                <w:szCs w:val="21"/>
                <w:highlight w:val="none"/>
              </w:rPr>
            </w:pPr>
            <w:r>
              <w:rPr>
                <w:rFonts w:ascii="Times New Roman" w:hAnsi="Times New Roman" w:eastAsia="宋体"/>
                <w:color w:val="000000" w:themeColor="text1"/>
                <w:sz w:val="21"/>
                <w:szCs w:val="21"/>
                <w:highlight w:val="none"/>
              </w:rPr>
              <w:t>类比分析</w:t>
            </w:r>
          </w:p>
        </w:tc>
      </w:tr>
    </w:tbl>
    <w:p w14:paraId="31C9D5A4">
      <w:pPr>
        <w:pStyle w:val="3"/>
        <w:pageBreakBefore w:val="0"/>
        <w:wordWrap/>
        <w:topLinePunct w:val="0"/>
        <w:bidi w:val="0"/>
        <w:spacing w:before="12" w:after="120" w:line="360" w:lineRule="auto"/>
        <w:rPr>
          <w:color w:val="000000" w:themeColor="text1"/>
          <w:highlight w:val="none"/>
        </w:rPr>
      </w:pPr>
      <w:bookmarkStart w:id="185" w:name="_Toc118981060"/>
      <w:bookmarkStart w:id="186" w:name="_Toc17542"/>
      <w:bookmarkStart w:id="187" w:name="_Toc1941"/>
      <w:bookmarkStart w:id="188" w:name="_Toc25207"/>
      <w:bookmarkStart w:id="189" w:name="_Toc110042373"/>
      <w:bookmarkStart w:id="190" w:name="_Toc3029"/>
      <w:bookmarkStart w:id="191" w:name="_Toc131317695"/>
      <w:bookmarkStart w:id="192" w:name="_Toc518574363"/>
      <w:bookmarkStart w:id="193" w:name="_Toc208218256"/>
      <w:bookmarkStart w:id="194" w:name="_Toc109991383"/>
      <w:bookmarkStart w:id="195" w:name="_Toc139700821"/>
      <w:bookmarkStart w:id="196" w:name="_Hlk76740098"/>
      <w:r>
        <w:rPr>
          <w:rFonts w:hint="eastAsia"/>
          <w:color w:val="000000" w:themeColor="text1"/>
          <w:highlight w:val="none"/>
        </w:rPr>
        <w:t>2.9</w:t>
      </w:r>
      <w:r>
        <w:rPr>
          <w:color w:val="000000" w:themeColor="text1"/>
          <w:highlight w:val="none"/>
        </w:rPr>
        <w:t>环境保护目标</w:t>
      </w:r>
      <w:bookmarkEnd w:id="185"/>
      <w:bookmarkEnd w:id="186"/>
      <w:bookmarkEnd w:id="187"/>
      <w:bookmarkEnd w:id="188"/>
      <w:bookmarkEnd w:id="189"/>
      <w:bookmarkEnd w:id="190"/>
      <w:bookmarkEnd w:id="191"/>
      <w:bookmarkEnd w:id="192"/>
      <w:bookmarkEnd w:id="193"/>
      <w:bookmarkEnd w:id="194"/>
      <w:bookmarkEnd w:id="195"/>
    </w:p>
    <w:p w14:paraId="41F86DAC">
      <w:pPr>
        <w:pStyle w:val="4"/>
        <w:pageBreakBefore w:val="0"/>
        <w:wordWrap/>
        <w:topLinePunct w:val="0"/>
        <w:bidi w:val="0"/>
        <w:spacing w:before="120" w:line="360" w:lineRule="auto"/>
        <w:rPr>
          <w:color w:val="000000" w:themeColor="text1"/>
          <w:highlight w:val="none"/>
        </w:rPr>
      </w:pPr>
      <w:bookmarkStart w:id="197" w:name="_Toc291440675"/>
      <w:bookmarkStart w:id="198" w:name="_Toc18815"/>
      <w:bookmarkStart w:id="199" w:name="_Toc2435"/>
      <w:bookmarkStart w:id="200" w:name="_Hlk77169879"/>
      <w:r>
        <w:rPr>
          <w:rFonts w:hint="eastAsia"/>
          <w:color w:val="000000" w:themeColor="text1"/>
          <w:highlight w:val="none"/>
        </w:rPr>
        <w:t>2.9.1</w:t>
      </w:r>
      <w:r>
        <w:rPr>
          <w:color w:val="000000" w:themeColor="text1"/>
          <w:highlight w:val="none"/>
        </w:rPr>
        <w:t>生态环境保护目标</w:t>
      </w:r>
      <w:bookmarkEnd w:id="197"/>
      <w:bookmarkEnd w:id="198"/>
      <w:bookmarkEnd w:id="199"/>
    </w:p>
    <w:p w14:paraId="427198B8">
      <w:pPr>
        <w:pStyle w:val="42"/>
        <w:keepNext w:val="0"/>
        <w:keepLines w:val="0"/>
        <w:pageBreakBefore w:val="0"/>
        <w:widowControl w:val="0"/>
        <w:kinsoku/>
        <w:wordWrap/>
        <w:overflowPunct/>
        <w:topLinePunct w:val="0"/>
        <w:bidi w:val="0"/>
        <w:adjustRightInd w:val="0"/>
        <w:spacing w:line="360" w:lineRule="auto"/>
        <w:ind w:firstLine="480" w:firstLineChars="200"/>
        <w:jc w:val="both"/>
        <w:rPr>
          <w:rFonts w:ascii="Times New Roman" w:eastAsia="宋体"/>
          <w:color w:val="000000" w:themeColor="text1"/>
          <w:highlight w:val="none"/>
        </w:rPr>
      </w:pPr>
      <w:r>
        <w:rPr>
          <w:rFonts w:ascii="Times New Roman" w:eastAsia="宋体"/>
          <w:color w:val="000000" w:themeColor="text1"/>
          <w:highlight w:val="none"/>
        </w:rPr>
        <w:t>本项目沿线为农</w:t>
      </w:r>
      <w:r>
        <w:rPr>
          <w:rFonts w:hint="eastAsia" w:ascii="Times New Roman" w:eastAsia="宋体"/>
          <w:color w:val="000000" w:themeColor="text1"/>
          <w:highlight w:val="none"/>
        </w:rPr>
        <w:t>田</w:t>
      </w:r>
      <w:r>
        <w:rPr>
          <w:rFonts w:ascii="Times New Roman" w:eastAsia="宋体"/>
          <w:color w:val="000000" w:themeColor="text1"/>
          <w:highlight w:val="none"/>
        </w:rPr>
        <w:t>生态系统、村镇生态系统、森林生态系统、草</w:t>
      </w:r>
      <w:r>
        <w:rPr>
          <w:rFonts w:hint="eastAsia" w:ascii="Times New Roman" w:eastAsia="宋体"/>
          <w:color w:val="000000" w:themeColor="text1"/>
          <w:highlight w:val="none"/>
        </w:rPr>
        <w:t>地</w:t>
      </w:r>
      <w:r>
        <w:rPr>
          <w:rFonts w:ascii="Times New Roman" w:eastAsia="宋体"/>
          <w:color w:val="000000" w:themeColor="text1"/>
          <w:highlight w:val="none"/>
        </w:rPr>
        <w:t>生态系统等，以农</w:t>
      </w:r>
      <w:r>
        <w:rPr>
          <w:rFonts w:hint="eastAsia" w:ascii="Times New Roman" w:eastAsia="宋体"/>
          <w:color w:val="000000" w:themeColor="text1"/>
          <w:highlight w:val="none"/>
        </w:rPr>
        <w:t>田</w:t>
      </w:r>
      <w:r>
        <w:rPr>
          <w:rFonts w:ascii="Times New Roman" w:eastAsia="宋体"/>
          <w:color w:val="000000" w:themeColor="text1"/>
          <w:highlight w:val="none"/>
        </w:rPr>
        <w:t>生态系统为主，其次为森林生态系统。根据调查，</w:t>
      </w:r>
      <w:r>
        <w:rPr>
          <w:rFonts w:hint="eastAsia" w:ascii="Times New Roman" w:eastAsia="宋体"/>
          <w:color w:val="000000" w:themeColor="text1"/>
          <w:highlight w:val="none"/>
          <w:lang w:val="en-US" w:eastAsia="zh-CN"/>
        </w:rPr>
        <w:t>项目线路中心线向两侧外延</w:t>
      </w:r>
      <w:r>
        <w:rPr>
          <w:rFonts w:hint="default" w:ascii="Times New Roman" w:eastAsia="宋体"/>
          <w:color w:val="000000" w:themeColor="text1"/>
          <w:highlight w:val="none"/>
          <w:lang w:val="en-US" w:eastAsia="zh-CN"/>
        </w:rPr>
        <w:t>300m</w:t>
      </w:r>
      <w:r>
        <w:rPr>
          <w:rFonts w:hint="eastAsia" w:ascii="Times New Roman" w:eastAsia="宋体"/>
          <w:color w:val="000000" w:themeColor="text1"/>
          <w:highlight w:val="none"/>
          <w:lang w:val="en-US" w:eastAsia="zh-CN"/>
        </w:rPr>
        <w:t>范围内无受影响的重要物种，生态环境保护目标主要为永久基本农田。生态敏感区为东北漫川漫岗省级水土流失重点治理区和鹤岗市水土流失重点预防区。</w:t>
      </w:r>
      <w:r>
        <w:rPr>
          <w:rFonts w:ascii="Times New Roman" w:eastAsia="宋体"/>
          <w:color w:val="000000" w:themeColor="text1"/>
          <w:highlight w:val="none"/>
        </w:rPr>
        <w:t>河流不涉及</w:t>
      </w:r>
      <w:r>
        <w:rPr>
          <w:rFonts w:hint="eastAsia" w:ascii="Times New Roman" w:eastAsia="宋体"/>
          <w:color w:val="000000" w:themeColor="text1"/>
          <w:highlight w:val="none"/>
        </w:rPr>
        <w:t>重要水生生物的自然产卵场及索饵场、越冬场和洄游通道、天然渔场等。</w:t>
      </w:r>
      <w:r>
        <w:rPr>
          <w:rFonts w:hint="eastAsia" w:ascii="Times New Roman" w:eastAsia="宋体"/>
          <w:color w:val="000000" w:themeColor="text1"/>
          <w:highlight w:val="none"/>
          <w:lang w:val="en-US" w:eastAsia="zh-CN"/>
        </w:rPr>
        <w:t>细鳞河自然保护区位于项目线路西北侧约7.1</w:t>
      </w:r>
      <w:r>
        <w:rPr>
          <w:rFonts w:hint="default" w:ascii="Times New Roman" w:eastAsia="宋体"/>
          <w:color w:val="000000" w:themeColor="text1"/>
          <w:highlight w:val="none"/>
          <w:lang w:val="en-US" w:eastAsia="zh-CN"/>
        </w:rPr>
        <w:t>km</w:t>
      </w:r>
      <w:r>
        <w:rPr>
          <w:rFonts w:hint="eastAsia" w:ascii="Times New Roman" w:eastAsia="宋体"/>
          <w:color w:val="000000" w:themeColor="text1"/>
          <w:highlight w:val="none"/>
          <w:lang w:val="en-US" w:eastAsia="zh-CN"/>
        </w:rPr>
        <w:t>处。</w:t>
      </w:r>
    </w:p>
    <w:p w14:paraId="0CA62E69">
      <w:pPr>
        <w:keepNext w:val="0"/>
        <w:keepLines w:val="0"/>
        <w:pageBreakBefore w:val="0"/>
        <w:widowControl w:val="0"/>
        <w:kinsoku/>
        <w:wordWrap/>
        <w:overflowPunct/>
        <w:topLinePunct w:val="0"/>
        <w:bidi w:val="0"/>
        <w:adjustRightInd w:val="0"/>
        <w:spacing w:line="360" w:lineRule="auto"/>
        <w:rPr>
          <w:color w:val="000000" w:themeColor="text1"/>
          <w:highlight w:val="none"/>
        </w:rPr>
      </w:pPr>
      <w:r>
        <w:rPr>
          <w:color w:val="000000" w:themeColor="text1"/>
          <w:highlight w:val="none"/>
        </w:rPr>
        <w:t>综上，本项目生态环境保护目标具体见表2.</w:t>
      </w:r>
      <w:r>
        <w:rPr>
          <w:rFonts w:hint="eastAsia"/>
          <w:color w:val="000000" w:themeColor="text1"/>
          <w:highlight w:val="none"/>
        </w:rPr>
        <w:t>9</w:t>
      </w:r>
      <w:r>
        <w:rPr>
          <w:color w:val="000000" w:themeColor="text1"/>
          <w:highlight w:val="none"/>
        </w:rPr>
        <w:t>-1。</w:t>
      </w:r>
    </w:p>
    <w:p w14:paraId="24F30030">
      <w:pPr>
        <w:pageBreakBefore w:val="0"/>
        <w:wordWrap/>
        <w:topLinePunct w:val="0"/>
        <w:bidi w:val="0"/>
        <w:spacing w:line="360" w:lineRule="auto"/>
        <w:ind w:left="0" w:leftChars="0" w:firstLine="0" w:firstLineChars="0"/>
        <w:jc w:val="center"/>
        <w:rPr>
          <w:b/>
          <w:bCs/>
          <w:color w:val="000000" w:themeColor="text1"/>
          <w:highlight w:val="none"/>
        </w:rPr>
      </w:pPr>
      <w:r>
        <w:rPr>
          <w:b/>
          <w:bCs/>
          <w:color w:val="000000" w:themeColor="text1"/>
          <w:highlight w:val="none"/>
        </w:rPr>
        <w:t>表2.</w:t>
      </w:r>
      <w:r>
        <w:rPr>
          <w:rFonts w:hint="eastAsia"/>
          <w:b/>
          <w:bCs/>
          <w:color w:val="000000" w:themeColor="text1"/>
          <w:highlight w:val="none"/>
        </w:rPr>
        <w:t>9</w:t>
      </w:r>
      <w:r>
        <w:rPr>
          <w:b/>
          <w:bCs/>
          <w:color w:val="000000" w:themeColor="text1"/>
          <w:highlight w:val="none"/>
        </w:rPr>
        <w:t>-1  生态环境保护目标表</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068"/>
        <w:gridCol w:w="2131"/>
        <w:gridCol w:w="1994"/>
        <w:gridCol w:w="1470"/>
        <w:gridCol w:w="735"/>
        <w:gridCol w:w="1125"/>
      </w:tblGrid>
      <w:tr w14:paraId="010000B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626" w:type="pct"/>
            <w:vAlign w:val="center"/>
          </w:tcPr>
          <w:p w14:paraId="0287B664">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敏感目标</w:t>
            </w:r>
          </w:p>
        </w:tc>
        <w:tc>
          <w:tcPr>
            <w:tcW w:w="1250" w:type="pct"/>
            <w:vAlign w:val="center"/>
          </w:tcPr>
          <w:p w14:paraId="1474902E">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保护类别/对象</w:t>
            </w:r>
          </w:p>
        </w:tc>
        <w:tc>
          <w:tcPr>
            <w:tcW w:w="1169" w:type="pct"/>
            <w:vAlign w:val="center"/>
          </w:tcPr>
          <w:p w14:paraId="23237231">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rPr>
              <w:t>占用</w:t>
            </w:r>
            <w:r>
              <w:rPr>
                <w:rFonts w:hint="eastAsia"/>
                <w:color w:val="000000" w:themeColor="text1"/>
                <w:kern w:val="0"/>
                <w:sz w:val="21"/>
                <w:szCs w:val="21"/>
                <w:highlight w:val="none"/>
                <w:lang w:val="en-US" w:eastAsia="zh-CN"/>
              </w:rPr>
              <w:t>方式</w:t>
            </w:r>
          </w:p>
        </w:tc>
        <w:tc>
          <w:tcPr>
            <w:tcW w:w="862" w:type="pct"/>
            <w:vAlign w:val="center"/>
          </w:tcPr>
          <w:p w14:paraId="01267120">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与工程区位置关系</w:t>
            </w:r>
          </w:p>
        </w:tc>
        <w:tc>
          <w:tcPr>
            <w:tcW w:w="431" w:type="pct"/>
            <w:vAlign w:val="center"/>
          </w:tcPr>
          <w:p w14:paraId="5147F234">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影响方式</w:t>
            </w:r>
          </w:p>
        </w:tc>
        <w:tc>
          <w:tcPr>
            <w:tcW w:w="659" w:type="pct"/>
            <w:vAlign w:val="center"/>
          </w:tcPr>
          <w:p w14:paraId="2A227E81">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影响因素</w:t>
            </w:r>
          </w:p>
        </w:tc>
      </w:tr>
      <w:tr w14:paraId="571DC67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26" w:type="pct"/>
            <w:vAlign w:val="center"/>
          </w:tcPr>
          <w:p w14:paraId="5D5C9B1D">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耕地</w:t>
            </w:r>
          </w:p>
        </w:tc>
        <w:tc>
          <w:tcPr>
            <w:tcW w:w="1250" w:type="pct"/>
            <w:vAlign w:val="center"/>
          </w:tcPr>
          <w:p w14:paraId="63A29893">
            <w:pPr>
              <w:pageBreakBefore w:val="0"/>
              <w:widowControl/>
              <w:wordWrap/>
              <w:topLinePunct w:val="0"/>
              <w:bidi w:val="0"/>
              <w:spacing w:line="240" w:lineRule="auto"/>
              <w:ind w:firstLine="0" w:firstLineChars="0"/>
              <w:jc w:val="center"/>
              <w:rPr>
                <w:color w:val="000000" w:themeColor="text1"/>
                <w:kern w:val="0"/>
                <w:sz w:val="21"/>
                <w:szCs w:val="21"/>
                <w:highlight w:val="none"/>
                <w:lang w:val="zh-CN"/>
              </w:rPr>
            </w:pPr>
            <w:r>
              <w:rPr>
                <w:rFonts w:hint="eastAsia"/>
                <w:color w:val="000000" w:themeColor="text1"/>
                <w:kern w:val="0"/>
                <w:sz w:val="21"/>
                <w:szCs w:val="21"/>
                <w:highlight w:val="none"/>
              </w:rPr>
              <w:t>永久</w:t>
            </w:r>
            <w:r>
              <w:rPr>
                <w:color w:val="000000" w:themeColor="text1"/>
                <w:kern w:val="0"/>
                <w:sz w:val="21"/>
                <w:szCs w:val="21"/>
                <w:highlight w:val="none"/>
              </w:rPr>
              <w:t>基本农田</w:t>
            </w:r>
          </w:p>
        </w:tc>
        <w:tc>
          <w:tcPr>
            <w:tcW w:w="1169" w:type="pct"/>
            <w:vAlign w:val="center"/>
          </w:tcPr>
          <w:p w14:paraId="302BAB43">
            <w:pPr>
              <w:pageBreakBefore w:val="0"/>
              <w:widowControl/>
              <w:wordWrap/>
              <w:topLinePunct w:val="0"/>
              <w:bidi w:val="0"/>
              <w:spacing w:line="240" w:lineRule="auto"/>
              <w:ind w:firstLine="0" w:firstLineChars="0"/>
              <w:jc w:val="center"/>
              <w:rPr>
                <w:rFonts w:hint="eastAsia"/>
                <w:color w:val="000000" w:themeColor="text1"/>
                <w:kern w:val="0"/>
                <w:sz w:val="21"/>
                <w:szCs w:val="21"/>
                <w:highlight w:val="none"/>
              </w:rPr>
            </w:pPr>
            <w:r>
              <w:rPr>
                <w:rFonts w:hint="eastAsia"/>
                <w:color w:val="000000" w:themeColor="text1"/>
                <w:kern w:val="0"/>
                <w:sz w:val="21"/>
                <w:szCs w:val="21"/>
                <w:highlight w:val="none"/>
              </w:rPr>
              <w:t>占用</w:t>
            </w:r>
          </w:p>
          <w:p w14:paraId="4630C968">
            <w:pPr>
              <w:pageBreakBefore w:val="0"/>
              <w:widowControl/>
              <w:wordWrap/>
              <w:topLinePunct w:val="0"/>
              <w:bidi w:val="0"/>
              <w:spacing w:line="240" w:lineRule="auto"/>
              <w:ind w:firstLine="0" w:firstLineChars="0"/>
              <w:jc w:val="center"/>
              <w:rPr>
                <w:color w:val="000000" w:themeColor="text1"/>
                <w:kern w:val="0"/>
                <w:sz w:val="21"/>
                <w:szCs w:val="21"/>
                <w:highlight w:val="none"/>
                <w:vertAlign w:val="baseline"/>
              </w:rPr>
            </w:pPr>
            <w:r>
              <w:rPr>
                <w:rFonts w:hint="eastAsia"/>
                <w:color w:val="000000" w:themeColor="text1"/>
                <w:sz w:val="21"/>
                <w:szCs w:val="21"/>
                <w:highlight w:val="none"/>
                <w:lang w:val="en-US" w:eastAsia="zh-CN"/>
              </w:rPr>
              <w:t>（所占耕地均为永久基本农田，合计12.0213hm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w:t>
            </w:r>
          </w:p>
        </w:tc>
        <w:tc>
          <w:tcPr>
            <w:tcW w:w="862" w:type="pct"/>
            <w:vAlign w:val="center"/>
          </w:tcPr>
          <w:p w14:paraId="1C7B6551">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主线占用</w:t>
            </w:r>
          </w:p>
        </w:tc>
        <w:tc>
          <w:tcPr>
            <w:tcW w:w="431" w:type="pct"/>
            <w:vAlign w:val="center"/>
          </w:tcPr>
          <w:p w14:paraId="231F057E">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直接影响</w:t>
            </w:r>
          </w:p>
        </w:tc>
        <w:tc>
          <w:tcPr>
            <w:tcW w:w="659" w:type="pct"/>
            <w:vAlign w:val="center"/>
          </w:tcPr>
          <w:p w14:paraId="3C10717D">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施工占地、施工活动等</w:t>
            </w:r>
          </w:p>
        </w:tc>
      </w:tr>
      <w:tr w14:paraId="727ED3E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626" w:type="pct"/>
            <w:vAlign w:val="center"/>
          </w:tcPr>
          <w:p w14:paraId="4D431C70">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bookmarkStart w:id="201" w:name="_Toc28912"/>
            <w:bookmarkStart w:id="202" w:name="_Toc12088"/>
            <w:r>
              <w:rPr>
                <w:rFonts w:hint="eastAsia"/>
                <w:color w:val="000000" w:themeColor="text1"/>
                <w:kern w:val="0"/>
                <w:sz w:val="21"/>
                <w:szCs w:val="21"/>
                <w:highlight w:val="none"/>
                <w:lang w:val="en-US" w:eastAsia="zh-CN"/>
              </w:rPr>
              <w:t>生态敏感区</w:t>
            </w:r>
          </w:p>
        </w:tc>
        <w:tc>
          <w:tcPr>
            <w:tcW w:w="1250" w:type="pct"/>
            <w:vAlign w:val="center"/>
          </w:tcPr>
          <w:p w14:paraId="7D771FBE">
            <w:pPr>
              <w:pageBreakBefore w:val="0"/>
              <w:widowControl/>
              <w:wordWrap/>
              <w:topLinePunct w:val="0"/>
              <w:bidi w:val="0"/>
              <w:spacing w:line="240" w:lineRule="auto"/>
              <w:ind w:firstLine="0" w:firstLineChars="0"/>
              <w:jc w:val="center"/>
              <w:rPr>
                <w:rFonts w:hint="eastAsia"/>
                <w:color w:val="000000" w:themeColor="text1"/>
                <w:kern w:val="0"/>
                <w:sz w:val="21"/>
                <w:szCs w:val="21"/>
                <w:highlight w:val="none"/>
              </w:rPr>
            </w:pPr>
            <w:r>
              <w:rPr>
                <w:rFonts w:hint="eastAsia"/>
                <w:color w:val="000000" w:themeColor="text1"/>
                <w:kern w:val="0"/>
                <w:sz w:val="21"/>
                <w:szCs w:val="21"/>
                <w:highlight w:val="none"/>
              </w:rPr>
              <w:t>东北漫川漫岗省级水土流失重点治理区和鹤岗市水土流失重点预防区</w:t>
            </w:r>
          </w:p>
        </w:tc>
        <w:tc>
          <w:tcPr>
            <w:tcW w:w="1169" w:type="pct"/>
            <w:vAlign w:val="center"/>
          </w:tcPr>
          <w:p w14:paraId="682F0B8D">
            <w:pPr>
              <w:pageBreakBefore w:val="0"/>
              <w:widowControl/>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占用</w:t>
            </w:r>
          </w:p>
        </w:tc>
        <w:tc>
          <w:tcPr>
            <w:tcW w:w="862" w:type="pct"/>
            <w:shd w:val="clear" w:color="auto" w:fill="auto"/>
            <w:vAlign w:val="center"/>
          </w:tcPr>
          <w:p w14:paraId="6280DF29">
            <w:pPr>
              <w:pageBreakBefore w:val="0"/>
              <w:widowControl/>
              <w:wordWrap/>
              <w:topLinePunct w:val="0"/>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rPr>
              <w:t>主线占用</w:t>
            </w:r>
          </w:p>
        </w:tc>
        <w:tc>
          <w:tcPr>
            <w:tcW w:w="431" w:type="pct"/>
            <w:shd w:val="clear" w:color="auto" w:fill="auto"/>
            <w:vAlign w:val="center"/>
          </w:tcPr>
          <w:p w14:paraId="4A7F2BDC">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直接影响</w:t>
            </w:r>
          </w:p>
        </w:tc>
        <w:tc>
          <w:tcPr>
            <w:tcW w:w="659" w:type="pct"/>
            <w:shd w:val="clear" w:color="auto" w:fill="auto"/>
            <w:vAlign w:val="center"/>
          </w:tcPr>
          <w:p w14:paraId="432DD48B">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施工占地、施工活动等</w:t>
            </w:r>
          </w:p>
        </w:tc>
      </w:tr>
      <w:bookmarkEnd w:id="200"/>
    </w:tbl>
    <w:p w14:paraId="7E9EB4C2">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2.9.2</w:t>
      </w:r>
      <w:r>
        <w:rPr>
          <w:color w:val="000000" w:themeColor="text1"/>
          <w:highlight w:val="none"/>
        </w:rPr>
        <w:t>地表水环境保护目标</w:t>
      </w:r>
      <w:bookmarkEnd w:id="201"/>
      <w:bookmarkEnd w:id="202"/>
    </w:p>
    <w:p w14:paraId="433F221B">
      <w:pPr>
        <w:pageBreakBefore w:val="0"/>
        <w:wordWrap/>
        <w:topLinePunct w:val="0"/>
        <w:bidi w:val="0"/>
        <w:spacing w:line="360" w:lineRule="auto"/>
        <w:rPr>
          <w:color w:val="000000" w:themeColor="text1"/>
          <w:highlight w:val="none"/>
        </w:rPr>
      </w:pPr>
      <w:r>
        <w:rPr>
          <w:color w:val="000000" w:themeColor="text1"/>
          <w:highlight w:val="none"/>
        </w:rPr>
        <w:t>本项目</w:t>
      </w:r>
      <w:r>
        <w:rPr>
          <w:rFonts w:hint="eastAsia"/>
          <w:color w:val="000000" w:themeColor="text1"/>
          <w:highlight w:val="none"/>
          <w:lang w:val="en-US" w:eastAsia="zh-CN"/>
        </w:rPr>
        <w:t>线路</w:t>
      </w:r>
      <w:r>
        <w:rPr>
          <w:rFonts w:hint="eastAsia"/>
          <w:color w:val="000000" w:themeColor="text1"/>
          <w:highlight w:val="none"/>
        </w:rPr>
        <w:t>共</w:t>
      </w:r>
      <w:r>
        <w:rPr>
          <w:color w:val="000000" w:themeColor="text1"/>
          <w:highlight w:val="none"/>
        </w:rPr>
        <w:t>设置</w:t>
      </w:r>
      <w:r>
        <w:rPr>
          <w:rFonts w:hint="eastAsia"/>
          <w:color w:val="000000" w:themeColor="text1"/>
          <w:highlight w:val="none"/>
          <w:lang w:val="en-US" w:eastAsia="zh-CN"/>
        </w:rPr>
        <w:t>跨越水体</w:t>
      </w:r>
      <w:r>
        <w:rPr>
          <w:color w:val="000000" w:themeColor="text1"/>
          <w:highlight w:val="none"/>
        </w:rPr>
        <w:t>桥梁</w:t>
      </w:r>
      <w:r>
        <w:rPr>
          <w:rFonts w:hint="eastAsia"/>
          <w:color w:val="000000" w:themeColor="text1"/>
          <w:highlight w:val="none"/>
          <w:lang w:val="en-US" w:eastAsia="zh-CN"/>
        </w:rPr>
        <w:t>2</w:t>
      </w:r>
      <w:r>
        <w:rPr>
          <w:color w:val="000000" w:themeColor="text1"/>
          <w:highlight w:val="none"/>
        </w:rPr>
        <w:t>座，包括</w:t>
      </w:r>
      <w:r>
        <w:rPr>
          <w:rFonts w:hint="eastAsia" w:ascii="Times New Roman" w:hAnsi="宋体"/>
          <w:color w:val="000000" w:themeColor="text1"/>
          <w:sz w:val="24"/>
          <w:szCs w:val="24"/>
          <w:highlight w:val="none"/>
          <w:lang w:val="en-US" w:eastAsia="zh-CN"/>
        </w:rPr>
        <w:t>跨沟渠桥（</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）一座、跨朝鲜河桥（</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）一座</w:t>
      </w:r>
      <w:r>
        <w:rPr>
          <w:color w:val="000000" w:themeColor="text1"/>
          <w:highlight w:val="none"/>
        </w:rPr>
        <w:t>。桥梁跨越</w:t>
      </w:r>
      <w:r>
        <w:rPr>
          <w:rFonts w:hint="eastAsia"/>
          <w:color w:val="000000" w:themeColor="text1"/>
          <w:highlight w:val="none"/>
          <w:lang w:val="en-US" w:eastAsia="zh-CN"/>
        </w:rPr>
        <w:t>路北一支干渠和朝鲜河</w:t>
      </w:r>
      <w:r>
        <w:rPr>
          <w:color w:val="000000" w:themeColor="text1"/>
          <w:highlight w:val="none"/>
        </w:rPr>
        <w:t>，环境保护目标主要是保护</w:t>
      </w:r>
      <w:r>
        <w:rPr>
          <w:rFonts w:hint="eastAsia"/>
          <w:color w:val="000000" w:themeColor="text1"/>
          <w:highlight w:val="none"/>
          <w:lang w:val="en-US" w:eastAsia="zh-CN"/>
        </w:rPr>
        <w:t>路北一支干渠和朝鲜河</w:t>
      </w:r>
      <w:r>
        <w:rPr>
          <w:color w:val="000000" w:themeColor="text1"/>
          <w:highlight w:val="none"/>
        </w:rPr>
        <w:t>水质满足相应功能区要求。</w:t>
      </w:r>
      <w:r>
        <w:rPr>
          <w:rFonts w:hint="eastAsia"/>
          <w:color w:val="000000" w:themeColor="text1"/>
          <w:highlight w:val="none"/>
          <w:lang w:val="en-US" w:eastAsia="zh-CN"/>
        </w:rPr>
        <w:t>经调查，本项目评价范围内无地表水饮用水水源保护区、集中式饮用水水源地。</w:t>
      </w:r>
    </w:p>
    <w:p w14:paraId="00B00754">
      <w:pPr>
        <w:pageBreakBefore w:val="0"/>
        <w:wordWrap/>
        <w:topLinePunct w:val="0"/>
        <w:bidi w:val="0"/>
        <w:spacing w:line="360" w:lineRule="auto"/>
        <w:rPr>
          <w:color w:val="000000" w:themeColor="text1"/>
          <w:highlight w:val="none"/>
        </w:rPr>
      </w:pPr>
      <w:r>
        <w:rPr>
          <w:color w:val="000000" w:themeColor="text1"/>
          <w:highlight w:val="none"/>
        </w:rPr>
        <w:t>本项目地表水环境保护目标见表2.</w:t>
      </w:r>
      <w:r>
        <w:rPr>
          <w:rFonts w:hint="eastAsia"/>
          <w:color w:val="000000" w:themeColor="text1"/>
          <w:highlight w:val="none"/>
        </w:rPr>
        <w:t>9</w:t>
      </w:r>
      <w:r>
        <w:rPr>
          <w:color w:val="000000" w:themeColor="text1"/>
          <w:highlight w:val="none"/>
        </w:rPr>
        <w:t>-2。</w:t>
      </w:r>
    </w:p>
    <w:p w14:paraId="5DBCF767">
      <w:pPr>
        <w:pageBreakBefore w:val="0"/>
        <w:wordWrap/>
        <w:topLinePunct w:val="0"/>
        <w:bidi w:val="0"/>
        <w:spacing w:line="360" w:lineRule="auto"/>
        <w:ind w:firstLine="0" w:firstLineChars="0"/>
        <w:jc w:val="center"/>
        <w:rPr>
          <w:b/>
          <w:bCs/>
          <w:color w:val="000000" w:themeColor="text1"/>
          <w:highlight w:val="none"/>
        </w:rPr>
      </w:pPr>
      <w:r>
        <w:rPr>
          <w:b/>
          <w:bCs/>
          <w:color w:val="000000" w:themeColor="text1"/>
          <w:highlight w:val="none"/>
        </w:rPr>
        <w:t>表2.</w:t>
      </w:r>
      <w:r>
        <w:rPr>
          <w:rFonts w:hint="eastAsia"/>
          <w:b/>
          <w:bCs/>
          <w:color w:val="000000" w:themeColor="text1"/>
          <w:highlight w:val="none"/>
        </w:rPr>
        <w:t>9</w:t>
      </w:r>
      <w:r>
        <w:rPr>
          <w:b/>
          <w:bCs/>
          <w:color w:val="000000" w:themeColor="text1"/>
          <w:highlight w:val="none"/>
        </w:rPr>
        <w:t>-2  地表水环境保护目标表</w:t>
      </w:r>
    </w:p>
    <w:tbl>
      <w:tblPr>
        <w:tblStyle w:val="33"/>
        <w:tblW w:w="836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84"/>
        <w:gridCol w:w="1272"/>
        <w:gridCol w:w="1563"/>
        <w:gridCol w:w="992"/>
        <w:gridCol w:w="709"/>
        <w:gridCol w:w="567"/>
        <w:gridCol w:w="567"/>
        <w:gridCol w:w="2410"/>
      </w:tblGrid>
      <w:tr w14:paraId="2D68EA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117" w:hRule="atLeast"/>
        </w:trPr>
        <w:tc>
          <w:tcPr>
            <w:tcW w:w="284" w:type="dxa"/>
            <w:noWrap/>
            <w:vAlign w:val="center"/>
          </w:tcPr>
          <w:p w14:paraId="0582C85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序号</w:t>
            </w:r>
          </w:p>
        </w:tc>
        <w:tc>
          <w:tcPr>
            <w:tcW w:w="1272" w:type="dxa"/>
            <w:vAlign w:val="center"/>
          </w:tcPr>
          <w:p w14:paraId="5317975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河流名称</w:t>
            </w:r>
          </w:p>
        </w:tc>
        <w:tc>
          <w:tcPr>
            <w:tcW w:w="1563" w:type="dxa"/>
            <w:vAlign w:val="center"/>
          </w:tcPr>
          <w:p w14:paraId="0DE9D88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桥梁/道路名称</w:t>
            </w:r>
          </w:p>
        </w:tc>
        <w:tc>
          <w:tcPr>
            <w:tcW w:w="992" w:type="dxa"/>
            <w:vAlign w:val="center"/>
          </w:tcPr>
          <w:p w14:paraId="0BB5510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中心桩号</w:t>
            </w:r>
          </w:p>
        </w:tc>
        <w:tc>
          <w:tcPr>
            <w:tcW w:w="709" w:type="dxa"/>
            <w:noWrap/>
            <w:vAlign w:val="center"/>
          </w:tcPr>
          <w:p w14:paraId="3E6059C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孔数及</w:t>
            </w:r>
          </w:p>
          <w:p w14:paraId="401A9E0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孔径</w:t>
            </w:r>
          </w:p>
        </w:tc>
        <w:tc>
          <w:tcPr>
            <w:tcW w:w="567" w:type="dxa"/>
            <w:noWrap/>
            <w:vAlign w:val="center"/>
          </w:tcPr>
          <w:p w14:paraId="607861D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桥长</w:t>
            </w:r>
          </w:p>
          <w:p w14:paraId="3391BFC8">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eastAsia="zh-CN"/>
              </w:rPr>
              <w:t>（</w:t>
            </w:r>
            <w:r>
              <w:rPr>
                <w:color w:val="000000" w:themeColor="text1"/>
                <w:sz w:val="21"/>
                <w:szCs w:val="21"/>
                <w:highlight w:val="none"/>
              </w:rPr>
              <w:t>m</w:t>
            </w:r>
            <w:r>
              <w:rPr>
                <w:rFonts w:hint="eastAsia"/>
                <w:color w:val="000000" w:themeColor="text1"/>
                <w:sz w:val="21"/>
                <w:szCs w:val="21"/>
                <w:highlight w:val="none"/>
                <w:lang w:eastAsia="zh-CN"/>
              </w:rPr>
              <w:t>）</w:t>
            </w:r>
          </w:p>
        </w:tc>
        <w:tc>
          <w:tcPr>
            <w:tcW w:w="567" w:type="dxa"/>
            <w:noWrap/>
            <w:vAlign w:val="center"/>
          </w:tcPr>
          <w:p w14:paraId="0F11279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涉水桥墩</w:t>
            </w:r>
          </w:p>
        </w:tc>
        <w:tc>
          <w:tcPr>
            <w:tcW w:w="2410" w:type="dxa"/>
            <w:noWrap/>
            <w:vAlign w:val="center"/>
          </w:tcPr>
          <w:p w14:paraId="50212C9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水质保护目标</w:t>
            </w:r>
          </w:p>
        </w:tc>
      </w:tr>
      <w:tr w14:paraId="16037A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84" w:type="dxa"/>
            <w:noWrap/>
            <w:vAlign w:val="center"/>
          </w:tcPr>
          <w:p w14:paraId="6893BB4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w:t>
            </w:r>
          </w:p>
        </w:tc>
        <w:tc>
          <w:tcPr>
            <w:tcW w:w="1272" w:type="dxa"/>
            <w:vAlign w:val="center"/>
          </w:tcPr>
          <w:p w14:paraId="6F1F446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路北一支干渠</w:t>
            </w:r>
          </w:p>
        </w:tc>
        <w:tc>
          <w:tcPr>
            <w:tcW w:w="1563" w:type="dxa"/>
            <w:vAlign w:val="center"/>
          </w:tcPr>
          <w:p w14:paraId="6C2BC59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机场进场路跨路北一支桥</w:t>
            </w:r>
          </w:p>
        </w:tc>
        <w:tc>
          <w:tcPr>
            <w:tcW w:w="992" w:type="dxa"/>
            <w:vAlign w:val="center"/>
          </w:tcPr>
          <w:p w14:paraId="6615CE12">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K2+523.5</w:t>
            </w:r>
          </w:p>
        </w:tc>
        <w:tc>
          <w:tcPr>
            <w:tcW w:w="709" w:type="dxa"/>
            <w:noWrap/>
            <w:vAlign w:val="center"/>
          </w:tcPr>
          <w:p w14:paraId="09ABA93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w:t>
            </w:r>
            <w:r>
              <w:rPr>
                <w:rFonts w:hint="eastAsia"/>
                <w:color w:val="000000" w:themeColor="text1"/>
                <w:sz w:val="21"/>
                <w:szCs w:val="21"/>
                <w:highlight w:val="none"/>
              </w:rPr>
              <w:t>×</w:t>
            </w:r>
            <w:r>
              <w:rPr>
                <w:rFonts w:hint="eastAsia"/>
                <w:color w:val="000000" w:themeColor="text1"/>
                <w:sz w:val="21"/>
                <w:szCs w:val="21"/>
                <w:highlight w:val="none"/>
                <w:lang w:val="en-US" w:eastAsia="zh-CN"/>
              </w:rPr>
              <w:t>13</w:t>
            </w:r>
          </w:p>
        </w:tc>
        <w:tc>
          <w:tcPr>
            <w:tcW w:w="567" w:type="dxa"/>
            <w:noWrap/>
            <w:vAlign w:val="center"/>
          </w:tcPr>
          <w:p w14:paraId="3FD59A48">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30.54</w:t>
            </w:r>
          </w:p>
        </w:tc>
        <w:tc>
          <w:tcPr>
            <w:tcW w:w="567" w:type="dxa"/>
            <w:noWrap/>
            <w:vAlign w:val="center"/>
          </w:tcPr>
          <w:p w14:paraId="5CAF28A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2410" w:type="dxa"/>
            <w:noWrap/>
            <w:vAlign w:val="center"/>
          </w:tcPr>
          <w:p w14:paraId="0613D2CD">
            <w:pPr>
              <w:pageBreakBefore w:val="0"/>
              <w:wordWrap/>
              <w:topLinePunct w:val="0"/>
              <w:bidi w:val="0"/>
              <w:spacing w:line="240" w:lineRule="auto"/>
              <w:ind w:firstLine="0" w:firstLineChars="0"/>
              <w:jc w:val="center"/>
              <w:rPr>
                <w:color w:val="000000" w:themeColor="text1"/>
                <w:sz w:val="21"/>
                <w:szCs w:val="21"/>
                <w:highlight w:val="none"/>
              </w:rPr>
            </w:pPr>
            <w:r>
              <w:rPr>
                <w:rFonts w:hint="default" w:ascii="Times New Roman" w:hAnsi="Times New Roman" w:eastAsia="宋体" w:cs="Times New Roman"/>
                <w:color w:val="000000" w:themeColor="text1"/>
                <w:sz w:val="21"/>
                <w:szCs w:val="21"/>
                <w:highlight w:val="none"/>
                <w:lang w:val="en-US" w:eastAsia="zh-CN"/>
              </w:rPr>
              <w:t>Ⅳ</w:t>
            </w:r>
            <w:r>
              <w:rPr>
                <w:rFonts w:hint="default" w:ascii="Times New Roman" w:hAnsi="Times New Roman" w:cs="Times New Roman"/>
                <w:color w:val="000000" w:themeColor="text1"/>
                <w:sz w:val="21"/>
                <w:szCs w:val="21"/>
                <w:highlight w:val="none"/>
                <w:lang w:val="en-US" w:eastAsia="zh-CN"/>
              </w:rPr>
              <w:t>类水体</w:t>
            </w:r>
          </w:p>
        </w:tc>
      </w:tr>
      <w:tr w14:paraId="34F735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284" w:type="dxa"/>
            <w:noWrap/>
            <w:vAlign w:val="center"/>
          </w:tcPr>
          <w:p w14:paraId="3ECD00D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w:t>
            </w:r>
          </w:p>
        </w:tc>
        <w:tc>
          <w:tcPr>
            <w:tcW w:w="1272" w:type="dxa"/>
            <w:vAlign w:val="center"/>
          </w:tcPr>
          <w:p w14:paraId="1A19C5D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朝鲜河</w:t>
            </w:r>
          </w:p>
        </w:tc>
        <w:tc>
          <w:tcPr>
            <w:tcW w:w="1563" w:type="dxa"/>
            <w:vAlign w:val="center"/>
          </w:tcPr>
          <w:p w14:paraId="1CF020F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机场进场路跨朝鲜河桥</w:t>
            </w:r>
          </w:p>
        </w:tc>
        <w:tc>
          <w:tcPr>
            <w:tcW w:w="992" w:type="dxa"/>
            <w:vAlign w:val="center"/>
          </w:tcPr>
          <w:p w14:paraId="073DDCB5">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K3+971</w:t>
            </w:r>
          </w:p>
        </w:tc>
        <w:tc>
          <w:tcPr>
            <w:tcW w:w="709" w:type="dxa"/>
            <w:noWrap/>
            <w:vAlign w:val="center"/>
          </w:tcPr>
          <w:p w14:paraId="1BEBA01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3</w:t>
            </w:r>
            <w:r>
              <w:rPr>
                <w:rFonts w:hint="eastAsia"/>
                <w:color w:val="000000" w:themeColor="text1"/>
                <w:sz w:val="21"/>
                <w:szCs w:val="21"/>
                <w:highlight w:val="none"/>
              </w:rPr>
              <w:t>×</w:t>
            </w:r>
            <w:r>
              <w:rPr>
                <w:rFonts w:hint="eastAsia"/>
                <w:color w:val="000000" w:themeColor="text1"/>
                <w:sz w:val="21"/>
                <w:szCs w:val="21"/>
                <w:highlight w:val="none"/>
                <w:lang w:val="en-US" w:eastAsia="zh-CN"/>
              </w:rPr>
              <w:t>20</w:t>
            </w:r>
          </w:p>
        </w:tc>
        <w:tc>
          <w:tcPr>
            <w:tcW w:w="567" w:type="dxa"/>
            <w:noWrap/>
            <w:vAlign w:val="center"/>
          </w:tcPr>
          <w:p w14:paraId="616C943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65.26</w:t>
            </w:r>
          </w:p>
        </w:tc>
        <w:tc>
          <w:tcPr>
            <w:tcW w:w="567" w:type="dxa"/>
            <w:noWrap/>
            <w:vAlign w:val="center"/>
          </w:tcPr>
          <w:p w14:paraId="257F4C25">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4</w:t>
            </w:r>
          </w:p>
        </w:tc>
        <w:tc>
          <w:tcPr>
            <w:tcW w:w="2410" w:type="dxa"/>
            <w:shd w:val="clear" w:color="auto" w:fill="auto"/>
            <w:noWrap/>
            <w:vAlign w:val="center"/>
          </w:tcPr>
          <w:p w14:paraId="762F3187">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rFonts w:hint="default" w:ascii="Times New Roman" w:hAnsi="Times New Roman" w:eastAsia="宋体" w:cs="Times New Roman"/>
                <w:color w:val="000000" w:themeColor="text1"/>
                <w:sz w:val="21"/>
                <w:szCs w:val="21"/>
                <w:highlight w:val="none"/>
                <w:lang w:val="en-US" w:eastAsia="zh-CN"/>
              </w:rPr>
              <w:t>Ⅳ</w:t>
            </w:r>
            <w:r>
              <w:rPr>
                <w:rFonts w:hint="default" w:ascii="Times New Roman" w:hAnsi="Times New Roman" w:cs="Times New Roman"/>
                <w:color w:val="000000" w:themeColor="text1"/>
                <w:sz w:val="21"/>
                <w:szCs w:val="21"/>
                <w:highlight w:val="none"/>
                <w:lang w:val="en-US" w:eastAsia="zh-CN"/>
              </w:rPr>
              <w:t>类水体</w:t>
            </w:r>
          </w:p>
        </w:tc>
      </w:tr>
    </w:tbl>
    <w:p w14:paraId="3DD799A9">
      <w:pPr>
        <w:pStyle w:val="4"/>
        <w:pageBreakBefore w:val="0"/>
        <w:wordWrap/>
        <w:topLinePunct w:val="0"/>
        <w:bidi w:val="0"/>
        <w:spacing w:before="120" w:line="360" w:lineRule="auto"/>
        <w:rPr>
          <w:rFonts w:hint="eastAsia"/>
          <w:color w:val="000000" w:themeColor="text1"/>
          <w:highlight w:val="none"/>
        </w:rPr>
      </w:pPr>
      <w:bookmarkStart w:id="203" w:name="_Toc2462"/>
      <w:bookmarkStart w:id="204" w:name="_Toc10632"/>
    </w:p>
    <w:p w14:paraId="336F442E">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2.9.</w:t>
      </w:r>
      <w:r>
        <w:rPr>
          <w:rFonts w:hint="eastAsia"/>
          <w:color w:val="000000" w:themeColor="text1"/>
          <w:highlight w:val="none"/>
          <w:lang w:val="en-US" w:eastAsia="zh-CN"/>
        </w:rPr>
        <w:t>3环境空气、</w:t>
      </w:r>
      <w:r>
        <w:rPr>
          <w:color w:val="000000" w:themeColor="text1"/>
          <w:highlight w:val="none"/>
        </w:rPr>
        <w:t>声环境保护目标</w:t>
      </w:r>
      <w:bookmarkEnd w:id="203"/>
      <w:bookmarkEnd w:id="204"/>
    </w:p>
    <w:p w14:paraId="14D8F143">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本项目沿线环境空气和声环境保护目标为距公路中心线两侧</w:t>
      </w:r>
      <w:r>
        <w:rPr>
          <w:rFonts w:hint="default"/>
          <w:color w:val="000000" w:themeColor="text1"/>
          <w:highlight w:val="none"/>
          <w:lang w:val="en-US" w:eastAsia="zh-CN"/>
        </w:rPr>
        <w:t>200m</w:t>
      </w:r>
      <w:r>
        <w:rPr>
          <w:rFonts w:hint="eastAsia"/>
          <w:color w:val="000000" w:themeColor="text1"/>
          <w:highlight w:val="none"/>
          <w:lang w:val="en-US" w:eastAsia="zh-CN"/>
        </w:rPr>
        <w:t>范围内环境保护目标。</w:t>
      </w:r>
      <w:r>
        <w:rPr>
          <w:rFonts w:ascii="Times New Roman" w:eastAsia="宋体"/>
          <w:color w:val="000000" w:themeColor="text1"/>
          <w:highlight w:val="none"/>
        </w:rPr>
        <w:t>根据调查，</w:t>
      </w:r>
      <w:r>
        <w:rPr>
          <w:rFonts w:hint="eastAsia" w:ascii="Times New Roman" w:eastAsia="宋体"/>
          <w:color w:val="000000" w:themeColor="text1"/>
          <w:highlight w:val="none"/>
          <w:lang w:val="en-US" w:eastAsia="zh-CN"/>
        </w:rPr>
        <w:t>项目线路中心线向两侧外延</w:t>
      </w:r>
      <w:r>
        <w:rPr>
          <w:rFonts w:hint="eastAsia"/>
          <w:color w:val="000000" w:themeColor="text1"/>
          <w:highlight w:val="none"/>
          <w:lang w:val="en-US" w:eastAsia="zh-CN"/>
        </w:rPr>
        <w:t>2</w:t>
      </w:r>
      <w:r>
        <w:rPr>
          <w:rFonts w:hint="default" w:ascii="Times New Roman" w:eastAsia="宋体"/>
          <w:color w:val="000000" w:themeColor="text1"/>
          <w:highlight w:val="none"/>
          <w:lang w:val="en-US" w:eastAsia="zh-CN"/>
        </w:rPr>
        <w:t>00m</w:t>
      </w:r>
      <w:r>
        <w:rPr>
          <w:rFonts w:hint="eastAsia" w:ascii="Times New Roman" w:eastAsia="宋体"/>
          <w:color w:val="000000" w:themeColor="text1"/>
          <w:highlight w:val="none"/>
          <w:lang w:val="en-US" w:eastAsia="zh-CN"/>
        </w:rPr>
        <w:t>范围内</w:t>
      </w:r>
      <w:r>
        <w:rPr>
          <w:rFonts w:hint="eastAsia"/>
          <w:color w:val="000000" w:themeColor="text1"/>
          <w:highlight w:val="none"/>
          <w:lang w:val="en-US" w:eastAsia="zh-CN"/>
        </w:rPr>
        <w:t>无</w:t>
      </w:r>
      <w:r>
        <w:rPr>
          <w:rFonts w:hint="eastAsia" w:ascii="Times New Roman" w:eastAsia="宋体"/>
          <w:color w:val="000000" w:themeColor="text1"/>
          <w:highlight w:val="none"/>
          <w:lang w:val="en-US" w:eastAsia="zh-CN"/>
        </w:rPr>
        <w:t>环境</w:t>
      </w:r>
      <w:r>
        <w:rPr>
          <w:rFonts w:hint="eastAsia"/>
          <w:color w:val="000000" w:themeColor="text1"/>
          <w:highlight w:val="none"/>
          <w:lang w:val="en-US" w:eastAsia="zh-CN"/>
        </w:rPr>
        <w:t>空气、声环境</w:t>
      </w:r>
      <w:r>
        <w:rPr>
          <w:rFonts w:hint="eastAsia" w:ascii="Times New Roman" w:eastAsia="宋体"/>
          <w:color w:val="000000" w:themeColor="text1"/>
          <w:highlight w:val="none"/>
          <w:lang w:val="en-US" w:eastAsia="zh-CN"/>
        </w:rPr>
        <w:t>保护目标</w:t>
      </w:r>
      <w:r>
        <w:rPr>
          <w:color w:val="000000" w:themeColor="text1"/>
          <w:highlight w:val="none"/>
        </w:rPr>
        <w:t>。</w:t>
      </w:r>
    </w:p>
    <w:p w14:paraId="1AD010F7">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2.9.</w:t>
      </w:r>
      <w:r>
        <w:rPr>
          <w:rFonts w:hint="eastAsia"/>
          <w:color w:val="000000" w:themeColor="text1"/>
          <w:highlight w:val="none"/>
          <w:lang w:val="en-US" w:eastAsia="zh-CN"/>
        </w:rPr>
        <w:t>4临时占地及运输路线</w:t>
      </w:r>
      <w:r>
        <w:rPr>
          <w:color w:val="000000" w:themeColor="text1"/>
          <w:highlight w:val="none"/>
        </w:rPr>
        <w:t>保护目标</w:t>
      </w:r>
    </w:p>
    <w:p w14:paraId="3A2FA75B">
      <w:pPr>
        <w:spacing w:line="360" w:lineRule="auto"/>
        <w:rPr>
          <w:rFonts w:hint="default"/>
          <w:color w:val="000000" w:themeColor="text1"/>
          <w:highlight w:val="none"/>
          <w:lang w:val="en-US"/>
        </w:rPr>
      </w:pPr>
      <w:r>
        <w:rPr>
          <w:rFonts w:ascii="Times New Roman" w:eastAsia="宋体"/>
          <w:color w:val="000000" w:themeColor="text1"/>
          <w:highlight w:val="none"/>
        </w:rPr>
        <w:t>根据调查，</w:t>
      </w:r>
      <w:r>
        <w:rPr>
          <w:rFonts w:hint="eastAsia" w:ascii="Times New Roman" w:eastAsia="宋体"/>
          <w:color w:val="000000" w:themeColor="text1"/>
          <w:highlight w:val="none"/>
          <w:lang w:val="en-US" w:eastAsia="zh-CN"/>
        </w:rPr>
        <w:t>项目</w:t>
      </w:r>
      <w:r>
        <w:rPr>
          <w:rFonts w:hint="eastAsia" w:ascii="Times New Roman"/>
          <w:color w:val="000000" w:themeColor="text1"/>
          <w:highlight w:val="none"/>
          <w:lang w:val="en-US" w:eastAsia="zh-CN"/>
        </w:rPr>
        <w:t>临时占地</w:t>
      </w:r>
      <w:r>
        <w:rPr>
          <w:rFonts w:hint="eastAsia" w:ascii="Times New Roman" w:eastAsia="宋体"/>
          <w:color w:val="000000" w:themeColor="text1"/>
          <w:highlight w:val="none"/>
          <w:lang w:val="en-US" w:eastAsia="zh-CN"/>
        </w:rPr>
        <w:t>外延</w:t>
      </w:r>
      <w:r>
        <w:rPr>
          <w:rFonts w:hint="eastAsia"/>
          <w:color w:val="000000" w:themeColor="text1"/>
          <w:highlight w:val="none"/>
          <w:lang w:val="en-US" w:eastAsia="zh-CN"/>
        </w:rPr>
        <w:t>2</w:t>
      </w:r>
      <w:r>
        <w:rPr>
          <w:rFonts w:hint="default" w:ascii="Times New Roman" w:eastAsia="宋体"/>
          <w:color w:val="000000" w:themeColor="text1"/>
          <w:highlight w:val="none"/>
          <w:lang w:val="en-US" w:eastAsia="zh-CN"/>
        </w:rPr>
        <w:t>00m</w:t>
      </w:r>
      <w:r>
        <w:rPr>
          <w:rFonts w:hint="eastAsia" w:ascii="Times New Roman" w:eastAsia="宋体"/>
          <w:color w:val="000000" w:themeColor="text1"/>
          <w:highlight w:val="none"/>
          <w:lang w:val="en-US" w:eastAsia="zh-CN"/>
        </w:rPr>
        <w:t>范围内</w:t>
      </w:r>
      <w:r>
        <w:rPr>
          <w:rFonts w:hint="eastAsia"/>
          <w:color w:val="000000" w:themeColor="text1"/>
          <w:highlight w:val="none"/>
          <w:lang w:val="en-US" w:eastAsia="zh-CN"/>
        </w:rPr>
        <w:t>无</w:t>
      </w:r>
      <w:r>
        <w:rPr>
          <w:rFonts w:hint="eastAsia" w:ascii="Times New Roman" w:eastAsia="宋体"/>
          <w:color w:val="000000" w:themeColor="text1"/>
          <w:highlight w:val="none"/>
          <w:lang w:val="en-US" w:eastAsia="zh-CN"/>
        </w:rPr>
        <w:t>环境</w:t>
      </w:r>
      <w:r>
        <w:rPr>
          <w:rFonts w:hint="eastAsia"/>
          <w:color w:val="000000" w:themeColor="text1"/>
          <w:highlight w:val="none"/>
          <w:lang w:val="en-US" w:eastAsia="zh-CN"/>
        </w:rPr>
        <w:t>空气、声环境</w:t>
      </w:r>
      <w:r>
        <w:rPr>
          <w:rFonts w:hint="eastAsia" w:ascii="Times New Roman" w:eastAsia="宋体"/>
          <w:color w:val="000000" w:themeColor="text1"/>
          <w:highlight w:val="none"/>
          <w:lang w:val="en-US" w:eastAsia="zh-CN"/>
        </w:rPr>
        <w:t>保护目标</w:t>
      </w:r>
      <w:r>
        <w:rPr>
          <w:rFonts w:hint="eastAsia" w:ascii="Times New Roman"/>
          <w:color w:val="000000" w:themeColor="text1"/>
          <w:highlight w:val="none"/>
          <w:lang w:val="en-US" w:eastAsia="zh-CN"/>
        </w:rPr>
        <w:t>；运输路线沿线主要环境保护目标为</w:t>
      </w:r>
      <w:r>
        <w:rPr>
          <w:rFonts w:hint="eastAsia"/>
          <w:color w:val="000000" w:themeColor="text1"/>
          <w:highlight w:val="none"/>
          <w:lang w:val="en-US" w:eastAsia="zh-CN"/>
        </w:rPr>
        <w:t>志成村</w:t>
      </w:r>
      <w:r>
        <w:rPr>
          <w:rFonts w:hint="eastAsia" w:ascii="Times New Roman"/>
          <w:color w:val="000000" w:themeColor="text1"/>
          <w:highlight w:val="none"/>
          <w:lang w:val="en-US" w:eastAsia="zh-CN"/>
        </w:rPr>
        <w:t>和宝泉岭。</w:t>
      </w:r>
    </w:p>
    <w:bookmarkEnd w:id="196"/>
    <w:p w14:paraId="025765AC">
      <w:pPr>
        <w:pStyle w:val="3"/>
        <w:pageBreakBefore w:val="0"/>
        <w:wordWrap/>
        <w:topLinePunct w:val="0"/>
        <w:bidi w:val="0"/>
        <w:spacing w:before="12" w:after="120" w:line="360" w:lineRule="auto"/>
        <w:rPr>
          <w:color w:val="000000" w:themeColor="text1"/>
          <w:highlight w:val="none"/>
        </w:rPr>
      </w:pPr>
      <w:bookmarkStart w:id="205" w:name="_Toc3047"/>
      <w:bookmarkStart w:id="206" w:name="_Toc17692"/>
      <w:bookmarkStart w:id="207" w:name="_Toc1385"/>
      <w:r>
        <w:rPr>
          <w:rFonts w:hint="eastAsia"/>
          <w:color w:val="000000" w:themeColor="text1"/>
          <w:highlight w:val="none"/>
        </w:rPr>
        <w:t>2.10</w:t>
      </w:r>
      <w:r>
        <w:rPr>
          <w:color w:val="000000" w:themeColor="text1"/>
          <w:highlight w:val="none"/>
        </w:rPr>
        <w:t>线</w:t>
      </w:r>
      <w:r>
        <w:rPr>
          <w:rFonts w:hint="eastAsia"/>
          <w:color w:val="000000" w:themeColor="text1"/>
          <w:highlight w:val="none"/>
        </w:rPr>
        <w:t>路比选</w:t>
      </w:r>
      <w:r>
        <w:rPr>
          <w:color w:val="000000" w:themeColor="text1"/>
          <w:highlight w:val="none"/>
        </w:rPr>
        <w:t>方案</w:t>
      </w:r>
      <w:bookmarkEnd w:id="205"/>
      <w:bookmarkEnd w:id="206"/>
      <w:bookmarkEnd w:id="207"/>
    </w:p>
    <w:p w14:paraId="48BF4598">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鹤岗机场作为鹤岗市的重要交通枢纽，对外交通是重中之重。现状Y401公路等级低、现状破损严重，作为机场重要通道已然不能满足机场的通行需求，为加强运输通道的建设，完善公路网的配置，加强机场对外界的交通联系，提高运输效率，现结合机场周边国、省道路网规划，拟修建一条机场进场路。</w:t>
      </w:r>
    </w:p>
    <w:p w14:paraId="51E967A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color w:val="000000" w:themeColor="text1"/>
          <w:highlight w:val="none"/>
          <w:lang w:val="en-US" w:eastAsia="zh-CN"/>
        </w:rPr>
      </w:pPr>
      <w:r>
        <w:rPr>
          <w:rFonts w:hint="eastAsia"/>
          <w:color w:val="000000" w:themeColor="text1"/>
          <w:highlight w:val="none"/>
          <w:lang w:val="en-US" w:eastAsia="zh-CN"/>
        </w:rPr>
        <w:t>本项目起点位于G332国道鹤名公路（桩号K87+167）与现状土路交口处，沿现有土路路线向北布线至K2+523.5与现状路北一支渠相交，新建一座跨沟渠桥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，过河后至K3+768路线与鹤北铁路相交，新建一座跨铁路大桥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7×30m小箱梁桥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，过铁路后向北行进至K3+971与朝鲜河相交，新建一座跨朝鲜河桥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，终点接至机场主入口，路线全长6.323km。设计速度60km/h，路基宽度为12.0m，路面宽度10.5m，沥青混凝土路面，为二级公路标准。</w:t>
      </w:r>
    </w:p>
    <w:p w14:paraId="0AEB08EC">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color w:val="000000" w:themeColor="text1"/>
          <w:highlight w:val="none"/>
          <w:lang w:val="en-US" w:eastAsia="zh-CN"/>
        </w:rPr>
      </w:pPr>
      <w:r>
        <w:rPr>
          <w:rFonts w:hint="eastAsia"/>
          <w:color w:val="000000" w:themeColor="text1"/>
          <w:highlight w:val="none"/>
          <w:lang w:val="en-US" w:eastAsia="zh-CN"/>
        </w:rPr>
        <w:t>设置连接线一条，起点位于进场路K6+220.802处，终点与机场规划消防建筑场坪入口相接，全长0.218km，设计速度60km/h，路基宽度为12.0m，路面宽度10.5m，沥青混凝土路面，为二级公路标准。</w:t>
      </w:r>
    </w:p>
    <w:p w14:paraId="0CEC91A4">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2.10.1</w:t>
      </w:r>
      <w:r>
        <w:rPr>
          <w:rFonts w:hint="eastAsia"/>
          <w:color w:val="000000" w:themeColor="text1"/>
          <w:highlight w:val="none"/>
          <w:lang w:val="en-US" w:eastAsia="zh-CN"/>
        </w:rPr>
        <w:t>项目起、终点及路线方案</w:t>
      </w:r>
    </w:p>
    <w:p w14:paraId="5635A166">
      <w:pPr>
        <w:pageBreakBefore w:val="0"/>
        <w:wordWrap/>
        <w:topLinePunct w:val="0"/>
        <w:bidi w:val="0"/>
        <w:spacing w:line="360" w:lineRule="auto"/>
        <w:ind w:firstLine="482"/>
        <w:rPr>
          <w:b/>
          <w:color w:val="000000" w:themeColor="text1"/>
          <w:highlight w:val="none"/>
        </w:rPr>
      </w:pPr>
      <w:r>
        <w:rPr>
          <w:b/>
          <w:color w:val="000000" w:themeColor="text1"/>
          <w:highlight w:val="none"/>
        </w:rPr>
        <w:t>（1）</w:t>
      </w:r>
      <w:r>
        <w:rPr>
          <w:rFonts w:hint="eastAsia"/>
          <w:b/>
          <w:color w:val="000000" w:themeColor="text1"/>
          <w:highlight w:val="none"/>
          <w:lang w:val="en-US" w:eastAsia="zh-CN"/>
        </w:rPr>
        <w:t>主线起点</w:t>
      </w:r>
    </w:p>
    <w:p w14:paraId="74FD694A">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本项目作为机场的主要通道，与周边的公路网紧密结合，应保证对外交通的顺畅和便利。</w:t>
      </w:r>
    </w:p>
    <w:p w14:paraId="26B51A94">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起点位于国道（G332）鹤名公路（桩号K87+167）与一条现状土路垂直相交处。起点之所以选择在该处，是由于依据地形、地貌与机场场外道路预留口顺接更为顺畅，且与国道（G332）鹤名公路垂直相交，减少冲突点，综上，本项目起点放在该处是合适的。</w:t>
      </w:r>
    </w:p>
    <w:p w14:paraId="66E2B04F">
      <w:pPr>
        <w:pStyle w:val="42"/>
        <w:rPr>
          <w:rFonts w:hint="eastAsia" w:eastAsia="仿宋_GB2312"/>
          <w:color w:val="000000" w:themeColor="text1"/>
          <w:highlight w:val="none"/>
          <w:lang w:val="en-US" w:eastAsia="zh-CN"/>
        </w:rPr>
      </w:pPr>
      <w:r>
        <w:rPr>
          <w:rFonts w:hint="eastAsia" w:eastAsia="仿宋_GB2312"/>
          <w:color w:val="000000" w:themeColor="text1"/>
          <w:highlight w:val="none"/>
          <w:lang w:val="en-US" w:eastAsia="zh-CN"/>
        </w:rPr>
        <w:drawing>
          <wp:inline distT="0" distB="0" distL="114300" distR="114300">
            <wp:extent cx="5272405" cy="4079240"/>
            <wp:effectExtent l="0" t="0" r="4445" b="16510"/>
            <wp:docPr id="30" name="图片 30" descr="174055933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740559338441"/>
                    <pic:cNvPicPr>
                      <a:picLocks noChangeAspect="1"/>
                    </pic:cNvPicPr>
                  </pic:nvPicPr>
                  <pic:blipFill>
                    <a:blip r:embed="rId23"/>
                    <a:stretch>
                      <a:fillRect/>
                    </a:stretch>
                  </pic:blipFill>
                  <pic:spPr>
                    <a:xfrm>
                      <a:off x="0" y="0"/>
                      <a:ext cx="5272405" cy="4079240"/>
                    </a:xfrm>
                    <a:prstGeom prst="rect">
                      <a:avLst/>
                    </a:prstGeom>
                  </pic:spPr>
                </pic:pic>
              </a:graphicData>
            </a:graphic>
          </wp:inline>
        </w:drawing>
      </w:r>
    </w:p>
    <w:p w14:paraId="097EEC7B">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图2.</w:t>
      </w:r>
      <w:r>
        <w:rPr>
          <w:rFonts w:hint="eastAsia"/>
          <w:b/>
          <w:color w:val="000000" w:themeColor="text1"/>
          <w:highlight w:val="none"/>
        </w:rPr>
        <w:t>10</w:t>
      </w:r>
      <w:r>
        <w:rPr>
          <w:b/>
          <w:color w:val="000000" w:themeColor="text1"/>
          <w:highlight w:val="none"/>
        </w:rPr>
        <w:t>-</w:t>
      </w:r>
      <w:r>
        <w:rPr>
          <w:rFonts w:hint="eastAsia"/>
          <w:b/>
          <w:color w:val="000000" w:themeColor="text1"/>
          <w:highlight w:val="none"/>
        </w:rPr>
        <w:t>1</w:t>
      </w:r>
      <w:r>
        <w:rPr>
          <w:b/>
          <w:color w:val="000000" w:themeColor="text1"/>
          <w:highlight w:val="none"/>
        </w:rPr>
        <w:t xml:space="preserve"> </w:t>
      </w:r>
      <w:r>
        <w:rPr>
          <w:rFonts w:hint="eastAsia"/>
          <w:b/>
          <w:color w:val="000000" w:themeColor="text1"/>
          <w:highlight w:val="none"/>
          <w:lang w:val="en-US" w:eastAsia="zh-CN"/>
        </w:rPr>
        <w:t xml:space="preserve"> 路线方案起点示意图</w:t>
      </w:r>
    </w:p>
    <w:p w14:paraId="29A3D373">
      <w:pPr>
        <w:pageBreakBefore w:val="0"/>
        <w:wordWrap/>
        <w:topLinePunct w:val="0"/>
        <w:bidi w:val="0"/>
        <w:spacing w:line="360" w:lineRule="auto"/>
        <w:ind w:firstLine="482"/>
        <w:jc w:val="left"/>
        <w:rPr>
          <w:b/>
          <w:color w:val="000000" w:themeColor="text1"/>
          <w:highlight w:val="none"/>
        </w:rPr>
      </w:pPr>
      <w:r>
        <w:rPr>
          <w:b/>
          <w:color w:val="000000" w:themeColor="text1"/>
          <w:highlight w:val="none"/>
        </w:rPr>
        <w:t>（2）</w:t>
      </w:r>
      <w:r>
        <w:rPr>
          <w:rFonts w:hint="eastAsia"/>
          <w:b/>
          <w:color w:val="000000" w:themeColor="text1"/>
          <w:highlight w:val="none"/>
          <w:lang w:val="en-US" w:eastAsia="zh-CN"/>
        </w:rPr>
        <w:t>主线终点</w:t>
      </w:r>
    </w:p>
    <w:p w14:paraId="689AAB13">
      <w:pPr>
        <w:pageBreakBefore w:val="0"/>
        <w:wordWrap/>
        <w:topLinePunct w:val="0"/>
        <w:bidi w:val="0"/>
        <w:spacing w:line="360" w:lineRule="auto"/>
        <w:ind w:firstLine="482"/>
        <w:jc w:val="left"/>
        <w:rPr>
          <w:color w:val="000000" w:themeColor="text1"/>
          <w:highlight w:val="none"/>
        </w:rPr>
      </w:pPr>
      <w:r>
        <w:rPr>
          <w:rFonts w:hint="eastAsia"/>
          <w:color w:val="000000" w:themeColor="text1"/>
          <w:highlight w:val="none"/>
          <w:lang w:val="en-US" w:eastAsia="zh-CN"/>
        </w:rPr>
        <w:t>本项目终点与机场规划主入口道路顺接。</w:t>
      </w:r>
    </w:p>
    <w:p w14:paraId="50B0CF41">
      <w:pPr>
        <w:pageBreakBefore w:val="0"/>
        <w:wordWrap/>
        <w:topLinePunct w:val="0"/>
        <w:bidi w:val="0"/>
        <w:spacing w:line="360" w:lineRule="auto"/>
        <w:ind w:left="0" w:leftChars="0" w:firstLine="0" w:firstLineChars="0"/>
        <w:jc w:val="left"/>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5346700" cy="2633980"/>
            <wp:effectExtent l="0" t="0" r="6350" b="13970"/>
            <wp:docPr id="31" name="图片 31" descr="174055961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740559611978"/>
                    <pic:cNvPicPr>
                      <a:picLocks noChangeAspect="1"/>
                    </pic:cNvPicPr>
                  </pic:nvPicPr>
                  <pic:blipFill>
                    <a:blip r:embed="rId24"/>
                    <a:stretch>
                      <a:fillRect/>
                    </a:stretch>
                  </pic:blipFill>
                  <pic:spPr>
                    <a:xfrm>
                      <a:off x="0" y="0"/>
                      <a:ext cx="5346700" cy="2633980"/>
                    </a:xfrm>
                    <a:prstGeom prst="rect">
                      <a:avLst/>
                    </a:prstGeom>
                  </pic:spPr>
                </pic:pic>
              </a:graphicData>
            </a:graphic>
          </wp:inline>
        </w:drawing>
      </w:r>
    </w:p>
    <w:p w14:paraId="5450BFCF">
      <w:pPr>
        <w:pageBreakBefore w:val="0"/>
        <w:wordWrap/>
        <w:topLinePunct w:val="0"/>
        <w:bidi w:val="0"/>
        <w:spacing w:line="360" w:lineRule="auto"/>
        <w:ind w:left="0" w:leftChars="0" w:firstLine="0" w:firstLineChars="0"/>
        <w:jc w:val="center"/>
        <w:rPr>
          <w:color w:val="000000" w:themeColor="text1"/>
          <w:highlight w:val="none"/>
        </w:rPr>
      </w:pPr>
      <w:r>
        <w:rPr>
          <w:b/>
          <w:color w:val="000000" w:themeColor="text1"/>
          <w:highlight w:val="none"/>
        </w:rPr>
        <w:t>图2.</w:t>
      </w:r>
      <w:r>
        <w:rPr>
          <w:rFonts w:hint="eastAsia"/>
          <w:b/>
          <w:color w:val="000000" w:themeColor="text1"/>
          <w:highlight w:val="none"/>
        </w:rPr>
        <w:t>10</w:t>
      </w:r>
      <w:r>
        <w:rPr>
          <w:b/>
          <w:color w:val="000000" w:themeColor="text1"/>
          <w:highlight w:val="none"/>
        </w:rPr>
        <w:t>-</w:t>
      </w:r>
      <w:r>
        <w:rPr>
          <w:rFonts w:hint="eastAsia"/>
          <w:b/>
          <w:color w:val="000000" w:themeColor="text1"/>
          <w:highlight w:val="none"/>
          <w:lang w:val="en-US" w:eastAsia="zh-CN"/>
        </w:rPr>
        <w:t>2</w:t>
      </w:r>
      <w:r>
        <w:rPr>
          <w:b/>
          <w:color w:val="000000" w:themeColor="text1"/>
          <w:highlight w:val="none"/>
        </w:rPr>
        <w:t xml:space="preserve"> </w:t>
      </w:r>
      <w:r>
        <w:rPr>
          <w:rFonts w:hint="eastAsia"/>
          <w:b/>
          <w:color w:val="000000" w:themeColor="text1"/>
          <w:highlight w:val="none"/>
          <w:lang w:val="en-US" w:eastAsia="zh-CN"/>
        </w:rPr>
        <w:t xml:space="preserve"> 路线方案终点示意图</w:t>
      </w:r>
    </w:p>
    <w:p w14:paraId="6DA10E93">
      <w:pPr>
        <w:pageBreakBefore w:val="0"/>
        <w:wordWrap/>
        <w:topLinePunct w:val="0"/>
        <w:bidi w:val="0"/>
        <w:spacing w:line="360" w:lineRule="auto"/>
        <w:ind w:firstLine="482"/>
        <w:jc w:val="left"/>
        <w:rPr>
          <w:rFonts w:hint="eastAsia" w:eastAsia="宋体"/>
          <w:b/>
          <w:color w:val="000000" w:themeColor="text1"/>
          <w:highlight w:val="none"/>
          <w:lang w:eastAsia="zh-CN"/>
        </w:rPr>
      </w:pPr>
      <w:r>
        <w:rPr>
          <w:b/>
          <w:color w:val="000000" w:themeColor="text1"/>
          <w:highlight w:val="none"/>
        </w:rPr>
        <w:t>（</w:t>
      </w:r>
      <w:r>
        <w:rPr>
          <w:rFonts w:hint="eastAsia"/>
          <w:b/>
          <w:color w:val="000000" w:themeColor="text1"/>
          <w:highlight w:val="none"/>
          <w:lang w:val="en-US" w:eastAsia="zh-CN"/>
        </w:rPr>
        <w:t>3</w:t>
      </w:r>
      <w:r>
        <w:rPr>
          <w:b/>
          <w:color w:val="000000" w:themeColor="text1"/>
          <w:highlight w:val="none"/>
        </w:rPr>
        <w:t>）线路</w:t>
      </w:r>
      <w:r>
        <w:rPr>
          <w:rFonts w:hint="eastAsia"/>
          <w:b/>
          <w:color w:val="000000" w:themeColor="text1"/>
          <w:highlight w:val="none"/>
          <w:lang w:val="en-US" w:eastAsia="zh-CN"/>
        </w:rPr>
        <w:t>方案</w:t>
      </w:r>
    </w:p>
    <w:p w14:paraId="6842195F">
      <w:pPr>
        <w:pageBreakBefore w:val="0"/>
        <w:wordWrap/>
        <w:topLinePunct w:val="0"/>
        <w:bidi w:val="0"/>
        <w:spacing w:line="360" w:lineRule="auto"/>
        <w:ind w:firstLine="482"/>
        <w:jc w:val="left"/>
        <w:rPr>
          <w:color w:val="000000" w:themeColor="text1"/>
          <w:highlight w:val="none"/>
        </w:rPr>
      </w:pPr>
      <w:r>
        <w:rPr>
          <w:rFonts w:hint="eastAsia"/>
          <w:color w:val="000000" w:themeColor="text1"/>
          <w:highlight w:val="none"/>
          <w:lang w:val="en-US" w:eastAsia="zh-CN"/>
        </w:rPr>
        <w:t>项目起终点明确后，项目的走廊带将由中间控制点、地形条件、地上建筑物等控制，本项目中间控制点较少，对路线走向无控制因素存在。</w:t>
      </w:r>
    </w:p>
    <w:p w14:paraId="3DF229A6">
      <w:pPr>
        <w:pageBreakBefore w:val="0"/>
        <w:wordWrap/>
        <w:topLinePunct w:val="0"/>
        <w:bidi w:val="0"/>
        <w:spacing w:line="360" w:lineRule="auto"/>
        <w:ind w:firstLine="482"/>
        <w:jc w:val="left"/>
        <w:rPr>
          <w:color w:val="000000" w:themeColor="text1"/>
          <w:highlight w:val="none"/>
        </w:rPr>
      </w:pPr>
      <w:r>
        <w:rPr>
          <w:rFonts w:hint="eastAsia"/>
          <w:color w:val="000000" w:themeColor="text1"/>
          <w:highlight w:val="none"/>
          <w:lang w:val="en-US" w:eastAsia="zh-CN"/>
        </w:rPr>
        <w:t>本项目起点位于G332国道鹤名公路（桩号K87+167）与现状土路交口处，沿现有土路路线向北布线至K2+523.5与现状路北一支渠相交，新建一座跨沟渠桥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，过河后至K3+768路线与鹤北铁路相交，新建一座跨铁路大桥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7×30m小箱梁桥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，过铁路后向北行进至K3+971与朝鲜河相交，新建一座跨朝鲜河桥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，终点接至机场主入口，路线全长6.323km。</w:t>
      </w:r>
    </w:p>
    <w:p w14:paraId="2199A13A">
      <w:pPr>
        <w:pageBreakBefore w:val="0"/>
        <w:wordWrap/>
        <w:topLinePunct w:val="0"/>
        <w:bidi w:val="0"/>
        <w:spacing w:line="360" w:lineRule="auto"/>
        <w:ind w:firstLine="482"/>
        <w:jc w:val="left"/>
        <w:rPr>
          <w:color w:val="000000" w:themeColor="text1"/>
          <w:highlight w:val="none"/>
        </w:rPr>
      </w:pPr>
      <w:r>
        <w:rPr>
          <w:rFonts w:hint="eastAsia"/>
          <w:color w:val="000000" w:themeColor="text1"/>
          <w:highlight w:val="none"/>
          <w:lang w:val="en-US" w:eastAsia="zh-CN"/>
        </w:rPr>
        <w:t>本项目设置连接线一条，起点位于进场路K6+220.802处，终点与机场规划消防建筑场坪入口相接，全长0.218km。</w:t>
      </w:r>
    </w:p>
    <w:p w14:paraId="18036914">
      <w:pPr>
        <w:pageBreakBefore w:val="0"/>
        <w:wordWrap/>
        <w:topLinePunct w:val="0"/>
        <w:bidi w:val="0"/>
        <w:spacing w:line="360" w:lineRule="auto"/>
        <w:ind w:firstLine="482"/>
        <w:jc w:val="left"/>
        <w:rPr>
          <w:color w:val="000000" w:themeColor="text1"/>
          <w:highlight w:val="none"/>
        </w:rPr>
      </w:pPr>
      <w:r>
        <w:rPr>
          <w:rFonts w:hint="eastAsia"/>
          <w:color w:val="000000" w:themeColor="text1"/>
          <w:highlight w:val="none"/>
          <w:lang w:val="en-US" w:eastAsia="zh-CN"/>
        </w:rPr>
        <w:t>整个线路走向不穿越生态保护红线、不涉及饮用水水源保护区，对环境影响较小。通过以上分析，即本方案，里程短，控制点连接合理，对环境影响小，具有科学、经济、合理等特点。因此，其作为设计线路。</w:t>
      </w:r>
    </w:p>
    <w:p w14:paraId="331F4D27">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2.10.</w:t>
      </w:r>
      <w:r>
        <w:rPr>
          <w:rFonts w:hint="eastAsia"/>
          <w:color w:val="000000" w:themeColor="text1"/>
          <w:highlight w:val="none"/>
          <w:lang w:val="en-US" w:eastAsia="zh-CN"/>
        </w:rPr>
        <w:t>2方案比选</w:t>
      </w:r>
    </w:p>
    <w:p w14:paraId="5E2E3F59">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初步设计阶段对工可研报告路线推荐方案的主要控制点进行了现场踏查，并对沿线地形图进行测量，根据纸上定线、实际调查、研究分析，对工可路线推荐方案进行了局部优化，并对难以取舍的路线方案进行同深度的技术、经济比选，以确定最优的路线方案。</w:t>
      </w:r>
    </w:p>
    <w:p w14:paraId="131121AD">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在现场深入调查与地质勘察的基础上，结合路基、桥涵等各专业的综合分析，对K0+000~K2+825段路线方案进行同等深度的比选论证。</w:t>
      </w:r>
    </w:p>
    <w:p w14:paraId="5B083BD0">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本项目推荐的K方案在K1+200~K1+750段穿越一座山包，该路段纵断面指标相对较差，最大挖深为6.2m。因此，提出绕越方案（A方案）进行同深度比较。</w:t>
      </w:r>
    </w:p>
    <w:p w14:paraId="5984EF65">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K方案（K0+000~K2+825段）</w:t>
      </w:r>
    </w:p>
    <w:p w14:paraId="4308B002">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K方案在K0+000~K1+200段利用既有的通村路进行改扩建，在K1+200~K2+825段开辟新线完全新建，路线长度2.825km。</w:t>
      </w:r>
    </w:p>
    <w:p w14:paraId="57821AF0">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A方案（AK0+000~AK2+929.956段）</w:t>
      </w:r>
    </w:p>
    <w:p w14:paraId="5A87F4F7">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A方案与K方案起点相同，摒弃既有旧路，向西北方向开辟新线完全新建，在山包的西侧进行绕越，路线长度2.930km。</w:t>
      </w:r>
    </w:p>
    <w:p w14:paraId="3CB943D4">
      <w:pPr>
        <w:pStyle w:val="13"/>
        <w:pageBreakBefore w:val="0"/>
        <w:wordWrap/>
        <w:topLinePunct w:val="0"/>
        <w:bidi w:val="0"/>
        <w:spacing w:line="360" w:lineRule="auto"/>
        <w:jc w:val="center"/>
        <w:rPr>
          <w:rFonts w:hint="eastAsia" w:ascii="Times New Roman" w:eastAsia="宋体"/>
          <w:color w:val="000000" w:themeColor="text1"/>
          <w:sz w:val="24"/>
          <w:highlight w:val="none"/>
          <w:lang w:val="en-US" w:eastAsia="zh-CN"/>
        </w:rPr>
      </w:pPr>
      <w:r>
        <w:rPr>
          <w:rFonts w:hint="eastAsia" w:ascii="Times New Roman" w:eastAsia="宋体"/>
          <w:color w:val="000000" w:themeColor="text1"/>
          <w:sz w:val="24"/>
          <w:highlight w:val="none"/>
          <w:lang w:val="en-US" w:eastAsia="zh-CN"/>
        </w:rPr>
        <w:drawing>
          <wp:inline distT="0" distB="0" distL="114300" distR="114300">
            <wp:extent cx="5189220" cy="3098165"/>
            <wp:effectExtent l="0" t="0" r="11430" b="6985"/>
            <wp:docPr id="27" name="图片 27" descr="174061971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40619719071"/>
                    <pic:cNvPicPr>
                      <a:picLocks noChangeAspect="1"/>
                    </pic:cNvPicPr>
                  </pic:nvPicPr>
                  <pic:blipFill>
                    <a:blip r:embed="rId25"/>
                    <a:stretch>
                      <a:fillRect/>
                    </a:stretch>
                  </pic:blipFill>
                  <pic:spPr>
                    <a:xfrm>
                      <a:off x="0" y="0"/>
                      <a:ext cx="5189220" cy="3098165"/>
                    </a:xfrm>
                    <a:prstGeom prst="rect">
                      <a:avLst/>
                    </a:prstGeom>
                  </pic:spPr>
                </pic:pic>
              </a:graphicData>
            </a:graphic>
          </wp:inline>
        </w:drawing>
      </w:r>
    </w:p>
    <w:p w14:paraId="00BD7C72">
      <w:pPr>
        <w:pageBreakBefore w:val="0"/>
        <w:wordWrap/>
        <w:topLinePunct w:val="0"/>
        <w:bidi w:val="0"/>
        <w:spacing w:line="360" w:lineRule="auto"/>
        <w:ind w:left="0" w:leftChars="0" w:firstLine="0" w:firstLineChars="0"/>
        <w:jc w:val="center"/>
        <w:rPr>
          <w:rFonts w:hint="eastAsia"/>
          <w:b/>
          <w:color w:val="000000" w:themeColor="text1"/>
          <w:highlight w:val="none"/>
          <w:lang w:val="en-US" w:eastAsia="zh-CN"/>
        </w:rPr>
      </w:pPr>
      <w:r>
        <w:rPr>
          <w:b/>
          <w:color w:val="000000" w:themeColor="text1"/>
          <w:highlight w:val="none"/>
        </w:rPr>
        <w:t>图2.</w:t>
      </w:r>
      <w:r>
        <w:rPr>
          <w:rFonts w:hint="eastAsia"/>
          <w:b/>
          <w:color w:val="000000" w:themeColor="text1"/>
          <w:highlight w:val="none"/>
        </w:rPr>
        <w:t>10</w:t>
      </w:r>
      <w:r>
        <w:rPr>
          <w:b/>
          <w:color w:val="000000" w:themeColor="text1"/>
          <w:highlight w:val="none"/>
        </w:rPr>
        <w:t>-</w:t>
      </w:r>
      <w:r>
        <w:rPr>
          <w:rFonts w:hint="eastAsia"/>
          <w:b/>
          <w:color w:val="000000" w:themeColor="text1"/>
          <w:highlight w:val="none"/>
          <w:lang w:val="en-US" w:eastAsia="zh-CN"/>
        </w:rPr>
        <w:t>3</w:t>
      </w:r>
      <w:r>
        <w:rPr>
          <w:b/>
          <w:color w:val="000000" w:themeColor="text1"/>
          <w:highlight w:val="none"/>
        </w:rPr>
        <w:t xml:space="preserve"> </w:t>
      </w:r>
      <w:r>
        <w:rPr>
          <w:rFonts w:hint="eastAsia"/>
          <w:b/>
          <w:color w:val="000000" w:themeColor="text1"/>
          <w:highlight w:val="none"/>
          <w:lang w:val="en-US" w:eastAsia="zh-CN"/>
        </w:rPr>
        <w:t xml:space="preserve"> K方案与A方案路线方案比较图</w:t>
      </w:r>
    </w:p>
    <w:p w14:paraId="60E6AE8F">
      <w:pPr>
        <w:pStyle w:val="13"/>
        <w:pageBreakBefore w:val="0"/>
        <w:wordWrap/>
        <w:topLinePunct w:val="0"/>
        <w:bidi w:val="0"/>
        <w:spacing w:line="360" w:lineRule="auto"/>
        <w:ind w:firstLine="482"/>
        <w:jc w:val="center"/>
        <w:rPr>
          <w:rFonts w:hint="default" w:ascii="Times New Roman" w:hAnsi="Times New Roman" w:eastAsia="宋体" w:cs="Times New Roman"/>
          <w:b/>
          <w:color w:val="000000" w:themeColor="text1"/>
          <w:sz w:val="24"/>
          <w:highlight w:val="none"/>
        </w:rPr>
      </w:pPr>
      <w:r>
        <w:rPr>
          <w:rFonts w:hint="default" w:ascii="Times New Roman" w:hAnsi="Times New Roman" w:eastAsia="宋体" w:cs="Times New Roman"/>
          <w:b/>
          <w:color w:val="000000" w:themeColor="text1"/>
          <w:sz w:val="24"/>
          <w:highlight w:val="none"/>
        </w:rPr>
        <w:t>表2.10-</w:t>
      </w:r>
      <w:r>
        <w:rPr>
          <w:rFonts w:hint="eastAsia" w:ascii="Times New Roman" w:hAnsi="Times New Roman" w:eastAsia="宋体" w:cs="Times New Roman"/>
          <w:b/>
          <w:color w:val="000000" w:themeColor="text1"/>
          <w:sz w:val="24"/>
          <w:highlight w:val="none"/>
          <w:lang w:val="en-US" w:eastAsia="zh-CN"/>
        </w:rPr>
        <w:t>1</w:t>
      </w:r>
      <w:r>
        <w:rPr>
          <w:rFonts w:hint="default" w:ascii="Times New Roman" w:hAnsi="Times New Roman" w:eastAsia="宋体" w:cs="Times New Roman"/>
          <w:b/>
          <w:color w:val="000000" w:themeColor="text1"/>
          <w:sz w:val="24"/>
          <w:highlight w:val="none"/>
        </w:rPr>
        <w:t xml:space="preserve">  K方案与A方案主要技术经济指标比较表</w:t>
      </w:r>
    </w:p>
    <w:tbl>
      <w:tblPr>
        <w:tblStyle w:val="3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fixed"/>
        <w:tblCellMar>
          <w:top w:w="0" w:type="dxa"/>
          <w:left w:w="108" w:type="dxa"/>
          <w:bottom w:w="0" w:type="dxa"/>
          <w:right w:w="108" w:type="dxa"/>
        </w:tblCellMar>
      </w:tblPr>
      <w:tblGrid>
        <w:gridCol w:w="688"/>
        <w:gridCol w:w="2194"/>
        <w:gridCol w:w="1050"/>
        <w:gridCol w:w="1695"/>
        <w:gridCol w:w="1454"/>
        <w:gridCol w:w="1441"/>
      </w:tblGrid>
      <w:tr w14:paraId="2406B487">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PrEx>
        <w:trPr>
          <w:trHeight w:val="340" w:hRule="atLeast"/>
        </w:trPr>
        <w:tc>
          <w:tcPr>
            <w:tcW w:w="688" w:type="dxa"/>
            <w:vAlign w:val="center"/>
          </w:tcPr>
          <w:p w14:paraId="43900C04">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序号</w:t>
            </w:r>
          </w:p>
        </w:tc>
        <w:tc>
          <w:tcPr>
            <w:tcW w:w="2194" w:type="dxa"/>
            <w:vAlign w:val="center"/>
          </w:tcPr>
          <w:p w14:paraId="48E1A993">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比较项目</w:t>
            </w:r>
          </w:p>
        </w:tc>
        <w:tc>
          <w:tcPr>
            <w:tcW w:w="1050" w:type="dxa"/>
            <w:vAlign w:val="center"/>
          </w:tcPr>
          <w:p w14:paraId="4E923CBD">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单 位</w:t>
            </w:r>
          </w:p>
        </w:tc>
        <w:tc>
          <w:tcPr>
            <w:tcW w:w="1695" w:type="dxa"/>
            <w:vAlign w:val="center"/>
          </w:tcPr>
          <w:p w14:paraId="3F1D0FB9">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A</w:t>
            </w:r>
            <w:r>
              <w:rPr>
                <w:color w:val="000000" w:themeColor="text1"/>
                <w:kern w:val="0"/>
                <w:sz w:val="21"/>
                <w:szCs w:val="21"/>
                <w:highlight w:val="none"/>
              </w:rPr>
              <w:t>方案</w:t>
            </w:r>
          </w:p>
        </w:tc>
        <w:tc>
          <w:tcPr>
            <w:tcW w:w="1454" w:type="dxa"/>
            <w:vAlign w:val="center"/>
          </w:tcPr>
          <w:p w14:paraId="549007C9">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对应K</w:t>
            </w:r>
            <w:r>
              <w:rPr>
                <w:color w:val="000000" w:themeColor="text1"/>
                <w:kern w:val="0"/>
                <w:sz w:val="21"/>
                <w:szCs w:val="21"/>
                <w:highlight w:val="none"/>
              </w:rPr>
              <w:t>方案</w:t>
            </w:r>
          </w:p>
        </w:tc>
        <w:tc>
          <w:tcPr>
            <w:tcW w:w="1441" w:type="dxa"/>
            <w:vAlign w:val="center"/>
          </w:tcPr>
          <w:p w14:paraId="56A09F78">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备注</w:t>
            </w:r>
          </w:p>
        </w:tc>
      </w:tr>
      <w:tr w14:paraId="13ECB7E8">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53439CD3">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1</w:t>
            </w:r>
          </w:p>
        </w:tc>
        <w:tc>
          <w:tcPr>
            <w:tcW w:w="2194" w:type="dxa"/>
            <w:vAlign w:val="center"/>
          </w:tcPr>
          <w:p w14:paraId="2C313540">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路线长度</w:t>
            </w:r>
          </w:p>
        </w:tc>
        <w:tc>
          <w:tcPr>
            <w:tcW w:w="1050" w:type="dxa"/>
            <w:vAlign w:val="center"/>
          </w:tcPr>
          <w:p w14:paraId="5F116D93">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km</w:t>
            </w:r>
          </w:p>
        </w:tc>
        <w:tc>
          <w:tcPr>
            <w:tcW w:w="1695" w:type="dxa"/>
            <w:shd w:val="clear" w:color="auto" w:fill="auto"/>
            <w:vAlign w:val="center"/>
          </w:tcPr>
          <w:p w14:paraId="0CC76DAC">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2.930</w:t>
            </w:r>
          </w:p>
        </w:tc>
        <w:tc>
          <w:tcPr>
            <w:tcW w:w="1454" w:type="dxa"/>
            <w:vAlign w:val="center"/>
          </w:tcPr>
          <w:p w14:paraId="7DD87F29">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2.825</w:t>
            </w:r>
          </w:p>
        </w:tc>
        <w:tc>
          <w:tcPr>
            <w:tcW w:w="1441" w:type="dxa"/>
            <w:vAlign w:val="center"/>
          </w:tcPr>
          <w:p w14:paraId="51367EC5">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s="Times New Roman"/>
                <w:color w:val="000000" w:themeColor="text1"/>
                <w:kern w:val="0"/>
                <w:sz w:val="21"/>
                <w:szCs w:val="21"/>
                <w:highlight w:val="none"/>
                <w:lang w:val="en-US" w:eastAsia="zh-CN" w:bidi="ar-SA"/>
              </w:rPr>
              <w:t>/</w:t>
            </w:r>
          </w:p>
        </w:tc>
      </w:tr>
      <w:tr w14:paraId="0D12C5F8">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55ECC53C">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w:t>
            </w:r>
          </w:p>
        </w:tc>
        <w:tc>
          <w:tcPr>
            <w:tcW w:w="2194" w:type="dxa"/>
            <w:vAlign w:val="center"/>
          </w:tcPr>
          <w:p w14:paraId="7F962176">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平曲线个数</w:t>
            </w:r>
          </w:p>
        </w:tc>
        <w:tc>
          <w:tcPr>
            <w:tcW w:w="1050" w:type="dxa"/>
            <w:vAlign w:val="center"/>
          </w:tcPr>
          <w:p w14:paraId="495501D6">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个</w:t>
            </w:r>
          </w:p>
        </w:tc>
        <w:tc>
          <w:tcPr>
            <w:tcW w:w="1695" w:type="dxa"/>
            <w:shd w:val="clear" w:color="auto" w:fill="auto"/>
            <w:vAlign w:val="center"/>
          </w:tcPr>
          <w:p w14:paraId="665E8584">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1</w:t>
            </w:r>
          </w:p>
        </w:tc>
        <w:tc>
          <w:tcPr>
            <w:tcW w:w="1454" w:type="dxa"/>
            <w:vAlign w:val="center"/>
          </w:tcPr>
          <w:p w14:paraId="6EDDC15B">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1</w:t>
            </w:r>
          </w:p>
        </w:tc>
        <w:tc>
          <w:tcPr>
            <w:tcW w:w="1441" w:type="dxa"/>
            <w:vAlign w:val="center"/>
          </w:tcPr>
          <w:p w14:paraId="289E2DBB">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s="Times New Roman"/>
                <w:color w:val="000000" w:themeColor="text1"/>
                <w:kern w:val="0"/>
                <w:sz w:val="21"/>
                <w:szCs w:val="21"/>
                <w:highlight w:val="none"/>
                <w:lang w:val="en-US" w:eastAsia="zh-CN" w:bidi="ar-SA"/>
              </w:rPr>
              <w:t>/</w:t>
            </w:r>
          </w:p>
        </w:tc>
      </w:tr>
      <w:tr w14:paraId="64643274">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314E864E">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3</w:t>
            </w:r>
          </w:p>
        </w:tc>
        <w:tc>
          <w:tcPr>
            <w:tcW w:w="2194" w:type="dxa"/>
            <w:vAlign w:val="center"/>
          </w:tcPr>
          <w:p w14:paraId="1032BBE4">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最小圆曲线半径</w:t>
            </w:r>
          </w:p>
        </w:tc>
        <w:tc>
          <w:tcPr>
            <w:tcW w:w="1050" w:type="dxa"/>
            <w:vAlign w:val="center"/>
          </w:tcPr>
          <w:p w14:paraId="0A7F1500">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m</w:t>
            </w:r>
          </w:p>
        </w:tc>
        <w:tc>
          <w:tcPr>
            <w:tcW w:w="1695" w:type="dxa"/>
            <w:shd w:val="clear" w:color="auto" w:fill="auto"/>
            <w:vAlign w:val="center"/>
          </w:tcPr>
          <w:p w14:paraId="530BC830">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1500</w:t>
            </w:r>
          </w:p>
        </w:tc>
        <w:tc>
          <w:tcPr>
            <w:tcW w:w="1454" w:type="dxa"/>
            <w:vAlign w:val="center"/>
          </w:tcPr>
          <w:p w14:paraId="51DFF353">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1450</w:t>
            </w:r>
          </w:p>
        </w:tc>
        <w:tc>
          <w:tcPr>
            <w:tcW w:w="1441" w:type="dxa"/>
            <w:shd w:val="clear" w:color="auto" w:fill="auto"/>
            <w:vAlign w:val="center"/>
          </w:tcPr>
          <w:p w14:paraId="08A9FF7C">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68E8EACB">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58E046AC">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4</w:t>
            </w:r>
          </w:p>
        </w:tc>
        <w:tc>
          <w:tcPr>
            <w:tcW w:w="2194" w:type="dxa"/>
            <w:vAlign w:val="center"/>
          </w:tcPr>
          <w:p w14:paraId="3A5D54B4">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最大纵坡</w:t>
            </w:r>
          </w:p>
        </w:tc>
        <w:tc>
          <w:tcPr>
            <w:tcW w:w="1050" w:type="dxa"/>
            <w:vAlign w:val="center"/>
          </w:tcPr>
          <w:p w14:paraId="45A9018C">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w:t>
            </w:r>
          </w:p>
        </w:tc>
        <w:tc>
          <w:tcPr>
            <w:tcW w:w="1695" w:type="dxa"/>
            <w:shd w:val="clear" w:color="auto" w:fill="auto"/>
            <w:vAlign w:val="center"/>
          </w:tcPr>
          <w:p w14:paraId="454F90C4">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1.694</w:t>
            </w:r>
          </w:p>
        </w:tc>
        <w:tc>
          <w:tcPr>
            <w:tcW w:w="1454" w:type="dxa"/>
            <w:vAlign w:val="center"/>
          </w:tcPr>
          <w:p w14:paraId="29A36CB4">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3.961</w:t>
            </w:r>
          </w:p>
        </w:tc>
        <w:tc>
          <w:tcPr>
            <w:tcW w:w="1441" w:type="dxa"/>
            <w:shd w:val="clear" w:color="auto" w:fill="auto"/>
            <w:vAlign w:val="center"/>
          </w:tcPr>
          <w:p w14:paraId="28463A90">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4E6566FA">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51EF4CDC">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5</w:t>
            </w:r>
          </w:p>
        </w:tc>
        <w:tc>
          <w:tcPr>
            <w:tcW w:w="2194" w:type="dxa"/>
            <w:vAlign w:val="center"/>
          </w:tcPr>
          <w:p w14:paraId="7EFEAF07">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凸形竖曲线最小半径</w:t>
            </w:r>
          </w:p>
        </w:tc>
        <w:tc>
          <w:tcPr>
            <w:tcW w:w="1050" w:type="dxa"/>
            <w:vAlign w:val="center"/>
          </w:tcPr>
          <w:p w14:paraId="76A87EFF">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m</w:t>
            </w:r>
          </w:p>
        </w:tc>
        <w:tc>
          <w:tcPr>
            <w:tcW w:w="1695" w:type="dxa"/>
            <w:shd w:val="clear" w:color="auto" w:fill="auto"/>
            <w:vAlign w:val="center"/>
          </w:tcPr>
          <w:p w14:paraId="43A9B3D9">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10000</w:t>
            </w:r>
          </w:p>
        </w:tc>
        <w:tc>
          <w:tcPr>
            <w:tcW w:w="1454" w:type="dxa"/>
            <w:vAlign w:val="center"/>
          </w:tcPr>
          <w:p w14:paraId="40A52ED8">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5500</w:t>
            </w:r>
          </w:p>
        </w:tc>
        <w:tc>
          <w:tcPr>
            <w:tcW w:w="1441" w:type="dxa"/>
            <w:shd w:val="clear" w:color="auto" w:fill="auto"/>
            <w:vAlign w:val="center"/>
          </w:tcPr>
          <w:p w14:paraId="202718BB">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0F18F3C3">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69EE0EBF">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6</w:t>
            </w:r>
          </w:p>
        </w:tc>
        <w:tc>
          <w:tcPr>
            <w:tcW w:w="2194" w:type="dxa"/>
            <w:vAlign w:val="center"/>
          </w:tcPr>
          <w:p w14:paraId="234F660F">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凹形竖曲线最小半径</w:t>
            </w:r>
          </w:p>
        </w:tc>
        <w:tc>
          <w:tcPr>
            <w:tcW w:w="1050" w:type="dxa"/>
            <w:vAlign w:val="center"/>
          </w:tcPr>
          <w:p w14:paraId="023CDA40">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m</w:t>
            </w:r>
          </w:p>
        </w:tc>
        <w:tc>
          <w:tcPr>
            <w:tcW w:w="1695" w:type="dxa"/>
            <w:shd w:val="clear" w:color="auto" w:fill="auto"/>
            <w:vAlign w:val="center"/>
          </w:tcPr>
          <w:p w14:paraId="2B7A8F95">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14000</w:t>
            </w:r>
          </w:p>
        </w:tc>
        <w:tc>
          <w:tcPr>
            <w:tcW w:w="1454" w:type="dxa"/>
            <w:vAlign w:val="center"/>
          </w:tcPr>
          <w:p w14:paraId="0B86B186">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6500</w:t>
            </w:r>
          </w:p>
        </w:tc>
        <w:tc>
          <w:tcPr>
            <w:tcW w:w="1441" w:type="dxa"/>
            <w:shd w:val="clear" w:color="auto" w:fill="auto"/>
            <w:vAlign w:val="center"/>
          </w:tcPr>
          <w:p w14:paraId="3E666A7A">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02B61413">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2DD9B9DA">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7</w:t>
            </w:r>
          </w:p>
        </w:tc>
        <w:tc>
          <w:tcPr>
            <w:tcW w:w="2194" w:type="dxa"/>
            <w:vAlign w:val="center"/>
          </w:tcPr>
          <w:p w14:paraId="59A3B16A">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路基/路面宽度</w:t>
            </w:r>
          </w:p>
        </w:tc>
        <w:tc>
          <w:tcPr>
            <w:tcW w:w="1050" w:type="dxa"/>
            <w:vAlign w:val="center"/>
          </w:tcPr>
          <w:p w14:paraId="6DCA4B34">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m</w:t>
            </w:r>
          </w:p>
        </w:tc>
        <w:tc>
          <w:tcPr>
            <w:tcW w:w="1695" w:type="dxa"/>
            <w:shd w:val="clear" w:color="auto" w:fill="auto"/>
            <w:vAlign w:val="center"/>
          </w:tcPr>
          <w:p w14:paraId="14E5E718">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12/10.5</w:t>
            </w:r>
          </w:p>
        </w:tc>
        <w:tc>
          <w:tcPr>
            <w:tcW w:w="1454" w:type="dxa"/>
            <w:vAlign w:val="center"/>
          </w:tcPr>
          <w:p w14:paraId="18027751">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s="Times New Roman"/>
                <w:color w:val="000000" w:themeColor="text1"/>
                <w:kern w:val="0"/>
                <w:sz w:val="21"/>
                <w:szCs w:val="21"/>
                <w:highlight w:val="none"/>
                <w:lang w:val="en-US" w:eastAsia="zh-CN" w:bidi="ar-SA"/>
              </w:rPr>
              <w:t>12/10.5</w:t>
            </w:r>
          </w:p>
        </w:tc>
        <w:tc>
          <w:tcPr>
            <w:tcW w:w="1441" w:type="dxa"/>
            <w:shd w:val="clear" w:color="auto" w:fill="auto"/>
            <w:vAlign w:val="center"/>
          </w:tcPr>
          <w:p w14:paraId="527D25B9">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325E5AFF">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0D942B42">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8</w:t>
            </w:r>
          </w:p>
        </w:tc>
        <w:tc>
          <w:tcPr>
            <w:tcW w:w="2194" w:type="dxa"/>
            <w:vAlign w:val="center"/>
          </w:tcPr>
          <w:p w14:paraId="44B70E2C">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计价土石方</w:t>
            </w:r>
          </w:p>
        </w:tc>
        <w:tc>
          <w:tcPr>
            <w:tcW w:w="1050" w:type="dxa"/>
            <w:vAlign w:val="center"/>
          </w:tcPr>
          <w:p w14:paraId="6871BF62">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1000m</w:t>
            </w:r>
            <w:r>
              <w:rPr>
                <w:color w:val="000000" w:themeColor="text1"/>
                <w:kern w:val="0"/>
                <w:sz w:val="21"/>
                <w:szCs w:val="21"/>
                <w:highlight w:val="none"/>
                <w:vertAlign w:val="superscript"/>
              </w:rPr>
              <w:t>3</w:t>
            </w:r>
          </w:p>
        </w:tc>
        <w:tc>
          <w:tcPr>
            <w:tcW w:w="1695" w:type="dxa"/>
            <w:shd w:val="clear" w:color="auto" w:fill="auto"/>
            <w:vAlign w:val="center"/>
          </w:tcPr>
          <w:p w14:paraId="1587F5B1">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98.913</w:t>
            </w:r>
          </w:p>
        </w:tc>
        <w:tc>
          <w:tcPr>
            <w:tcW w:w="1454" w:type="dxa"/>
            <w:vAlign w:val="center"/>
          </w:tcPr>
          <w:p w14:paraId="2867DDAA">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91.868</w:t>
            </w:r>
          </w:p>
        </w:tc>
        <w:tc>
          <w:tcPr>
            <w:tcW w:w="1441" w:type="dxa"/>
            <w:shd w:val="clear" w:color="auto" w:fill="auto"/>
            <w:vAlign w:val="center"/>
          </w:tcPr>
          <w:p w14:paraId="1DBCBBDD">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43C240D3">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03FE58B5">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9</w:t>
            </w:r>
          </w:p>
        </w:tc>
        <w:tc>
          <w:tcPr>
            <w:tcW w:w="2194" w:type="dxa"/>
            <w:vAlign w:val="center"/>
          </w:tcPr>
          <w:p w14:paraId="01417780">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路面面积</w:t>
            </w:r>
          </w:p>
        </w:tc>
        <w:tc>
          <w:tcPr>
            <w:tcW w:w="1050" w:type="dxa"/>
            <w:vAlign w:val="center"/>
          </w:tcPr>
          <w:p w14:paraId="322F5BB1">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1000m</w:t>
            </w:r>
            <w:r>
              <w:rPr>
                <w:color w:val="000000" w:themeColor="text1"/>
                <w:kern w:val="0"/>
                <w:sz w:val="21"/>
                <w:szCs w:val="21"/>
                <w:highlight w:val="none"/>
                <w:vertAlign w:val="superscript"/>
              </w:rPr>
              <w:t>2</w:t>
            </w:r>
          </w:p>
        </w:tc>
        <w:tc>
          <w:tcPr>
            <w:tcW w:w="1695" w:type="dxa"/>
            <w:shd w:val="clear" w:color="auto" w:fill="auto"/>
            <w:vAlign w:val="center"/>
          </w:tcPr>
          <w:p w14:paraId="57B2B475">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30.813</w:t>
            </w:r>
          </w:p>
        </w:tc>
        <w:tc>
          <w:tcPr>
            <w:tcW w:w="1454" w:type="dxa"/>
            <w:vAlign w:val="center"/>
          </w:tcPr>
          <w:p w14:paraId="0ACE4FDA">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29.938</w:t>
            </w:r>
          </w:p>
        </w:tc>
        <w:tc>
          <w:tcPr>
            <w:tcW w:w="1441" w:type="dxa"/>
            <w:shd w:val="clear" w:color="auto" w:fill="auto"/>
            <w:vAlign w:val="center"/>
          </w:tcPr>
          <w:p w14:paraId="74C31F87">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4DA01989">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60468EAC">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10</w:t>
            </w:r>
          </w:p>
        </w:tc>
        <w:tc>
          <w:tcPr>
            <w:tcW w:w="2194" w:type="dxa"/>
            <w:vAlign w:val="center"/>
          </w:tcPr>
          <w:p w14:paraId="5FD320D7">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不良地质</w:t>
            </w:r>
          </w:p>
        </w:tc>
        <w:tc>
          <w:tcPr>
            <w:tcW w:w="1050" w:type="dxa"/>
            <w:vAlign w:val="center"/>
          </w:tcPr>
          <w:p w14:paraId="1E5CC9EB">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val="en-US" w:eastAsia="zh-CN"/>
              </w:rPr>
            </w:pPr>
            <w:r>
              <w:rPr>
                <w:color w:val="000000" w:themeColor="text1"/>
                <w:kern w:val="0"/>
                <w:sz w:val="21"/>
                <w:szCs w:val="21"/>
                <w:highlight w:val="none"/>
              </w:rPr>
              <w:t>m</w:t>
            </w:r>
          </w:p>
        </w:tc>
        <w:tc>
          <w:tcPr>
            <w:tcW w:w="1695" w:type="dxa"/>
            <w:shd w:val="clear" w:color="auto" w:fill="auto"/>
            <w:vAlign w:val="center"/>
          </w:tcPr>
          <w:p w14:paraId="22AA7C5F">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739</w:t>
            </w:r>
          </w:p>
        </w:tc>
        <w:tc>
          <w:tcPr>
            <w:tcW w:w="1454" w:type="dxa"/>
            <w:vAlign w:val="center"/>
          </w:tcPr>
          <w:p w14:paraId="75FE8558">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785</w:t>
            </w:r>
          </w:p>
        </w:tc>
        <w:tc>
          <w:tcPr>
            <w:tcW w:w="1441" w:type="dxa"/>
            <w:shd w:val="clear" w:color="auto" w:fill="auto"/>
            <w:vAlign w:val="center"/>
          </w:tcPr>
          <w:p w14:paraId="49F990B0">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48599821">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64321570">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11</w:t>
            </w:r>
          </w:p>
        </w:tc>
        <w:tc>
          <w:tcPr>
            <w:tcW w:w="2194" w:type="dxa"/>
            <w:vAlign w:val="center"/>
          </w:tcPr>
          <w:p w14:paraId="2DF00CBA">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占用永久基本农田</w:t>
            </w:r>
          </w:p>
        </w:tc>
        <w:tc>
          <w:tcPr>
            <w:tcW w:w="1050" w:type="dxa"/>
            <w:vAlign w:val="center"/>
          </w:tcPr>
          <w:p w14:paraId="7DD08D15">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m</w:t>
            </w:r>
            <w:r>
              <w:rPr>
                <w:color w:val="000000" w:themeColor="text1"/>
                <w:kern w:val="0"/>
                <w:sz w:val="21"/>
                <w:szCs w:val="21"/>
                <w:highlight w:val="none"/>
                <w:vertAlign w:val="superscript"/>
              </w:rPr>
              <w:t>2</w:t>
            </w:r>
          </w:p>
        </w:tc>
        <w:tc>
          <w:tcPr>
            <w:tcW w:w="1695" w:type="dxa"/>
            <w:shd w:val="clear" w:color="auto" w:fill="auto"/>
            <w:vAlign w:val="center"/>
          </w:tcPr>
          <w:p w14:paraId="74EDF57B">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71114</w:t>
            </w:r>
          </w:p>
        </w:tc>
        <w:tc>
          <w:tcPr>
            <w:tcW w:w="1454" w:type="dxa"/>
            <w:vAlign w:val="center"/>
          </w:tcPr>
          <w:p w14:paraId="7857A00A">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27155</w:t>
            </w:r>
          </w:p>
        </w:tc>
        <w:tc>
          <w:tcPr>
            <w:tcW w:w="1441" w:type="dxa"/>
            <w:shd w:val="clear" w:color="auto" w:fill="auto"/>
            <w:vAlign w:val="center"/>
          </w:tcPr>
          <w:p w14:paraId="50BDCD07">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39E1256A">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12289B45">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12</w:t>
            </w:r>
          </w:p>
        </w:tc>
        <w:tc>
          <w:tcPr>
            <w:tcW w:w="2194" w:type="dxa"/>
            <w:vAlign w:val="center"/>
          </w:tcPr>
          <w:p w14:paraId="4BE94955">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桥梁</w:t>
            </w:r>
          </w:p>
        </w:tc>
        <w:tc>
          <w:tcPr>
            <w:tcW w:w="1050" w:type="dxa"/>
            <w:vAlign w:val="center"/>
          </w:tcPr>
          <w:p w14:paraId="409CD2CD">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m/座</w:t>
            </w:r>
          </w:p>
        </w:tc>
        <w:tc>
          <w:tcPr>
            <w:tcW w:w="1695" w:type="dxa"/>
            <w:shd w:val="clear" w:color="auto" w:fill="auto"/>
            <w:vAlign w:val="center"/>
          </w:tcPr>
          <w:p w14:paraId="5D8FAD2D">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30.51/1</w:t>
            </w:r>
          </w:p>
        </w:tc>
        <w:tc>
          <w:tcPr>
            <w:tcW w:w="1454" w:type="dxa"/>
            <w:vAlign w:val="center"/>
          </w:tcPr>
          <w:p w14:paraId="68E3CC50">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s="Times New Roman"/>
                <w:color w:val="000000" w:themeColor="text1"/>
                <w:kern w:val="0"/>
                <w:sz w:val="21"/>
                <w:szCs w:val="21"/>
                <w:highlight w:val="none"/>
                <w:lang w:val="en-US" w:eastAsia="zh-CN" w:bidi="ar-SA"/>
              </w:rPr>
              <w:t>30.51/1</w:t>
            </w:r>
          </w:p>
        </w:tc>
        <w:tc>
          <w:tcPr>
            <w:tcW w:w="1441" w:type="dxa"/>
            <w:shd w:val="clear" w:color="auto" w:fill="auto"/>
            <w:vAlign w:val="center"/>
          </w:tcPr>
          <w:p w14:paraId="061EE14E">
            <w:pPr>
              <w:pageBreakBefore w:val="0"/>
              <w:widowControl/>
              <w:wordWrap/>
              <w:topLinePunct w:val="0"/>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063827F1">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433ACAB5">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13</w:t>
            </w:r>
          </w:p>
        </w:tc>
        <w:tc>
          <w:tcPr>
            <w:tcW w:w="2194" w:type="dxa"/>
            <w:vAlign w:val="center"/>
          </w:tcPr>
          <w:p w14:paraId="2E380EE3">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涵洞</w:t>
            </w:r>
          </w:p>
        </w:tc>
        <w:tc>
          <w:tcPr>
            <w:tcW w:w="1050" w:type="dxa"/>
            <w:shd w:val="clear" w:color="auto" w:fill="auto"/>
            <w:vAlign w:val="center"/>
          </w:tcPr>
          <w:p w14:paraId="0377A8F3">
            <w:pPr>
              <w:pageBreakBefore w:val="0"/>
              <w:widowControl/>
              <w:wordWrap/>
              <w:topLinePunct w:val="0"/>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道</w:t>
            </w:r>
          </w:p>
        </w:tc>
        <w:tc>
          <w:tcPr>
            <w:tcW w:w="1695" w:type="dxa"/>
            <w:shd w:val="clear" w:color="auto" w:fill="auto"/>
            <w:vAlign w:val="center"/>
          </w:tcPr>
          <w:p w14:paraId="061E356C">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9</w:t>
            </w:r>
          </w:p>
        </w:tc>
        <w:tc>
          <w:tcPr>
            <w:tcW w:w="1454" w:type="dxa"/>
            <w:vAlign w:val="center"/>
          </w:tcPr>
          <w:p w14:paraId="7DD2F702">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5</w:t>
            </w:r>
          </w:p>
        </w:tc>
        <w:tc>
          <w:tcPr>
            <w:tcW w:w="1441" w:type="dxa"/>
            <w:shd w:val="clear" w:color="auto" w:fill="auto"/>
            <w:vAlign w:val="center"/>
          </w:tcPr>
          <w:p w14:paraId="18751321">
            <w:pPr>
              <w:pageBreakBefore w:val="0"/>
              <w:widowControl/>
              <w:wordWrap/>
              <w:topLinePunct w:val="0"/>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733D1A5B">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425585E6">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14</w:t>
            </w:r>
          </w:p>
        </w:tc>
        <w:tc>
          <w:tcPr>
            <w:tcW w:w="2194" w:type="dxa"/>
            <w:vAlign w:val="center"/>
          </w:tcPr>
          <w:p w14:paraId="2530FE34">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平面交叉</w:t>
            </w:r>
          </w:p>
        </w:tc>
        <w:tc>
          <w:tcPr>
            <w:tcW w:w="1050" w:type="dxa"/>
            <w:shd w:val="clear" w:color="auto" w:fill="auto"/>
            <w:vAlign w:val="center"/>
          </w:tcPr>
          <w:p w14:paraId="6F289F1C">
            <w:pPr>
              <w:pageBreakBefore w:val="0"/>
              <w:widowControl/>
              <w:wordWrap/>
              <w:topLinePunct w:val="0"/>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处</w:t>
            </w:r>
          </w:p>
        </w:tc>
        <w:tc>
          <w:tcPr>
            <w:tcW w:w="1695" w:type="dxa"/>
            <w:vAlign w:val="center"/>
          </w:tcPr>
          <w:p w14:paraId="1B78A193">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6</w:t>
            </w:r>
          </w:p>
        </w:tc>
        <w:tc>
          <w:tcPr>
            <w:tcW w:w="1454" w:type="dxa"/>
            <w:vAlign w:val="center"/>
          </w:tcPr>
          <w:p w14:paraId="38012D9F">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6</w:t>
            </w:r>
          </w:p>
        </w:tc>
        <w:tc>
          <w:tcPr>
            <w:tcW w:w="1441" w:type="dxa"/>
            <w:shd w:val="clear" w:color="auto" w:fill="auto"/>
            <w:vAlign w:val="center"/>
          </w:tcPr>
          <w:p w14:paraId="3B6A447B">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r w14:paraId="1F892848">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688" w:type="dxa"/>
            <w:vAlign w:val="center"/>
          </w:tcPr>
          <w:p w14:paraId="559EC73C">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15</w:t>
            </w:r>
          </w:p>
        </w:tc>
        <w:tc>
          <w:tcPr>
            <w:tcW w:w="2194" w:type="dxa"/>
            <w:vAlign w:val="center"/>
          </w:tcPr>
          <w:p w14:paraId="0EA75D41">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工程造价</w:t>
            </w:r>
          </w:p>
        </w:tc>
        <w:tc>
          <w:tcPr>
            <w:tcW w:w="1050" w:type="dxa"/>
            <w:vAlign w:val="center"/>
          </w:tcPr>
          <w:p w14:paraId="2F12673B">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万元</w:t>
            </w:r>
          </w:p>
        </w:tc>
        <w:tc>
          <w:tcPr>
            <w:tcW w:w="1695" w:type="dxa"/>
            <w:vAlign w:val="center"/>
          </w:tcPr>
          <w:p w14:paraId="65FE5951">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2842.28</w:t>
            </w:r>
          </w:p>
        </w:tc>
        <w:tc>
          <w:tcPr>
            <w:tcW w:w="1454" w:type="dxa"/>
            <w:vAlign w:val="center"/>
          </w:tcPr>
          <w:p w14:paraId="01A26EA9">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2471.28</w:t>
            </w:r>
          </w:p>
        </w:tc>
        <w:tc>
          <w:tcPr>
            <w:tcW w:w="1441" w:type="dxa"/>
            <w:shd w:val="clear" w:color="auto" w:fill="auto"/>
            <w:vAlign w:val="center"/>
          </w:tcPr>
          <w:p w14:paraId="60343A06">
            <w:pPr>
              <w:pageBreakBefore w:val="0"/>
              <w:widowControl/>
              <w:wordWrap/>
              <w:topLinePunct w:val="0"/>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w:t>
            </w:r>
          </w:p>
        </w:tc>
      </w:tr>
    </w:tbl>
    <w:p w14:paraId="54F7C151">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方案比选</w:t>
      </w:r>
    </w:p>
    <w:p w14:paraId="4AB59F73">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（1）建设条件</w:t>
      </w:r>
    </w:p>
    <w:p w14:paraId="54266F57">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A方案在K0+000~K0+750段穿越水田地，地质条件相对较差。在地质条件方面，K方案优于A方案。</w:t>
      </w:r>
    </w:p>
    <w:p w14:paraId="08C1E550">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（2）平、纵面线形指标</w:t>
      </w:r>
    </w:p>
    <w:p w14:paraId="6FDD8F5B">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K方案共设置1处平曲线，最小圆曲线半径为1450m，最大纵坡为3.96%；A方案共设置1处平曲线，最小圆曲线半径为1500m，最大纵坡为1.69%。总体上，A方案较K方案，平面线形指标相当，纵断面线形指标占优。</w:t>
      </w:r>
    </w:p>
    <w:p w14:paraId="159833FA">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（3）交通安全</w:t>
      </w:r>
    </w:p>
    <w:p w14:paraId="30A43FDC">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K方案平面交叉数量少于点方案，路侧干扰相对较小，在交通安全方面优于方案。</w:t>
      </w:r>
    </w:p>
    <w:p w14:paraId="16C6E1BE">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（4）占用永久基本农田情况</w:t>
      </w:r>
    </w:p>
    <w:p w14:paraId="63FBFE90">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在K0+000~K1+200段利用既有旧路走廊带，在K1+200-K1+750段穿越林地，在K1+750~K2+825段穿越国家永久基本农田；A方案为新建方案，全路段均为国家永久基本农田。A方案占用国家永久基本农田远高于K方案，实施难度高于K方案。</w:t>
      </w:r>
    </w:p>
    <w:p w14:paraId="487AF300">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（5）运营效益</w:t>
      </w:r>
    </w:p>
    <w:p w14:paraId="5524F387">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K方案路线长度为2.825km，A方案路线长度为2.930km，K方案较A方案短0.105km。在运营效益方面，K方案略优于A方案。</w:t>
      </w:r>
    </w:p>
    <w:p w14:paraId="3449718F">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（6）工程规模及造价</w:t>
      </w:r>
    </w:p>
    <w:p w14:paraId="385DBD2D">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K方案路线长度较A方案短105m，路面工程量及涵洞数量小于A方案。总体上，K方案的工程规模及造价低于A方案。</w:t>
      </w:r>
    </w:p>
    <w:p w14:paraId="08EE255F">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（7）环境影响</w:t>
      </w:r>
    </w:p>
    <w:p w14:paraId="658CD63A">
      <w:pPr>
        <w:pStyle w:val="13"/>
        <w:pageBreakBefore w:val="0"/>
        <w:wordWrap/>
        <w:topLinePunct w:val="0"/>
        <w:bidi w:val="0"/>
        <w:spacing w:line="360" w:lineRule="auto"/>
        <w:ind w:firstLine="482"/>
        <w:jc w:val="center"/>
        <w:rPr>
          <w:rFonts w:hint="default" w:ascii="Times New Roman" w:hAnsi="Times New Roman" w:eastAsia="宋体" w:cs="Times New Roman"/>
          <w:b/>
          <w:color w:val="000000" w:themeColor="text1"/>
          <w:sz w:val="24"/>
          <w:highlight w:val="none"/>
        </w:rPr>
      </w:pPr>
      <w:r>
        <w:rPr>
          <w:rFonts w:hint="default" w:ascii="Times New Roman" w:hAnsi="Times New Roman" w:eastAsia="宋体" w:cs="Times New Roman"/>
          <w:b/>
          <w:color w:val="000000" w:themeColor="text1"/>
          <w:sz w:val="24"/>
          <w:highlight w:val="none"/>
        </w:rPr>
        <w:t>表2.10-</w:t>
      </w:r>
      <w:r>
        <w:rPr>
          <w:rFonts w:hint="eastAsia" w:ascii="Times New Roman" w:hAnsi="Times New Roman" w:eastAsia="宋体" w:cs="Times New Roman"/>
          <w:b/>
          <w:color w:val="000000" w:themeColor="text1"/>
          <w:sz w:val="24"/>
          <w:highlight w:val="none"/>
          <w:lang w:val="en-US" w:eastAsia="zh-CN"/>
        </w:rPr>
        <w:t>2</w:t>
      </w:r>
      <w:r>
        <w:rPr>
          <w:rFonts w:hint="default" w:ascii="Times New Roman" w:hAnsi="Times New Roman" w:eastAsia="宋体" w:cs="Times New Roman"/>
          <w:b/>
          <w:color w:val="000000" w:themeColor="text1"/>
          <w:sz w:val="24"/>
          <w:highlight w:val="none"/>
        </w:rPr>
        <w:t xml:space="preserve">  K方案与A方案主要</w:t>
      </w:r>
      <w:r>
        <w:rPr>
          <w:rFonts w:hint="eastAsia" w:ascii="Times New Roman" w:hAnsi="Times New Roman" w:eastAsia="宋体" w:cs="Times New Roman"/>
          <w:b/>
          <w:color w:val="000000" w:themeColor="text1"/>
          <w:sz w:val="24"/>
          <w:highlight w:val="none"/>
          <w:lang w:val="en-US" w:eastAsia="zh-CN"/>
        </w:rPr>
        <w:t>环境因素</w:t>
      </w:r>
      <w:r>
        <w:rPr>
          <w:rFonts w:hint="default" w:ascii="Times New Roman" w:hAnsi="Times New Roman" w:eastAsia="宋体" w:cs="Times New Roman"/>
          <w:b/>
          <w:color w:val="000000" w:themeColor="text1"/>
          <w:sz w:val="24"/>
          <w:highlight w:val="none"/>
        </w:rPr>
        <w:t>比较表</w:t>
      </w:r>
    </w:p>
    <w:tbl>
      <w:tblPr>
        <w:tblStyle w:val="33"/>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autofit"/>
        <w:tblCellMar>
          <w:top w:w="0" w:type="dxa"/>
          <w:left w:w="108" w:type="dxa"/>
          <w:bottom w:w="0" w:type="dxa"/>
          <w:right w:w="108" w:type="dxa"/>
        </w:tblCellMar>
      </w:tblPr>
      <w:tblGrid>
        <w:gridCol w:w="699"/>
        <w:gridCol w:w="656"/>
        <w:gridCol w:w="1387"/>
        <w:gridCol w:w="2123"/>
        <w:gridCol w:w="2181"/>
        <w:gridCol w:w="1473"/>
      </w:tblGrid>
      <w:tr w14:paraId="0690C03E">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69E70457">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序号</w:t>
            </w:r>
          </w:p>
        </w:tc>
        <w:tc>
          <w:tcPr>
            <w:tcW w:w="1199" w:type="pct"/>
            <w:gridSpan w:val="2"/>
            <w:vAlign w:val="center"/>
          </w:tcPr>
          <w:p w14:paraId="1611A4DF">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比较项目</w:t>
            </w:r>
          </w:p>
        </w:tc>
        <w:tc>
          <w:tcPr>
            <w:tcW w:w="1246" w:type="pct"/>
            <w:vAlign w:val="center"/>
          </w:tcPr>
          <w:p w14:paraId="74BC0C97">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A</w:t>
            </w:r>
            <w:r>
              <w:rPr>
                <w:color w:val="000000" w:themeColor="text1"/>
                <w:kern w:val="0"/>
                <w:sz w:val="21"/>
                <w:szCs w:val="21"/>
                <w:highlight w:val="none"/>
              </w:rPr>
              <w:t>方案</w:t>
            </w:r>
          </w:p>
        </w:tc>
        <w:tc>
          <w:tcPr>
            <w:tcW w:w="1280" w:type="pct"/>
            <w:vAlign w:val="center"/>
          </w:tcPr>
          <w:p w14:paraId="02E92A65">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对应K</w:t>
            </w:r>
            <w:r>
              <w:rPr>
                <w:color w:val="000000" w:themeColor="text1"/>
                <w:kern w:val="0"/>
                <w:sz w:val="21"/>
                <w:szCs w:val="21"/>
                <w:highlight w:val="none"/>
              </w:rPr>
              <w:t>方案</w:t>
            </w:r>
          </w:p>
        </w:tc>
        <w:tc>
          <w:tcPr>
            <w:tcW w:w="863" w:type="pct"/>
            <w:vAlign w:val="center"/>
          </w:tcPr>
          <w:p w14:paraId="0C1A11CD">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备注</w:t>
            </w:r>
          </w:p>
        </w:tc>
      </w:tr>
      <w:tr w14:paraId="2D6BECB6">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50E21796">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1</w:t>
            </w:r>
          </w:p>
        </w:tc>
        <w:tc>
          <w:tcPr>
            <w:tcW w:w="1199" w:type="pct"/>
            <w:gridSpan w:val="2"/>
            <w:vAlign w:val="center"/>
          </w:tcPr>
          <w:p w14:paraId="488F7E05">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lang w:val="en-US" w:eastAsia="zh-CN"/>
              </w:rPr>
              <w:t>路线长度（</w:t>
            </w:r>
            <w:r>
              <w:rPr>
                <w:color w:val="000000" w:themeColor="text1"/>
                <w:kern w:val="0"/>
                <w:sz w:val="21"/>
                <w:szCs w:val="21"/>
                <w:highlight w:val="none"/>
              </w:rPr>
              <w:t>km</w:t>
            </w:r>
            <w:r>
              <w:rPr>
                <w:rFonts w:hint="eastAsia"/>
                <w:color w:val="000000" w:themeColor="text1"/>
                <w:kern w:val="0"/>
                <w:sz w:val="21"/>
                <w:szCs w:val="21"/>
                <w:highlight w:val="none"/>
                <w:lang w:val="en-US" w:eastAsia="zh-CN"/>
              </w:rPr>
              <w:t>）</w:t>
            </w:r>
          </w:p>
        </w:tc>
        <w:tc>
          <w:tcPr>
            <w:tcW w:w="1246" w:type="pct"/>
            <w:shd w:val="clear" w:color="auto" w:fill="auto"/>
            <w:vAlign w:val="center"/>
          </w:tcPr>
          <w:p w14:paraId="077403B9">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2.930</w:t>
            </w:r>
          </w:p>
        </w:tc>
        <w:tc>
          <w:tcPr>
            <w:tcW w:w="1280" w:type="pct"/>
            <w:vAlign w:val="center"/>
          </w:tcPr>
          <w:p w14:paraId="268698CA">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2.825</w:t>
            </w:r>
          </w:p>
        </w:tc>
        <w:tc>
          <w:tcPr>
            <w:tcW w:w="863" w:type="pct"/>
            <w:vAlign w:val="center"/>
          </w:tcPr>
          <w:p w14:paraId="08B614B8">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s="Times New Roman"/>
                <w:color w:val="000000" w:themeColor="text1"/>
                <w:kern w:val="0"/>
                <w:sz w:val="21"/>
                <w:szCs w:val="21"/>
                <w:highlight w:val="none"/>
                <w:lang w:val="en-US" w:eastAsia="zh-CN" w:bidi="ar-SA"/>
              </w:rPr>
              <w:t>K方案长度较A方案短，K方案略优</w:t>
            </w:r>
          </w:p>
        </w:tc>
      </w:tr>
      <w:tr w14:paraId="0BF54FB2">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26E54C05">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w:t>
            </w:r>
          </w:p>
        </w:tc>
        <w:tc>
          <w:tcPr>
            <w:tcW w:w="385" w:type="pct"/>
            <w:shd w:val="clear" w:color="auto" w:fill="auto"/>
            <w:vAlign w:val="center"/>
          </w:tcPr>
          <w:p w14:paraId="572C3432">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生态环境</w:t>
            </w:r>
          </w:p>
        </w:tc>
        <w:tc>
          <w:tcPr>
            <w:tcW w:w="814" w:type="pct"/>
            <w:shd w:val="clear" w:color="auto" w:fill="auto"/>
            <w:vAlign w:val="center"/>
          </w:tcPr>
          <w:p w14:paraId="651AFEEF">
            <w:pPr>
              <w:pageBreakBefore w:val="0"/>
              <w:widowControl/>
              <w:wordWrap/>
              <w:topLinePunct w:val="0"/>
              <w:bidi w:val="0"/>
              <w:spacing w:line="240" w:lineRule="auto"/>
              <w:ind w:firstLine="0" w:firstLineChars="0"/>
              <w:jc w:val="center"/>
              <w:rPr>
                <w:rFonts w:hint="eastAsia"/>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占用永久基本农田（</w:t>
            </w:r>
            <w:r>
              <w:rPr>
                <w:color w:val="000000" w:themeColor="text1"/>
                <w:kern w:val="0"/>
                <w:sz w:val="21"/>
                <w:szCs w:val="21"/>
                <w:highlight w:val="none"/>
              </w:rPr>
              <w:t>m</w:t>
            </w:r>
            <w:r>
              <w:rPr>
                <w:color w:val="000000" w:themeColor="text1"/>
                <w:kern w:val="0"/>
                <w:sz w:val="21"/>
                <w:szCs w:val="21"/>
                <w:highlight w:val="none"/>
                <w:vertAlign w:val="superscript"/>
              </w:rPr>
              <w:t>2</w:t>
            </w:r>
            <w:r>
              <w:rPr>
                <w:rFonts w:hint="eastAsia"/>
                <w:color w:val="000000" w:themeColor="text1"/>
                <w:kern w:val="0"/>
                <w:sz w:val="21"/>
                <w:szCs w:val="21"/>
                <w:highlight w:val="none"/>
                <w:lang w:val="en-US" w:eastAsia="zh-CN"/>
              </w:rPr>
              <w:t>）</w:t>
            </w:r>
          </w:p>
        </w:tc>
        <w:tc>
          <w:tcPr>
            <w:tcW w:w="1246" w:type="pct"/>
            <w:shd w:val="clear" w:color="auto" w:fill="auto"/>
            <w:vAlign w:val="center"/>
          </w:tcPr>
          <w:p w14:paraId="065C476F">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71114</w:t>
            </w:r>
          </w:p>
        </w:tc>
        <w:tc>
          <w:tcPr>
            <w:tcW w:w="1280" w:type="pct"/>
            <w:shd w:val="clear" w:color="auto" w:fill="auto"/>
            <w:vAlign w:val="center"/>
          </w:tcPr>
          <w:p w14:paraId="4CD5C65A">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27155</w:t>
            </w:r>
          </w:p>
        </w:tc>
        <w:tc>
          <w:tcPr>
            <w:tcW w:w="863" w:type="pct"/>
            <w:shd w:val="clear" w:color="auto" w:fill="auto"/>
            <w:vAlign w:val="center"/>
          </w:tcPr>
          <w:p w14:paraId="50A13EB2">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K方案占地较A方案少，K方案优</w:t>
            </w:r>
          </w:p>
        </w:tc>
      </w:tr>
      <w:tr w14:paraId="25D97302">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5C50F250">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3</w:t>
            </w:r>
          </w:p>
        </w:tc>
        <w:tc>
          <w:tcPr>
            <w:tcW w:w="1199" w:type="pct"/>
            <w:gridSpan w:val="2"/>
            <w:vAlign w:val="center"/>
          </w:tcPr>
          <w:p w14:paraId="215FD390">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环境空气</w:t>
            </w:r>
          </w:p>
        </w:tc>
        <w:tc>
          <w:tcPr>
            <w:tcW w:w="1246" w:type="pct"/>
            <w:shd w:val="clear" w:color="auto" w:fill="auto"/>
            <w:vAlign w:val="center"/>
          </w:tcPr>
          <w:p w14:paraId="2B49E4E9">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不涉及</w:t>
            </w:r>
          </w:p>
        </w:tc>
        <w:tc>
          <w:tcPr>
            <w:tcW w:w="1280" w:type="pct"/>
            <w:vAlign w:val="center"/>
          </w:tcPr>
          <w:p w14:paraId="32ECC47D">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s="Times New Roman"/>
                <w:color w:val="000000" w:themeColor="text1"/>
                <w:kern w:val="0"/>
                <w:sz w:val="21"/>
                <w:szCs w:val="21"/>
                <w:highlight w:val="none"/>
                <w:lang w:val="en-US" w:eastAsia="zh-CN" w:bidi="ar-SA"/>
              </w:rPr>
              <w:t>不涉及</w:t>
            </w:r>
          </w:p>
        </w:tc>
        <w:tc>
          <w:tcPr>
            <w:tcW w:w="863" w:type="pct"/>
            <w:shd w:val="clear" w:color="auto" w:fill="auto"/>
            <w:vAlign w:val="center"/>
          </w:tcPr>
          <w:p w14:paraId="1E8D49F8">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相当</w:t>
            </w:r>
          </w:p>
        </w:tc>
      </w:tr>
      <w:tr w14:paraId="3F1637EC">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6274EC3E">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4</w:t>
            </w:r>
          </w:p>
        </w:tc>
        <w:tc>
          <w:tcPr>
            <w:tcW w:w="1199" w:type="pct"/>
            <w:gridSpan w:val="2"/>
            <w:vAlign w:val="center"/>
          </w:tcPr>
          <w:p w14:paraId="77D2479F">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声环境</w:t>
            </w:r>
          </w:p>
        </w:tc>
        <w:tc>
          <w:tcPr>
            <w:tcW w:w="1246" w:type="pct"/>
            <w:shd w:val="clear" w:color="auto" w:fill="auto"/>
            <w:vAlign w:val="center"/>
          </w:tcPr>
          <w:p w14:paraId="0BE91856">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不涉及</w:t>
            </w:r>
          </w:p>
        </w:tc>
        <w:tc>
          <w:tcPr>
            <w:tcW w:w="1280" w:type="pct"/>
            <w:vAlign w:val="center"/>
          </w:tcPr>
          <w:p w14:paraId="6E538B97">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s="Times New Roman"/>
                <w:color w:val="000000" w:themeColor="text1"/>
                <w:kern w:val="0"/>
                <w:sz w:val="21"/>
                <w:szCs w:val="21"/>
                <w:highlight w:val="none"/>
                <w:lang w:val="en-US" w:eastAsia="zh-CN" w:bidi="ar-SA"/>
              </w:rPr>
              <w:t>不涉及</w:t>
            </w:r>
          </w:p>
        </w:tc>
        <w:tc>
          <w:tcPr>
            <w:tcW w:w="863" w:type="pct"/>
            <w:shd w:val="clear" w:color="auto" w:fill="auto"/>
            <w:vAlign w:val="center"/>
          </w:tcPr>
          <w:p w14:paraId="210BCDEC">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相当</w:t>
            </w:r>
          </w:p>
        </w:tc>
      </w:tr>
      <w:tr w14:paraId="42D3DCC7">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5143F75B">
            <w:pPr>
              <w:pageBreakBefore w:val="0"/>
              <w:widowControl/>
              <w:wordWrap/>
              <w:topLinePunct w:val="0"/>
              <w:bidi w:val="0"/>
              <w:spacing w:line="240" w:lineRule="auto"/>
              <w:ind w:firstLine="0" w:firstLineChars="0"/>
              <w:jc w:val="center"/>
              <w:rPr>
                <w:rFonts w:hint="eastAsia"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5</w:t>
            </w:r>
          </w:p>
        </w:tc>
        <w:tc>
          <w:tcPr>
            <w:tcW w:w="1199" w:type="pct"/>
            <w:gridSpan w:val="2"/>
            <w:vAlign w:val="center"/>
          </w:tcPr>
          <w:p w14:paraId="3F49D892">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水环境</w:t>
            </w:r>
          </w:p>
        </w:tc>
        <w:tc>
          <w:tcPr>
            <w:tcW w:w="1246" w:type="pct"/>
            <w:shd w:val="clear" w:color="auto" w:fill="auto"/>
            <w:vAlign w:val="center"/>
          </w:tcPr>
          <w:p w14:paraId="394291D4">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不涉及</w:t>
            </w:r>
          </w:p>
        </w:tc>
        <w:tc>
          <w:tcPr>
            <w:tcW w:w="1280" w:type="pct"/>
            <w:vAlign w:val="center"/>
          </w:tcPr>
          <w:p w14:paraId="1839AE86">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s="Times New Roman"/>
                <w:color w:val="000000" w:themeColor="text1"/>
                <w:kern w:val="0"/>
                <w:sz w:val="21"/>
                <w:szCs w:val="21"/>
                <w:highlight w:val="none"/>
                <w:lang w:val="en-US" w:eastAsia="zh-CN" w:bidi="ar-SA"/>
              </w:rPr>
              <w:t>不涉及</w:t>
            </w:r>
          </w:p>
        </w:tc>
        <w:tc>
          <w:tcPr>
            <w:tcW w:w="863" w:type="pct"/>
            <w:shd w:val="clear" w:color="auto" w:fill="auto"/>
            <w:vAlign w:val="center"/>
          </w:tcPr>
          <w:p w14:paraId="41759EDB">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相当</w:t>
            </w:r>
          </w:p>
        </w:tc>
      </w:tr>
      <w:tr w14:paraId="764EF662">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410" w:type="pct"/>
            <w:vAlign w:val="center"/>
          </w:tcPr>
          <w:p w14:paraId="492D5115">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color w:val="000000" w:themeColor="text1"/>
                <w:kern w:val="0"/>
                <w:sz w:val="21"/>
                <w:szCs w:val="21"/>
                <w:highlight w:val="none"/>
              </w:rPr>
              <w:t>6</w:t>
            </w:r>
          </w:p>
        </w:tc>
        <w:tc>
          <w:tcPr>
            <w:tcW w:w="1199" w:type="pct"/>
            <w:gridSpan w:val="2"/>
            <w:vAlign w:val="center"/>
          </w:tcPr>
          <w:p w14:paraId="2A15C726">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生态敏感区</w:t>
            </w:r>
          </w:p>
        </w:tc>
        <w:tc>
          <w:tcPr>
            <w:tcW w:w="1246" w:type="pct"/>
            <w:shd w:val="clear" w:color="auto" w:fill="auto"/>
            <w:vAlign w:val="center"/>
          </w:tcPr>
          <w:p w14:paraId="450F6105">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default" w:ascii="Times New Roman" w:hAnsi="Times New Roman" w:eastAsia="宋体" w:cs="Times New Roman"/>
                <w:color w:val="000000" w:themeColor="text1"/>
                <w:kern w:val="0"/>
                <w:sz w:val="21"/>
                <w:szCs w:val="21"/>
                <w:highlight w:val="none"/>
                <w:lang w:val="en-US" w:eastAsia="zh-CN" w:bidi="ar-SA"/>
              </w:rPr>
              <w:t>东北漫川漫岗省级水土流失重点治理区和鹤岗市水土流失重点预防区</w:t>
            </w:r>
          </w:p>
        </w:tc>
        <w:tc>
          <w:tcPr>
            <w:tcW w:w="1280" w:type="pct"/>
            <w:vAlign w:val="center"/>
          </w:tcPr>
          <w:p w14:paraId="7557EDEB">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default" w:ascii="Times New Roman" w:hAnsi="Times New Roman" w:eastAsia="宋体" w:cs="Times New Roman"/>
                <w:color w:val="000000" w:themeColor="text1"/>
                <w:kern w:val="0"/>
                <w:sz w:val="21"/>
                <w:szCs w:val="21"/>
                <w:highlight w:val="none"/>
                <w:lang w:val="en-US" w:eastAsia="zh-CN" w:bidi="ar-SA"/>
              </w:rPr>
              <w:t>东北漫川漫岗省级水土流失重点治理区和鹤岗市水土流失重点预防区</w:t>
            </w:r>
          </w:p>
        </w:tc>
        <w:tc>
          <w:tcPr>
            <w:tcW w:w="863" w:type="pct"/>
            <w:shd w:val="clear" w:color="auto" w:fill="auto"/>
            <w:vAlign w:val="center"/>
          </w:tcPr>
          <w:p w14:paraId="3D224301">
            <w:pPr>
              <w:pageBreakBefore w:val="0"/>
              <w:widowControl/>
              <w:wordWrap/>
              <w:topLinePunct w:val="0"/>
              <w:bidi w:val="0"/>
              <w:spacing w:line="240" w:lineRule="auto"/>
              <w:ind w:firstLine="0" w:firstLineChars="0"/>
              <w:jc w:val="center"/>
              <w:rPr>
                <w:rFonts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相当</w:t>
            </w:r>
          </w:p>
        </w:tc>
      </w:tr>
      <w:tr w14:paraId="370AE978">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trHeight w:val="340" w:hRule="atLeast"/>
        </w:trPr>
        <w:tc>
          <w:tcPr>
            <w:tcW w:w="1609" w:type="pct"/>
            <w:gridSpan w:val="3"/>
            <w:vAlign w:val="center"/>
          </w:tcPr>
          <w:p w14:paraId="3D55F22E">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结论</w:t>
            </w:r>
          </w:p>
        </w:tc>
        <w:tc>
          <w:tcPr>
            <w:tcW w:w="3390" w:type="pct"/>
            <w:gridSpan w:val="3"/>
            <w:shd w:val="clear" w:color="auto" w:fill="auto"/>
            <w:vAlign w:val="center"/>
          </w:tcPr>
          <w:p w14:paraId="069C811F">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推荐K方案</w:t>
            </w:r>
          </w:p>
        </w:tc>
      </w:tr>
    </w:tbl>
    <w:p w14:paraId="02543588">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比较结论：</w:t>
      </w:r>
    </w:p>
    <w:p w14:paraId="66A8A056">
      <w:pPr>
        <w:pageBreakBefore w:val="0"/>
        <w:wordWrap/>
        <w:topLinePunct w:val="0"/>
        <w:bidi w:val="0"/>
        <w:spacing w:line="360" w:lineRule="auto"/>
        <w:ind w:firstLine="482"/>
        <w:jc w:val="left"/>
        <w:rPr>
          <w:rFonts w:hint="eastAsia"/>
          <w:color w:val="000000" w:themeColor="text1"/>
          <w:highlight w:val="none"/>
          <w:lang w:val="en-US" w:eastAsia="zh-CN"/>
        </w:rPr>
      </w:pPr>
      <w:r>
        <w:rPr>
          <w:rFonts w:hint="eastAsia"/>
          <w:color w:val="000000" w:themeColor="text1"/>
          <w:highlight w:val="none"/>
          <w:lang w:val="en-US" w:eastAsia="zh-CN"/>
        </w:rPr>
        <w:t>综上所述，K方案在建设条件、交通安全、占用永久基本农田、运营效益、工程规模及造价、环境影响等方面均优于A方案，特别是占用永久基本农田较少，更符合我国的基本国策。并结合地方政府意见，推荐K方案为本路段的推荐方案。</w:t>
      </w:r>
    </w:p>
    <w:p w14:paraId="39C0E42C">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表2.</w:t>
      </w:r>
      <w:r>
        <w:rPr>
          <w:rFonts w:hint="eastAsia"/>
          <w:b/>
          <w:color w:val="000000" w:themeColor="text1"/>
          <w:highlight w:val="none"/>
        </w:rPr>
        <w:t>10</w:t>
      </w:r>
      <w:r>
        <w:rPr>
          <w:b/>
          <w:color w:val="000000" w:themeColor="text1"/>
          <w:highlight w:val="none"/>
        </w:rPr>
        <w:t>-</w:t>
      </w:r>
      <w:r>
        <w:rPr>
          <w:rFonts w:hint="eastAsia"/>
          <w:b/>
          <w:color w:val="000000" w:themeColor="text1"/>
          <w:highlight w:val="none"/>
          <w:lang w:val="en-US" w:eastAsia="zh-CN"/>
        </w:rPr>
        <w:t>3</w:t>
      </w:r>
      <w:r>
        <w:rPr>
          <w:b/>
          <w:color w:val="000000" w:themeColor="text1"/>
          <w:highlight w:val="none"/>
        </w:rPr>
        <w:t xml:space="preserve">  方案环境比选表</w:t>
      </w:r>
    </w:p>
    <w:tbl>
      <w:tblPr>
        <w:tblStyle w:val="33"/>
        <w:tblW w:w="4998"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28" w:type="dxa"/>
          <w:bottom w:w="0" w:type="dxa"/>
          <w:right w:w="28" w:type="dxa"/>
        </w:tblCellMar>
      </w:tblPr>
      <w:tblGrid>
        <w:gridCol w:w="3126"/>
        <w:gridCol w:w="2206"/>
        <w:gridCol w:w="1918"/>
        <w:gridCol w:w="1109"/>
      </w:tblGrid>
      <w:tr w14:paraId="7ECB2C8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PrEx>
        <w:trPr>
          <w:trHeight w:val="90" w:hRule="atLeast"/>
        </w:trPr>
        <w:tc>
          <w:tcPr>
            <w:tcW w:w="1869" w:type="pct"/>
            <w:tcBorders>
              <w:bottom w:val="single" w:color="000000" w:sz="12" w:space="0"/>
              <w:right w:val="nil"/>
              <w:tl2br w:val="single" w:color="000000" w:sz="12" w:space="0"/>
            </w:tcBorders>
            <w:vAlign w:val="center"/>
          </w:tcPr>
          <w:p w14:paraId="25DF832E">
            <w:pPr>
              <w:pStyle w:val="42"/>
              <w:spacing w:line="240" w:lineRule="auto"/>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ascii="Times New Roman" w:hAnsi="Times New Roman" w:eastAsia="宋体" w:cs="Times New Roman"/>
                <w:snapToGrid w:val="0"/>
                <w:color w:val="000000" w:themeColor="text1"/>
                <w:kern w:val="0"/>
                <w:sz w:val="21"/>
                <w:szCs w:val="21"/>
                <w:highlight w:val="none"/>
                <w:lang w:val="en-US" w:eastAsia="zh-CN" w:bidi="ar-SA"/>
              </w:rPr>
              <w:t>方案</w:t>
            </w:r>
          </w:p>
          <w:p w14:paraId="7A293C49">
            <w:pP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ascii="Times New Roman" w:hAnsi="Times New Roman" w:eastAsia="宋体" w:cs="Times New Roman"/>
                <w:snapToGrid w:val="0"/>
                <w:color w:val="000000" w:themeColor="text1"/>
                <w:kern w:val="0"/>
                <w:sz w:val="21"/>
                <w:szCs w:val="21"/>
                <w:highlight w:val="none"/>
                <w:lang w:val="en-US" w:eastAsia="zh-CN" w:bidi="ar-SA"/>
              </w:rPr>
              <w:t>内容</w:t>
            </w:r>
          </w:p>
        </w:tc>
        <w:tc>
          <w:tcPr>
            <w:tcW w:w="1319" w:type="pct"/>
            <w:tcBorders>
              <w:left w:val="nil"/>
              <w:right w:val="single" w:color="auto" w:sz="4" w:space="0"/>
            </w:tcBorders>
            <w:shd w:val="clear" w:color="auto" w:fill="auto"/>
            <w:vAlign w:val="center"/>
          </w:tcPr>
          <w:p w14:paraId="204D61D7">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ascii="Times New Roman" w:hAnsi="Times New Roman" w:eastAsia="宋体" w:cs="Times New Roman"/>
                <w:snapToGrid w:val="0"/>
                <w:color w:val="000000" w:themeColor="text1"/>
                <w:kern w:val="0"/>
                <w:sz w:val="21"/>
                <w:szCs w:val="21"/>
                <w:highlight w:val="none"/>
                <w:lang w:val="en-US" w:eastAsia="zh-CN" w:bidi="ar-SA"/>
              </w:rPr>
              <w:t>K方案</w:t>
            </w:r>
          </w:p>
        </w:tc>
        <w:tc>
          <w:tcPr>
            <w:tcW w:w="1147" w:type="pct"/>
            <w:shd w:val="clear" w:color="auto" w:fill="auto"/>
            <w:vAlign w:val="center"/>
          </w:tcPr>
          <w:p w14:paraId="75D591E1">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ascii="Times New Roman" w:hAnsi="Times New Roman" w:eastAsia="宋体" w:cs="Times New Roman"/>
                <w:snapToGrid w:val="0"/>
                <w:color w:val="000000" w:themeColor="text1"/>
                <w:kern w:val="0"/>
                <w:sz w:val="21"/>
                <w:szCs w:val="21"/>
                <w:highlight w:val="none"/>
                <w:lang w:val="en-US" w:eastAsia="zh-CN" w:bidi="ar-SA"/>
              </w:rPr>
              <w:t>A</w:t>
            </w:r>
            <w:r>
              <w:rPr>
                <w:rFonts w:ascii="Times New Roman" w:hAnsi="Times New Roman" w:eastAsia="宋体" w:cs="Times New Roman"/>
                <w:snapToGrid w:val="0"/>
                <w:color w:val="000000" w:themeColor="text1"/>
                <w:kern w:val="0"/>
                <w:sz w:val="21"/>
                <w:szCs w:val="21"/>
                <w:highlight w:val="none"/>
                <w:lang w:val="en-US" w:eastAsia="zh-CN" w:bidi="ar-SA"/>
              </w:rPr>
              <w:t>方案</w:t>
            </w:r>
          </w:p>
        </w:tc>
        <w:tc>
          <w:tcPr>
            <w:tcW w:w="663" w:type="pct"/>
            <w:vAlign w:val="center"/>
          </w:tcPr>
          <w:p w14:paraId="420B3FA8">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备注</w:t>
            </w:r>
          </w:p>
        </w:tc>
      </w:tr>
      <w:tr w14:paraId="2A829D3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tcBorders>
              <w:top w:val="single" w:color="000000" w:sz="12" w:space="0"/>
            </w:tcBorders>
            <w:vAlign w:val="center"/>
          </w:tcPr>
          <w:p w14:paraId="378E63C9">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建设条件</w:t>
            </w:r>
          </w:p>
        </w:tc>
        <w:tc>
          <w:tcPr>
            <w:tcW w:w="1319" w:type="pct"/>
            <w:tcBorders>
              <w:right w:val="single" w:color="auto" w:sz="4" w:space="0"/>
            </w:tcBorders>
            <w:vAlign w:val="center"/>
          </w:tcPr>
          <w:p w14:paraId="07A461AA">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vAlign w:val="center"/>
          </w:tcPr>
          <w:p w14:paraId="4AF6CCC1">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vAlign w:val="center"/>
          </w:tcPr>
          <w:p w14:paraId="2FBB4DAF">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394E170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0AED34DD">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平、纵面线形指标</w:t>
            </w:r>
          </w:p>
        </w:tc>
        <w:tc>
          <w:tcPr>
            <w:tcW w:w="1319" w:type="pct"/>
            <w:tcBorders>
              <w:top w:val="single" w:color="auto" w:sz="4" w:space="0"/>
              <w:bottom w:val="single" w:color="auto" w:sz="4" w:space="0"/>
              <w:right w:val="single" w:color="auto" w:sz="4" w:space="0"/>
            </w:tcBorders>
            <w:vAlign w:val="center"/>
          </w:tcPr>
          <w:p w14:paraId="606CE09E">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tcBorders>
              <w:top w:val="single" w:color="auto" w:sz="4" w:space="0"/>
              <w:bottom w:val="single" w:color="auto" w:sz="4" w:space="0"/>
            </w:tcBorders>
            <w:vAlign w:val="center"/>
          </w:tcPr>
          <w:p w14:paraId="4DEAA9E7">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tcBorders>
              <w:top w:val="single" w:color="auto" w:sz="4" w:space="0"/>
              <w:bottom w:val="single" w:color="auto" w:sz="4" w:space="0"/>
            </w:tcBorders>
            <w:vAlign w:val="center"/>
          </w:tcPr>
          <w:p w14:paraId="38C36E69">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3938AF6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50DC1F34">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交通安全</w:t>
            </w:r>
          </w:p>
        </w:tc>
        <w:tc>
          <w:tcPr>
            <w:tcW w:w="1319" w:type="pct"/>
            <w:tcBorders>
              <w:top w:val="single" w:color="auto" w:sz="4" w:space="0"/>
              <w:bottom w:val="single" w:color="auto" w:sz="4" w:space="0"/>
              <w:right w:val="single" w:color="auto" w:sz="4" w:space="0"/>
            </w:tcBorders>
            <w:vAlign w:val="center"/>
          </w:tcPr>
          <w:p w14:paraId="3B62E2B1">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tcBorders>
              <w:top w:val="single" w:color="auto" w:sz="4" w:space="0"/>
              <w:bottom w:val="single" w:color="auto" w:sz="4" w:space="0"/>
            </w:tcBorders>
            <w:vAlign w:val="center"/>
          </w:tcPr>
          <w:p w14:paraId="57639799">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tcBorders>
              <w:top w:val="single" w:color="auto" w:sz="4" w:space="0"/>
              <w:bottom w:val="single" w:color="auto" w:sz="4" w:space="0"/>
            </w:tcBorders>
            <w:vAlign w:val="center"/>
          </w:tcPr>
          <w:p w14:paraId="557F8307">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6940F90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115E9EB7">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占用国家永久基本农田</w:t>
            </w:r>
          </w:p>
        </w:tc>
        <w:tc>
          <w:tcPr>
            <w:tcW w:w="1319" w:type="pct"/>
            <w:tcBorders>
              <w:top w:val="single" w:color="auto" w:sz="4" w:space="0"/>
              <w:bottom w:val="single" w:color="auto" w:sz="4" w:space="0"/>
              <w:right w:val="single" w:color="auto" w:sz="4" w:space="0"/>
            </w:tcBorders>
            <w:vAlign w:val="center"/>
          </w:tcPr>
          <w:p w14:paraId="0123C89D">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tcBorders>
              <w:top w:val="single" w:color="auto" w:sz="4" w:space="0"/>
              <w:bottom w:val="single" w:color="auto" w:sz="4" w:space="0"/>
            </w:tcBorders>
            <w:vAlign w:val="center"/>
          </w:tcPr>
          <w:p w14:paraId="65AD69DF">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tcBorders>
              <w:top w:val="single" w:color="auto" w:sz="4" w:space="0"/>
              <w:bottom w:val="single" w:color="auto" w:sz="4" w:space="0"/>
            </w:tcBorders>
            <w:vAlign w:val="center"/>
          </w:tcPr>
          <w:p w14:paraId="611CF2DE">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03D7AF2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32EC74BB">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运营效益</w:t>
            </w:r>
          </w:p>
        </w:tc>
        <w:tc>
          <w:tcPr>
            <w:tcW w:w="1319" w:type="pct"/>
            <w:tcBorders>
              <w:top w:val="single" w:color="auto" w:sz="4" w:space="0"/>
              <w:bottom w:val="single" w:color="auto" w:sz="4" w:space="0"/>
              <w:right w:val="single" w:color="auto" w:sz="4" w:space="0"/>
            </w:tcBorders>
            <w:vAlign w:val="center"/>
          </w:tcPr>
          <w:p w14:paraId="2FD51FA9">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tcBorders>
              <w:top w:val="single" w:color="auto" w:sz="4" w:space="0"/>
              <w:bottom w:val="single" w:color="auto" w:sz="4" w:space="0"/>
            </w:tcBorders>
            <w:vAlign w:val="center"/>
          </w:tcPr>
          <w:p w14:paraId="392B9DCE">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tcBorders>
              <w:top w:val="single" w:color="auto" w:sz="4" w:space="0"/>
              <w:bottom w:val="single" w:color="auto" w:sz="4" w:space="0"/>
            </w:tcBorders>
            <w:vAlign w:val="center"/>
          </w:tcPr>
          <w:p w14:paraId="31C842D8">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26F0A0D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0B801F63">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工程造价</w:t>
            </w:r>
          </w:p>
        </w:tc>
        <w:tc>
          <w:tcPr>
            <w:tcW w:w="1319" w:type="pct"/>
            <w:tcBorders>
              <w:top w:val="single" w:color="auto" w:sz="4" w:space="0"/>
              <w:bottom w:val="single" w:color="auto" w:sz="4" w:space="0"/>
              <w:right w:val="single" w:color="auto" w:sz="4" w:space="0"/>
            </w:tcBorders>
            <w:vAlign w:val="center"/>
          </w:tcPr>
          <w:p w14:paraId="5B0B06C1">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tcBorders>
              <w:top w:val="single" w:color="auto" w:sz="4" w:space="0"/>
              <w:bottom w:val="single" w:color="auto" w:sz="4" w:space="0"/>
            </w:tcBorders>
            <w:vAlign w:val="center"/>
          </w:tcPr>
          <w:p w14:paraId="21B63BF2">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tcBorders>
              <w:top w:val="single" w:color="auto" w:sz="4" w:space="0"/>
              <w:bottom w:val="single" w:color="auto" w:sz="4" w:space="0"/>
            </w:tcBorders>
            <w:vAlign w:val="center"/>
          </w:tcPr>
          <w:p w14:paraId="13C2033B">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7911624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3C1F20D4">
            <w:pPr>
              <w:pageBreakBefore w:val="0"/>
              <w:kinsoku w:val="0"/>
              <w:wordWrap/>
              <w:overflowPunct w:val="0"/>
              <w:topLinePunct w:val="0"/>
              <w:autoSpaceDE w:val="0"/>
              <w:autoSpaceDN w:val="0"/>
              <w:bidi w:val="0"/>
              <w:spacing w:line="240" w:lineRule="auto"/>
              <w:ind w:firstLine="0" w:firstLineChars="0"/>
              <w:jc w:val="center"/>
              <w:rPr>
                <w:rFonts w:hint="default"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环境影响</w:t>
            </w:r>
          </w:p>
        </w:tc>
        <w:tc>
          <w:tcPr>
            <w:tcW w:w="1319" w:type="pct"/>
            <w:tcBorders>
              <w:top w:val="single" w:color="auto" w:sz="4" w:space="0"/>
              <w:bottom w:val="single" w:color="auto" w:sz="4" w:space="0"/>
              <w:right w:val="single" w:color="auto" w:sz="4" w:space="0"/>
            </w:tcBorders>
            <w:shd w:val="clear" w:color="auto" w:fill="auto"/>
            <w:vAlign w:val="center"/>
          </w:tcPr>
          <w:p w14:paraId="5DED19FD">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1147" w:type="pct"/>
            <w:tcBorders>
              <w:top w:val="single" w:color="auto" w:sz="4" w:space="0"/>
              <w:bottom w:val="single" w:color="auto" w:sz="4" w:space="0"/>
            </w:tcBorders>
            <w:shd w:val="clear" w:color="auto" w:fill="auto"/>
            <w:vAlign w:val="center"/>
          </w:tcPr>
          <w:p w14:paraId="742D2584">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b w:val="0"/>
                <w:color w:val="000000" w:themeColor="text1"/>
                <w:kern w:val="2"/>
                <w:sz w:val="24"/>
                <w:szCs w:val="24"/>
                <w:highlight w:val="none"/>
                <w:lang w:val="en-US" w:eastAsia="zh-CN" w:bidi="ar-SA"/>
              </w:rPr>
              <w:t>○</w:t>
            </w:r>
          </w:p>
        </w:tc>
        <w:tc>
          <w:tcPr>
            <w:tcW w:w="663" w:type="pct"/>
            <w:tcBorders>
              <w:top w:val="single" w:color="auto" w:sz="4" w:space="0"/>
              <w:bottom w:val="single" w:color="auto" w:sz="4" w:space="0"/>
            </w:tcBorders>
            <w:vAlign w:val="center"/>
          </w:tcPr>
          <w:p w14:paraId="08A798F2">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r w14:paraId="272D8D1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28" w:type="dxa"/>
            <w:bottom w:w="0" w:type="dxa"/>
            <w:right w:w="28" w:type="dxa"/>
          </w:tblCellMar>
        </w:tblPrEx>
        <w:trPr>
          <w:trHeight w:val="340" w:hRule="atLeast"/>
        </w:trPr>
        <w:tc>
          <w:tcPr>
            <w:tcW w:w="1869" w:type="pct"/>
            <w:vAlign w:val="center"/>
          </w:tcPr>
          <w:p w14:paraId="431879BD">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结论</w:t>
            </w:r>
          </w:p>
        </w:tc>
        <w:tc>
          <w:tcPr>
            <w:tcW w:w="1319" w:type="pct"/>
            <w:tcBorders>
              <w:top w:val="single" w:color="auto" w:sz="4" w:space="0"/>
              <w:right w:val="single" w:color="auto" w:sz="4" w:space="0"/>
            </w:tcBorders>
            <w:vAlign w:val="center"/>
          </w:tcPr>
          <w:p w14:paraId="09279C0F">
            <w:pPr>
              <w:pageBreakBefore w:val="0"/>
              <w:kinsoku w:val="0"/>
              <w:wordWrap/>
              <w:overflowPunct w:val="0"/>
              <w:topLinePunct w:val="0"/>
              <w:autoSpaceDE w:val="0"/>
              <w:autoSpaceDN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eastAsia" w:cs="Times New Roman"/>
                <w:snapToGrid w:val="0"/>
                <w:color w:val="000000" w:themeColor="text1"/>
                <w:kern w:val="0"/>
                <w:sz w:val="21"/>
                <w:szCs w:val="21"/>
                <w:highlight w:val="none"/>
                <w:lang w:val="en-US" w:eastAsia="zh-CN" w:bidi="ar-SA"/>
              </w:rPr>
              <w:t>推荐</w:t>
            </w:r>
          </w:p>
        </w:tc>
        <w:tc>
          <w:tcPr>
            <w:tcW w:w="1147" w:type="pct"/>
            <w:tcBorders>
              <w:top w:val="single" w:color="auto" w:sz="4" w:space="0"/>
            </w:tcBorders>
            <w:vAlign w:val="center"/>
          </w:tcPr>
          <w:p w14:paraId="76AF72F5">
            <w:pPr>
              <w:pageBreakBefore w:val="0"/>
              <w:kinsoku w:val="0"/>
              <w:wordWrap/>
              <w:overflowPunct w:val="0"/>
              <w:topLinePunct w:val="0"/>
              <w:autoSpaceDE w:val="0"/>
              <w:autoSpaceDN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p>
        </w:tc>
        <w:tc>
          <w:tcPr>
            <w:tcW w:w="663" w:type="pct"/>
            <w:tcBorders>
              <w:top w:val="single" w:color="auto" w:sz="4" w:space="0"/>
            </w:tcBorders>
            <w:vAlign w:val="center"/>
          </w:tcPr>
          <w:p w14:paraId="23F9F9E3">
            <w:pPr>
              <w:pageBreakBefore w:val="0"/>
              <w:kinsoku w:val="0"/>
              <w:wordWrap/>
              <w:overflowPunct w:val="0"/>
              <w:topLinePunct w:val="0"/>
              <w:autoSpaceDE w:val="0"/>
              <w:autoSpaceDN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p>
        </w:tc>
      </w:tr>
    </w:tbl>
    <w:p w14:paraId="7F10A02F">
      <w:pPr>
        <w:pStyle w:val="4"/>
        <w:pageBreakBefore w:val="0"/>
        <w:wordWrap/>
        <w:topLinePunct w:val="0"/>
        <w:bidi w:val="0"/>
        <w:spacing w:before="156" w:line="360" w:lineRule="auto"/>
        <w:rPr>
          <w:rFonts w:hint="default" w:ascii="Times New Roman" w:hAnsi="Times New Roman" w:eastAsia="宋体" w:cs="Times New Roman"/>
          <w:b w:val="0"/>
          <w:color w:val="000000" w:themeColor="text1"/>
          <w:kern w:val="2"/>
          <w:sz w:val="16"/>
          <w:szCs w:val="16"/>
          <w:highlight w:val="none"/>
          <w:lang w:val="en-US" w:eastAsia="zh-CN" w:bidi="ar-SA"/>
        </w:rPr>
      </w:pPr>
      <w:r>
        <w:rPr>
          <w:rFonts w:hint="eastAsia" w:cs="Times New Roman"/>
          <w:b w:val="0"/>
          <w:color w:val="000000" w:themeColor="text1"/>
          <w:kern w:val="2"/>
          <w:sz w:val="16"/>
          <w:szCs w:val="16"/>
          <w:highlight w:val="none"/>
          <w:lang w:val="en-US" w:eastAsia="zh-CN" w:bidi="ar-SA"/>
        </w:rPr>
        <w:t>注：优●，劣○</w:t>
      </w:r>
    </w:p>
    <w:p w14:paraId="2144C1E3">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2.10.</w:t>
      </w:r>
      <w:r>
        <w:rPr>
          <w:rFonts w:hint="eastAsia"/>
          <w:color w:val="000000" w:themeColor="text1"/>
          <w:highlight w:val="none"/>
          <w:lang w:val="en-US" w:eastAsia="zh-CN"/>
        </w:rPr>
        <w:t>3</w:t>
      </w:r>
      <w:r>
        <w:rPr>
          <w:color w:val="000000" w:themeColor="text1"/>
          <w:highlight w:val="none"/>
        </w:rPr>
        <w:t>小结</w:t>
      </w:r>
    </w:p>
    <w:p w14:paraId="52EB4DC9">
      <w:pPr>
        <w:pageBreakBefore w:val="0"/>
        <w:wordWrap/>
        <w:topLinePunct w:val="0"/>
        <w:bidi w:val="0"/>
        <w:spacing w:line="360" w:lineRule="auto"/>
        <w:rPr>
          <w:color w:val="000000" w:themeColor="text1"/>
          <w:highlight w:val="none"/>
        </w:rPr>
      </w:pPr>
      <w:r>
        <w:rPr>
          <w:color w:val="000000" w:themeColor="text1"/>
          <w:highlight w:val="none"/>
        </w:rPr>
        <w:t>综上所述，本项目属于</w:t>
      </w:r>
      <w:r>
        <w:rPr>
          <w:rFonts w:hint="eastAsia"/>
          <w:color w:val="000000" w:themeColor="text1"/>
          <w:highlight w:val="none"/>
          <w:lang w:val="en-US" w:eastAsia="zh-CN"/>
        </w:rPr>
        <w:t>鹤岗机场对外界交通联系的</w:t>
      </w:r>
      <w:r>
        <w:rPr>
          <w:rFonts w:hint="eastAsia"/>
          <w:color w:val="000000" w:themeColor="text1"/>
          <w:highlight w:val="none"/>
        </w:rPr>
        <w:t>重要组成部分</w:t>
      </w:r>
      <w:r>
        <w:rPr>
          <w:color w:val="000000" w:themeColor="text1"/>
          <w:highlight w:val="none"/>
        </w:rPr>
        <w:t>。</w:t>
      </w:r>
      <w:r>
        <w:rPr>
          <w:rFonts w:hint="eastAsia"/>
          <w:color w:val="000000" w:themeColor="text1"/>
          <w:highlight w:val="none"/>
          <w:lang w:val="en-US" w:eastAsia="zh-CN"/>
        </w:rPr>
        <w:t>由于本项目线路方案有里程短，控制点连接合理，具有科学、经济、合理等特点。对于K0+000~K2+825段路线方案比选，K方案在建设条件、交通安全、占用永久基本农田、运营效益、工程规模及造价、生态环境等方面均优于A方案，特别是占用永久基本农田较少，更符合我国的基本国策。并结合地方政府意见，推荐K方案为本路段的推荐方案。</w:t>
      </w:r>
    </w:p>
    <w:p w14:paraId="011613CB">
      <w:pPr>
        <w:pStyle w:val="3"/>
        <w:pageBreakBefore w:val="0"/>
        <w:wordWrap/>
        <w:topLinePunct w:val="0"/>
        <w:bidi w:val="0"/>
        <w:spacing w:line="360" w:lineRule="auto"/>
        <w:rPr>
          <w:color w:val="000000" w:themeColor="text1"/>
          <w:highlight w:val="none"/>
        </w:rPr>
      </w:pPr>
      <w:bookmarkStart w:id="208" w:name="_Toc16385"/>
      <w:r>
        <w:rPr>
          <w:rFonts w:hint="eastAsia"/>
          <w:color w:val="000000" w:themeColor="text1"/>
          <w:highlight w:val="none"/>
        </w:rPr>
        <w:t>2.11穿越</w:t>
      </w:r>
      <w:r>
        <w:rPr>
          <w:rFonts w:hint="eastAsia"/>
          <w:color w:val="000000" w:themeColor="text1"/>
          <w:highlight w:val="none"/>
          <w:lang w:val="en-US" w:eastAsia="zh-CN"/>
        </w:rPr>
        <w:t>永久基本农田</w:t>
      </w:r>
      <w:r>
        <w:rPr>
          <w:rFonts w:hint="eastAsia"/>
          <w:color w:val="000000" w:themeColor="text1"/>
          <w:highlight w:val="none"/>
        </w:rPr>
        <w:t>合理性分析</w:t>
      </w:r>
      <w:bookmarkEnd w:id="208"/>
    </w:p>
    <w:p w14:paraId="4A9B12F1">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2.11.1穿越</w:t>
      </w:r>
      <w:r>
        <w:rPr>
          <w:rFonts w:hint="eastAsia"/>
          <w:color w:val="000000" w:themeColor="text1"/>
          <w:highlight w:val="none"/>
          <w:lang w:val="en-US" w:eastAsia="zh-CN"/>
        </w:rPr>
        <w:t>永久基本农田</w:t>
      </w:r>
      <w:r>
        <w:rPr>
          <w:rFonts w:hint="eastAsia"/>
          <w:color w:val="000000" w:themeColor="text1"/>
          <w:highlight w:val="none"/>
        </w:rPr>
        <w:t>不可避让性分析</w:t>
      </w:r>
    </w:p>
    <w:p w14:paraId="0D944ACE">
      <w:pPr>
        <w:pageBreakBefore w:val="0"/>
        <w:wordWrap/>
        <w:topLinePunct w:val="0"/>
        <w:bidi w:val="0"/>
        <w:spacing w:line="360" w:lineRule="auto"/>
        <w:rPr>
          <w:color w:val="000000" w:themeColor="text1"/>
          <w:highlight w:val="none"/>
        </w:rPr>
      </w:pPr>
      <w:r>
        <w:rPr>
          <w:color w:val="000000" w:themeColor="text1"/>
          <w:highlight w:val="none"/>
        </w:rPr>
        <w:t>本项目在工可和初步设计阶段均已对项目用地选线方面进行过多次论证，按照</w:t>
      </w:r>
      <w:r>
        <w:rPr>
          <w:rFonts w:hint="eastAsia"/>
          <w:color w:val="000000" w:themeColor="text1"/>
          <w:highlight w:val="none"/>
          <w:lang w:eastAsia="zh-CN"/>
        </w:rPr>
        <w:t>“</w:t>
      </w:r>
      <w:r>
        <w:rPr>
          <w:color w:val="000000" w:themeColor="text1"/>
          <w:highlight w:val="none"/>
        </w:rPr>
        <w:t>少占或不占耕地</w:t>
      </w:r>
      <w:r>
        <w:rPr>
          <w:rFonts w:hint="eastAsia"/>
          <w:color w:val="000000" w:themeColor="text1"/>
          <w:highlight w:val="none"/>
          <w:lang w:eastAsia="zh-CN"/>
        </w:rPr>
        <w:t>”</w:t>
      </w:r>
      <w:r>
        <w:rPr>
          <w:color w:val="000000" w:themeColor="text1"/>
          <w:highlight w:val="none"/>
        </w:rPr>
        <w:t>、</w:t>
      </w:r>
      <w:r>
        <w:rPr>
          <w:rFonts w:hint="eastAsia"/>
          <w:color w:val="000000" w:themeColor="text1"/>
          <w:highlight w:val="none"/>
          <w:lang w:eastAsia="zh-CN"/>
        </w:rPr>
        <w:t>“</w:t>
      </w:r>
      <w:r>
        <w:rPr>
          <w:color w:val="000000" w:themeColor="text1"/>
          <w:highlight w:val="none"/>
        </w:rPr>
        <w:t>能占劣地不占好地</w:t>
      </w:r>
      <w:r>
        <w:rPr>
          <w:rFonts w:hint="eastAsia"/>
          <w:color w:val="000000" w:themeColor="text1"/>
          <w:highlight w:val="none"/>
          <w:lang w:eastAsia="zh-CN"/>
        </w:rPr>
        <w:t>”</w:t>
      </w:r>
      <w:r>
        <w:rPr>
          <w:color w:val="000000" w:themeColor="text1"/>
          <w:highlight w:val="none"/>
        </w:rPr>
        <w:t>的原则，对项目选线进一步优化，尽量避免占用</w:t>
      </w:r>
      <w:r>
        <w:rPr>
          <w:rFonts w:hint="eastAsia"/>
          <w:color w:val="000000" w:themeColor="text1"/>
          <w:highlight w:val="none"/>
        </w:rPr>
        <w:t>永久</w:t>
      </w:r>
      <w:r>
        <w:rPr>
          <w:color w:val="000000" w:themeColor="text1"/>
          <w:highlight w:val="none"/>
        </w:rPr>
        <w:t>基本农田。</w:t>
      </w:r>
    </w:p>
    <w:p w14:paraId="3F8F8C08">
      <w:pPr>
        <w:pageBreakBefore w:val="0"/>
        <w:wordWrap/>
        <w:topLinePunct w:val="0"/>
        <w:bidi w:val="0"/>
        <w:spacing w:line="360" w:lineRule="auto"/>
        <w:rPr>
          <w:color w:val="000000" w:themeColor="text1"/>
          <w:highlight w:val="none"/>
        </w:rPr>
      </w:pPr>
      <w:r>
        <w:rPr>
          <w:color w:val="000000" w:themeColor="text1"/>
          <w:highlight w:val="none"/>
        </w:rPr>
        <w:t>在统筹项目建设工程技术等特殊要求的限制下，仍占用</w:t>
      </w:r>
      <w:r>
        <w:rPr>
          <w:rFonts w:hint="eastAsia"/>
          <w:color w:val="000000" w:themeColor="text1"/>
          <w:highlight w:val="none"/>
        </w:rPr>
        <w:t>永久</w:t>
      </w:r>
      <w:r>
        <w:rPr>
          <w:color w:val="000000" w:themeColor="text1"/>
          <w:highlight w:val="none"/>
        </w:rPr>
        <w:t>基本农田。经分析，项目无法避免占用</w:t>
      </w:r>
      <w:r>
        <w:rPr>
          <w:rFonts w:hint="eastAsia"/>
          <w:color w:val="000000" w:themeColor="text1"/>
          <w:highlight w:val="none"/>
        </w:rPr>
        <w:t>永久</w:t>
      </w:r>
      <w:r>
        <w:rPr>
          <w:color w:val="000000" w:themeColor="text1"/>
          <w:highlight w:val="none"/>
        </w:rPr>
        <w:t>基本农田主要原因</w:t>
      </w:r>
      <w:r>
        <w:rPr>
          <w:rFonts w:hint="eastAsia"/>
          <w:color w:val="000000" w:themeColor="text1"/>
          <w:highlight w:val="none"/>
          <w:lang w:val="en-US" w:eastAsia="zh-CN"/>
        </w:rPr>
        <w:t>如下</w:t>
      </w:r>
      <w:r>
        <w:rPr>
          <w:color w:val="000000" w:themeColor="text1"/>
          <w:highlight w:val="none"/>
        </w:rPr>
        <w:t>：</w:t>
      </w:r>
    </w:p>
    <w:p w14:paraId="5880ADE5">
      <w:pPr>
        <w:pageBreakBefore w:val="0"/>
        <w:wordWrap/>
        <w:topLinePunct w:val="0"/>
        <w:bidi w:val="0"/>
        <w:spacing w:line="360" w:lineRule="auto"/>
        <w:rPr>
          <w:color w:val="000000" w:themeColor="text1"/>
          <w:highlight w:val="none"/>
        </w:rPr>
      </w:pPr>
      <w:r>
        <w:rPr>
          <w:rFonts w:hint="eastAsia"/>
          <w:color w:val="000000" w:themeColor="text1"/>
          <w:highlight w:val="none"/>
        </w:rPr>
        <w:t>本路段总体设计原则</w:t>
      </w:r>
      <w:r>
        <w:rPr>
          <w:rFonts w:hint="eastAsia"/>
          <w:color w:val="000000" w:themeColor="text1"/>
          <w:highlight w:val="none"/>
          <w:lang w:eastAsia="zh-CN"/>
        </w:rPr>
        <w:t>：</w:t>
      </w:r>
      <w:r>
        <w:rPr>
          <w:rFonts w:hint="eastAsia"/>
          <w:color w:val="000000" w:themeColor="text1"/>
          <w:highlight w:val="none"/>
        </w:rPr>
        <w:t>根据“工可研”批复确定路线走向</w:t>
      </w:r>
      <w:r>
        <w:rPr>
          <w:rFonts w:hint="eastAsia"/>
          <w:color w:val="000000" w:themeColor="text1"/>
          <w:highlight w:val="none"/>
          <w:lang w:eastAsia="zh-CN"/>
        </w:rPr>
        <w:t>（</w:t>
      </w:r>
      <w:r>
        <w:rPr>
          <w:rFonts w:hint="eastAsia"/>
          <w:color w:val="000000" w:themeColor="text1"/>
          <w:highlight w:val="none"/>
        </w:rPr>
        <w:t>起终点、中间控制点</w:t>
      </w:r>
      <w:r>
        <w:rPr>
          <w:rFonts w:hint="eastAsia"/>
          <w:color w:val="000000" w:themeColor="text1"/>
          <w:highlight w:val="none"/>
          <w:lang w:eastAsia="zh-CN"/>
        </w:rPr>
        <w:t>）</w:t>
      </w:r>
      <w:r>
        <w:rPr>
          <w:rFonts w:hint="eastAsia"/>
          <w:color w:val="000000" w:themeColor="text1"/>
          <w:highlight w:val="none"/>
        </w:rPr>
        <w:t>、公路等级，结合地形、地质、水文、地物及地方规划等条件，综合考虑排水、防护设计、桥梁涵洞及平面交叉的设置。本着“安全、环保、舒适、和谐”的要求，以“安全性、服务性、地区特性、整体协调性和自然性”的总体设计原则，把安全放在首位</w:t>
      </w:r>
      <w:r>
        <w:rPr>
          <w:rFonts w:hint="eastAsia"/>
          <w:color w:val="000000" w:themeColor="text1"/>
          <w:highlight w:val="none"/>
          <w:lang w:eastAsia="zh-CN"/>
        </w:rPr>
        <w:t>；</w:t>
      </w:r>
      <w:r>
        <w:rPr>
          <w:rFonts w:hint="eastAsia"/>
          <w:color w:val="000000" w:themeColor="text1"/>
          <w:highlight w:val="none"/>
        </w:rPr>
        <w:t>尽量少占农田，减少拆迁，尽量避免干扰居民生产生活，促进社会经济发展</w:t>
      </w:r>
      <w:r>
        <w:rPr>
          <w:rFonts w:hint="eastAsia"/>
          <w:color w:val="000000" w:themeColor="text1"/>
          <w:highlight w:val="none"/>
          <w:lang w:eastAsia="zh-CN"/>
        </w:rPr>
        <w:t>；</w:t>
      </w:r>
      <w:r>
        <w:rPr>
          <w:rFonts w:hint="eastAsia"/>
          <w:color w:val="000000" w:themeColor="text1"/>
          <w:highlight w:val="none"/>
        </w:rPr>
        <w:t>尊重地区的传统、风俗习惯</w:t>
      </w:r>
      <w:r>
        <w:rPr>
          <w:rFonts w:hint="eastAsia"/>
          <w:color w:val="000000" w:themeColor="text1"/>
          <w:highlight w:val="none"/>
          <w:lang w:eastAsia="zh-CN"/>
        </w:rPr>
        <w:t>；</w:t>
      </w:r>
      <w:r>
        <w:rPr>
          <w:rFonts w:hint="eastAsia"/>
          <w:color w:val="000000" w:themeColor="text1"/>
          <w:highlight w:val="none"/>
        </w:rPr>
        <w:t>力求公路工程与自然景观相协调，保护并完善原有自然环境，使公路主体与原有自然及社会环境相融洽，充分理解“不破坏就是最大的保护”这一理念，营造出优美的交通环境。</w:t>
      </w:r>
    </w:p>
    <w:p w14:paraId="3CD3969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根据</w:t>
      </w:r>
      <w:r>
        <w:rPr>
          <w:rFonts w:hint="eastAsia"/>
          <w:color w:val="000000" w:themeColor="text1"/>
          <w:highlight w:val="none"/>
          <w:lang w:val="en-US" w:eastAsia="zh-CN"/>
        </w:rPr>
        <w:t>《新建黑龙江鹤岗机场总体规划》中10.2 机场对外交通系统 在机场南部东西走向的鹤名公路，修建一条约6.54km的进场路与机场航站楼垂直衔接，建设标准为二级公路，沥青混凝土路面，路面宽度10.5m，可以满足机场近、远期发展需要。机场没有建设地铁或轻轨等其它交通设施的需求。</w:t>
      </w:r>
    </w:p>
    <w:p w14:paraId="6214F45B">
      <w:pPr>
        <w:pageBreakBefore w:val="0"/>
        <w:wordWrap/>
        <w:topLinePunct w:val="0"/>
        <w:bidi w:val="0"/>
        <w:spacing w:line="360" w:lineRule="auto"/>
        <w:rPr>
          <w:color w:val="000000" w:themeColor="text1"/>
          <w:highlight w:val="none"/>
        </w:rPr>
      </w:pPr>
      <w:r>
        <w:rPr>
          <w:rFonts w:hint="eastAsia"/>
          <w:color w:val="000000" w:themeColor="text1"/>
          <w:highlight w:val="none"/>
        </w:rPr>
        <w:t>本项目布线选址已遵循以上原则少占耕地和永久基本农田，尽可能节约集约用地和保持沿线自然环境原貌，但同时，路线总体设计也必须结合沿线城镇规划、地方经济发展、地质地形选线、减少拆迁影响和降低工程实施难度等，布置于综合效益较大的城镇边沿地带，而线路</w:t>
      </w:r>
      <w:r>
        <w:rPr>
          <w:color w:val="000000" w:themeColor="text1"/>
          <w:highlight w:val="none"/>
        </w:rPr>
        <w:t>途经</w:t>
      </w:r>
      <w:r>
        <w:rPr>
          <w:rFonts w:hint="eastAsia"/>
          <w:color w:val="000000" w:themeColor="text1"/>
          <w:highlight w:val="none"/>
        </w:rPr>
        <w:t>地区主要</w:t>
      </w:r>
      <w:r>
        <w:rPr>
          <w:color w:val="000000" w:themeColor="text1"/>
          <w:highlight w:val="none"/>
        </w:rPr>
        <w:t>为</w:t>
      </w:r>
      <w:r>
        <w:rPr>
          <w:rFonts w:hint="eastAsia"/>
          <w:color w:val="000000" w:themeColor="text1"/>
          <w:highlight w:val="none"/>
        </w:rPr>
        <w:t>农用地，尤其是永久基本农田分布较为集中的区域，这是本项目涉及占用较多耕地和永久基本农田的主要原因之一。</w:t>
      </w:r>
    </w:p>
    <w:p w14:paraId="48B988B5">
      <w:pPr>
        <w:pageBreakBefore w:val="0"/>
        <w:wordWrap/>
        <w:topLinePunct w:val="0"/>
        <w:bidi w:val="0"/>
        <w:spacing w:line="360" w:lineRule="auto"/>
        <w:rPr>
          <w:color w:val="000000" w:themeColor="text1"/>
          <w:highlight w:val="none"/>
        </w:rPr>
      </w:pPr>
      <w:r>
        <w:rPr>
          <w:rFonts w:hint="eastAsia"/>
          <w:color w:val="000000" w:themeColor="text1"/>
          <w:highlight w:val="none"/>
        </w:rPr>
        <w:t>综上所述，项目选址虽严格按照</w:t>
      </w:r>
      <w:r>
        <w:rPr>
          <w:rFonts w:hint="eastAsia"/>
          <w:color w:val="000000" w:themeColor="text1"/>
          <w:highlight w:val="none"/>
          <w:lang w:eastAsia="zh-CN"/>
        </w:rPr>
        <w:t>“</w:t>
      </w:r>
      <w:r>
        <w:rPr>
          <w:rFonts w:hint="eastAsia"/>
          <w:color w:val="000000" w:themeColor="text1"/>
          <w:highlight w:val="none"/>
        </w:rPr>
        <w:t>少占或不占耕地</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能占劣地不占好地</w:t>
      </w:r>
      <w:r>
        <w:rPr>
          <w:rFonts w:hint="eastAsia"/>
          <w:color w:val="000000" w:themeColor="text1"/>
          <w:highlight w:val="none"/>
          <w:lang w:eastAsia="zh-CN"/>
        </w:rPr>
        <w:t>”</w:t>
      </w:r>
      <w:r>
        <w:rPr>
          <w:rFonts w:hint="eastAsia"/>
          <w:color w:val="000000" w:themeColor="text1"/>
          <w:highlight w:val="none"/>
        </w:rPr>
        <w:t>的原则，但由于布线时遵循原则，以及途经各行政区域内永久基本农田分布的实际情况，项目不可避免的需占用沿线地区的部分永久基本农田。</w:t>
      </w:r>
    </w:p>
    <w:p w14:paraId="643976D6">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2.11.</w:t>
      </w:r>
      <w:r>
        <w:rPr>
          <w:rFonts w:hint="eastAsia"/>
          <w:color w:val="000000" w:themeColor="text1"/>
          <w:highlight w:val="none"/>
          <w:lang w:val="en-US" w:eastAsia="zh-CN"/>
        </w:rPr>
        <w:t>2</w:t>
      </w:r>
      <w:r>
        <w:rPr>
          <w:rFonts w:hint="eastAsia"/>
          <w:color w:val="000000" w:themeColor="text1"/>
          <w:highlight w:val="none"/>
        </w:rPr>
        <w:t>工程占用永久基本农田情况</w:t>
      </w:r>
    </w:p>
    <w:p w14:paraId="7A63E8F0">
      <w:pPr>
        <w:pageBreakBefore w:val="0"/>
        <w:wordWrap/>
        <w:topLinePunct w:val="0"/>
        <w:bidi w:val="0"/>
        <w:spacing w:line="360" w:lineRule="auto"/>
        <w:rPr>
          <w:color w:val="000000" w:themeColor="text1"/>
          <w:highlight w:val="none"/>
        </w:rPr>
      </w:pPr>
      <w:r>
        <w:rPr>
          <w:rFonts w:hint="eastAsia"/>
          <w:color w:val="000000" w:themeColor="text1"/>
          <w:highlight w:val="none"/>
        </w:rPr>
        <w:t>本项目</w:t>
      </w:r>
      <w:r>
        <w:rPr>
          <w:rFonts w:hint="eastAsia"/>
          <w:color w:val="000000" w:themeColor="text1"/>
          <w:highlight w:val="none"/>
          <w:lang w:val="en-US" w:eastAsia="zh-CN"/>
        </w:rPr>
        <w:t>建设</w:t>
      </w:r>
      <w:r>
        <w:rPr>
          <w:rFonts w:hint="eastAsia"/>
          <w:color w:val="000000" w:themeColor="text1"/>
          <w:highlight w:val="none"/>
        </w:rPr>
        <w:t>占用永久基本农田，根据自然资源部《关于做好占用永久基本农田重大建设项目用地预审的通知》（2018年7月30日）中</w:t>
      </w:r>
      <w:r>
        <w:rPr>
          <w:rFonts w:hint="eastAsia"/>
          <w:color w:val="000000" w:themeColor="text1"/>
          <w:highlight w:val="none"/>
          <w:lang w:eastAsia="zh-CN"/>
        </w:rPr>
        <w:t>“</w:t>
      </w:r>
      <w:r>
        <w:rPr>
          <w:rFonts w:hint="eastAsia"/>
          <w:color w:val="000000" w:themeColor="text1"/>
          <w:highlight w:val="none"/>
        </w:rPr>
        <w:t>一</w:t>
      </w:r>
      <w:r>
        <w:rPr>
          <w:color w:val="000000" w:themeColor="text1"/>
          <w:highlight w:val="none"/>
        </w:rPr>
        <w:t>、严格限定重大建设项目范围</w:t>
      </w:r>
      <w:r>
        <w:rPr>
          <w:rFonts w:hint="eastAsia"/>
          <w:color w:val="000000" w:themeColor="text1"/>
          <w:highlight w:val="none"/>
          <w:lang w:eastAsia="zh-CN"/>
        </w:rPr>
        <w:t>”</w:t>
      </w:r>
      <w:r>
        <w:rPr>
          <w:rFonts w:hint="eastAsia"/>
          <w:color w:val="000000" w:themeColor="text1"/>
          <w:highlight w:val="none"/>
        </w:rPr>
        <w:t>中</w:t>
      </w:r>
      <w:r>
        <w:rPr>
          <w:color w:val="000000" w:themeColor="text1"/>
          <w:highlight w:val="none"/>
        </w:rPr>
        <w:t>指出，</w:t>
      </w:r>
      <w:r>
        <w:rPr>
          <w:rFonts w:hint="eastAsia"/>
          <w:color w:val="000000" w:themeColor="text1"/>
          <w:highlight w:val="none"/>
          <w:lang w:eastAsia="zh-CN"/>
        </w:rPr>
        <w:t>“</w:t>
      </w:r>
      <w:r>
        <w:rPr>
          <w:rFonts w:hint="eastAsia"/>
          <w:color w:val="000000" w:themeColor="text1"/>
          <w:highlight w:val="none"/>
        </w:rPr>
        <w:t>现阶段允许</w:t>
      </w:r>
      <w:r>
        <w:rPr>
          <w:color w:val="000000" w:themeColor="text1"/>
          <w:highlight w:val="none"/>
        </w:rPr>
        <w:t>将</w:t>
      </w:r>
      <w:r>
        <w:rPr>
          <w:rFonts w:hint="eastAsia"/>
          <w:color w:val="000000" w:themeColor="text1"/>
          <w:highlight w:val="none"/>
        </w:rPr>
        <w:t>以下</w:t>
      </w:r>
      <w:r>
        <w:rPr>
          <w:color w:val="000000" w:themeColor="text1"/>
          <w:highlight w:val="none"/>
        </w:rPr>
        <w:t>占用永久基本农田的重大建设项目纳入用地预审</w:t>
      </w:r>
      <w:r>
        <w:rPr>
          <w:rFonts w:hint="eastAsia"/>
          <w:color w:val="000000" w:themeColor="text1"/>
          <w:highlight w:val="none"/>
        </w:rPr>
        <w:t>受理</w:t>
      </w:r>
      <w:r>
        <w:rPr>
          <w:color w:val="000000" w:themeColor="text1"/>
          <w:highlight w:val="none"/>
        </w:rPr>
        <w:t>范围</w:t>
      </w:r>
      <w:r>
        <w:rPr>
          <w:rFonts w:hint="eastAsia"/>
          <w:color w:val="000000" w:themeColor="text1"/>
          <w:highlight w:val="none"/>
          <w:lang w:eastAsia="zh-CN"/>
        </w:rPr>
        <w:t>”</w:t>
      </w:r>
      <w:r>
        <w:rPr>
          <w:rFonts w:hint="eastAsia"/>
          <w:color w:val="000000" w:themeColor="text1"/>
          <w:highlight w:val="none"/>
        </w:rPr>
        <w:t>，包括</w:t>
      </w:r>
      <w:r>
        <w:rPr>
          <w:rFonts w:hint="eastAsia"/>
          <w:color w:val="000000" w:themeColor="text1"/>
          <w:highlight w:val="none"/>
          <w:lang w:eastAsia="zh-CN"/>
        </w:rPr>
        <w:t>“</w:t>
      </w:r>
      <w:r>
        <w:rPr>
          <w:rFonts w:hint="eastAsia"/>
          <w:color w:val="000000" w:themeColor="text1"/>
          <w:highlight w:val="none"/>
        </w:rPr>
        <w:t xml:space="preserve">（三）交通类 </w:t>
      </w:r>
      <w:r>
        <w:rPr>
          <w:rFonts w:hint="eastAsia"/>
          <w:color w:val="000000" w:themeColor="text1"/>
          <w:highlight w:val="none"/>
          <w:lang w:val="en-US" w:eastAsia="zh-CN"/>
        </w:rPr>
        <w:t>1.机场项目国家级规划（只国务院及其有关部门颁布，下同）明确的民用运输机场项目；</w:t>
      </w:r>
      <w:r>
        <w:rPr>
          <w:color w:val="000000" w:themeColor="text1"/>
          <w:highlight w:val="none"/>
        </w:rPr>
        <w:t>3.</w:t>
      </w:r>
      <w:r>
        <w:rPr>
          <w:rFonts w:hint="eastAsia"/>
          <w:color w:val="000000" w:themeColor="text1"/>
          <w:highlight w:val="none"/>
        </w:rPr>
        <w:t>公路项目。国家级规划明确的公路项目，包括《国家公路网规划（2</w:t>
      </w:r>
      <w:r>
        <w:rPr>
          <w:color w:val="000000" w:themeColor="text1"/>
          <w:highlight w:val="none"/>
        </w:rPr>
        <w:t>013-2030</w:t>
      </w:r>
      <w:r>
        <w:rPr>
          <w:rFonts w:hint="eastAsia"/>
          <w:color w:val="000000" w:themeColor="text1"/>
          <w:highlight w:val="none"/>
        </w:rPr>
        <w:t>年）》（发改基础[2013]980号）明确的国家高速公路和国道项目，国家级规划明确的国防公路项目</w:t>
      </w:r>
      <w:r>
        <w:rPr>
          <w:rFonts w:hint="eastAsia"/>
          <w:color w:val="000000" w:themeColor="text1"/>
          <w:highlight w:val="none"/>
          <w:lang w:eastAsia="zh-CN"/>
        </w:rPr>
        <w:t>”</w:t>
      </w:r>
      <w:r>
        <w:rPr>
          <w:rFonts w:hint="eastAsia"/>
          <w:color w:val="000000" w:themeColor="text1"/>
          <w:highlight w:val="none"/>
        </w:rPr>
        <w:t>。</w:t>
      </w:r>
    </w:p>
    <w:p w14:paraId="2FB8689A">
      <w:pPr>
        <w:pageBreakBefore w:val="0"/>
        <w:wordWrap/>
        <w:topLinePunct w:val="0"/>
        <w:bidi w:val="0"/>
        <w:spacing w:line="360" w:lineRule="auto"/>
        <w:ind w:left="0" w:leftChars="0" w:firstLine="0" w:firstLineChars="0"/>
        <w:rPr>
          <w:rFonts w:hint="eastAsia"/>
          <w:color w:val="000000" w:themeColor="text1"/>
          <w:highlight w:val="none"/>
          <w:lang w:val="en-US" w:eastAsia="zh-CN"/>
        </w:rPr>
      </w:pPr>
      <w:r>
        <w:rPr>
          <w:rFonts w:hint="eastAsia"/>
          <w:color w:val="000000" w:themeColor="text1"/>
          <w:highlight w:val="none"/>
          <w:lang w:val="en-US" w:eastAsia="zh-CN"/>
        </w:rPr>
        <w:drawing>
          <wp:inline distT="0" distB="0" distL="114300" distR="114300">
            <wp:extent cx="5271135" cy="3312160"/>
            <wp:effectExtent l="0" t="0" r="5715" b="2540"/>
            <wp:docPr id="41" name="图片 41" descr="ee68b2f6354d28a521ae2d88ce5d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ee68b2f6354d28a521ae2d88ce5de81"/>
                    <pic:cNvPicPr>
                      <a:picLocks noChangeAspect="1"/>
                    </pic:cNvPicPr>
                  </pic:nvPicPr>
                  <pic:blipFill>
                    <a:blip r:embed="rId26"/>
                    <a:stretch>
                      <a:fillRect/>
                    </a:stretch>
                  </pic:blipFill>
                  <pic:spPr>
                    <a:xfrm>
                      <a:off x="0" y="0"/>
                      <a:ext cx="5271135" cy="3312160"/>
                    </a:xfrm>
                    <a:prstGeom prst="rect">
                      <a:avLst/>
                    </a:prstGeom>
                  </pic:spPr>
                </pic:pic>
              </a:graphicData>
            </a:graphic>
          </wp:inline>
        </w:drawing>
      </w:r>
    </w:p>
    <w:p w14:paraId="42AECF90">
      <w:pPr>
        <w:pageBreakBefore w:val="0"/>
        <w:wordWrap/>
        <w:topLinePunct w:val="0"/>
        <w:bidi w:val="0"/>
        <w:spacing w:line="360" w:lineRule="auto"/>
        <w:ind w:left="0" w:leftChars="0" w:firstLine="0" w:firstLineChars="0"/>
        <w:jc w:val="center"/>
        <w:rPr>
          <w:rFonts w:hint="eastAsia"/>
          <w:b/>
          <w:color w:val="000000" w:themeColor="text1"/>
          <w:highlight w:val="none"/>
          <w:lang w:val="en-US" w:eastAsia="zh-CN"/>
        </w:rPr>
      </w:pPr>
      <w:r>
        <w:rPr>
          <w:b/>
          <w:color w:val="000000" w:themeColor="text1"/>
          <w:highlight w:val="none"/>
        </w:rPr>
        <w:t>图2.</w:t>
      </w:r>
      <w:r>
        <w:rPr>
          <w:rFonts w:hint="eastAsia"/>
          <w:b/>
          <w:color w:val="000000" w:themeColor="text1"/>
          <w:highlight w:val="none"/>
        </w:rPr>
        <w:t>1</w:t>
      </w:r>
      <w:r>
        <w:rPr>
          <w:rFonts w:hint="eastAsia"/>
          <w:b/>
          <w:color w:val="000000" w:themeColor="text1"/>
          <w:highlight w:val="none"/>
          <w:lang w:val="en-US" w:eastAsia="zh-CN"/>
        </w:rPr>
        <w:t>1</w:t>
      </w:r>
      <w:r>
        <w:rPr>
          <w:b/>
          <w:color w:val="000000" w:themeColor="text1"/>
          <w:highlight w:val="none"/>
        </w:rPr>
        <w:t>-</w:t>
      </w:r>
      <w:r>
        <w:rPr>
          <w:rFonts w:hint="eastAsia"/>
          <w:b/>
          <w:color w:val="000000" w:themeColor="text1"/>
          <w:highlight w:val="none"/>
          <w:lang w:val="en-US" w:eastAsia="zh-CN"/>
        </w:rPr>
        <w:t>1</w:t>
      </w:r>
      <w:r>
        <w:rPr>
          <w:b/>
          <w:color w:val="000000" w:themeColor="text1"/>
          <w:highlight w:val="none"/>
        </w:rPr>
        <w:t xml:space="preserve"> </w:t>
      </w:r>
      <w:r>
        <w:rPr>
          <w:rFonts w:hint="eastAsia"/>
          <w:b/>
          <w:color w:val="000000" w:themeColor="text1"/>
          <w:highlight w:val="none"/>
          <w:lang w:val="en-US" w:eastAsia="zh-CN"/>
        </w:rPr>
        <w:t xml:space="preserve"> 区域基本农田分布图</w:t>
      </w:r>
    </w:p>
    <w:p w14:paraId="311D48FC">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w:t>
      </w:r>
      <w:r>
        <w:rPr>
          <w:rFonts w:hint="eastAsia"/>
          <w:color w:val="000000" w:themeColor="text1"/>
          <w:highlight w:val="none"/>
        </w:rPr>
        <w:t>《自然资源部办公厅关于新建黑龙江鹤岗机场项目建设用地预审意见的函</w:t>
      </w:r>
      <w:r>
        <w:rPr>
          <w:rFonts w:hint="eastAsia"/>
          <w:color w:val="000000" w:themeColor="text1"/>
          <w:highlight w:val="none"/>
          <w:lang w:eastAsia="zh-CN"/>
        </w:rPr>
        <w:t>》</w:t>
      </w:r>
      <w:r>
        <w:rPr>
          <w:rFonts w:hint="eastAsia"/>
          <w:color w:val="000000" w:themeColor="text1"/>
          <w:highlight w:val="none"/>
        </w:rPr>
        <w:t>（自然资办函〔202</w:t>
      </w:r>
      <w:r>
        <w:rPr>
          <w:rFonts w:hint="eastAsia"/>
          <w:color w:val="000000" w:themeColor="text1"/>
          <w:highlight w:val="none"/>
          <w:lang w:val="en-US" w:eastAsia="zh-CN"/>
        </w:rPr>
        <w:t>3</w:t>
      </w:r>
      <w:r>
        <w:rPr>
          <w:rFonts w:hint="eastAsia"/>
          <w:color w:val="000000" w:themeColor="text1"/>
          <w:highlight w:val="none"/>
        </w:rPr>
        <w:t>〕1655号）</w:t>
      </w:r>
      <w:r>
        <w:rPr>
          <w:rFonts w:hint="eastAsia"/>
          <w:color w:val="000000" w:themeColor="text1"/>
          <w:highlight w:val="none"/>
          <w:lang w:val="en-US" w:eastAsia="zh-CN"/>
        </w:rPr>
        <w:t>及机场环评</w:t>
      </w:r>
      <w:r>
        <w:rPr>
          <w:rFonts w:hint="eastAsia"/>
          <w:color w:val="000000" w:themeColor="text1"/>
          <w:highlight w:val="none"/>
          <w:lang w:eastAsia="zh-CN"/>
        </w:rPr>
        <w:t>，</w:t>
      </w:r>
      <w:r>
        <w:rPr>
          <w:rFonts w:hint="eastAsia"/>
          <w:color w:val="000000" w:themeColor="text1"/>
          <w:highlight w:val="none"/>
          <w:lang w:val="en-US" w:eastAsia="zh-CN"/>
        </w:rPr>
        <w:t>新建黑龙江鹤岗机场项目共占用永久基本农田31.64公顷，其中进场道路占用永久基本农田9.9014公顷</w:t>
      </w:r>
      <w:r>
        <w:rPr>
          <w:rFonts w:hint="eastAsia"/>
          <w:color w:val="000000" w:themeColor="text1"/>
          <w:highlight w:val="none"/>
          <w:lang w:eastAsia="zh-CN"/>
        </w:rPr>
        <w:t>。</w:t>
      </w:r>
      <w:r>
        <w:rPr>
          <w:rFonts w:hint="eastAsia"/>
          <w:color w:val="000000" w:themeColor="text1"/>
          <w:highlight w:val="none"/>
          <w:lang w:val="en-US" w:eastAsia="zh-CN"/>
        </w:rPr>
        <w:t>在项目施工图设计过程中，根据实际情况，核算出用地面积约为191083m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其中永久基本农田120213m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），项目新增永久基本农田21199m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，征占手续正在办理中。</w:t>
      </w:r>
    </w:p>
    <w:p w14:paraId="1CEE1FD3">
      <w:pPr>
        <w:pageBreakBefore w:val="0"/>
        <w:wordWrap/>
        <w:topLinePunct w:val="0"/>
        <w:bidi w:val="0"/>
        <w:spacing w:line="360" w:lineRule="auto"/>
        <w:rPr>
          <w:color w:val="000000" w:themeColor="text1"/>
          <w:highlight w:val="none"/>
        </w:rPr>
      </w:pPr>
      <w:r>
        <w:rPr>
          <w:rFonts w:hint="eastAsia"/>
          <w:color w:val="000000" w:themeColor="text1"/>
          <w:highlight w:val="none"/>
        </w:rPr>
        <w:t>综上所述</w:t>
      </w:r>
      <w:r>
        <w:rPr>
          <w:color w:val="000000" w:themeColor="text1"/>
          <w:highlight w:val="none"/>
        </w:rPr>
        <w:t>，本项目走廊带选线合理。</w:t>
      </w:r>
    </w:p>
    <w:p w14:paraId="03C59374">
      <w:pPr>
        <w:pStyle w:val="3"/>
        <w:pageBreakBefore w:val="0"/>
        <w:wordWrap/>
        <w:topLinePunct w:val="0"/>
        <w:bidi w:val="0"/>
        <w:spacing w:line="360" w:lineRule="auto"/>
        <w:rPr>
          <w:color w:val="000000" w:themeColor="text1"/>
          <w:highlight w:val="none"/>
        </w:rPr>
      </w:pPr>
      <w:bookmarkStart w:id="209" w:name="_Toc20011"/>
      <w:bookmarkStart w:id="210" w:name="_Toc16993"/>
      <w:bookmarkStart w:id="211" w:name="_Toc22779"/>
      <w:r>
        <w:rPr>
          <w:rFonts w:hint="eastAsia"/>
          <w:color w:val="000000" w:themeColor="text1"/>
          <w:highlight w:val="none"/>
        </w:rPr>
        <w:t>2.1</w:t>
      </w:r>
      <w:r>
        <w:rPr>
          <w:rFonts w:hint="eastAsia"/>
          <w:color w:val="000000" w:themeColor="text1"/>
          <w:highlight w:val="none"/>
          <w:lang w:val="en-US" w:eastAsia="zh-CN"/>
        </w:rPr>
        <w:t>2</w:t>
      </w:r>
      <w:r>
        <w:rPr>
          <w:color w:val="000000" w:themeColor="text1"/>
          <w:highlight w:val="none"/>
        </w:rPr>
        <w:t>临时工程选址</w:t>
      </w:r>
      <w:r>
        <w:rPr>
          <w:rFonts w:hint="eastAsia"/>
          <w:color w:val="000000" w:themeColor="text1"/>
          <w:highlight w:val="none"/>
          <w:lang w:val="en-US" w:eastAsia="zh-CN"/>
        </w:rPr>
        <w:t>环境</w:t>
      </w:r>
      <w:r>
        <w:rPr>
          <w:color w:val="000000" w:themeColor="text1"/>
          <w:highlight w:val="none"/>
        </w:rPr>
        <w:t>合理性</w:t>
      </w:r>
      <w:bookmarkEnd w:id="209"/>
      <w:bookmarkEnd w:id="210"/>
      <w:bookmarkEnd w:id="211"/>
    </w:p>
    <w:p w14:paraId="3E10C5CA">
      <w:pPr>
        <w:pageBreakBefore w:val="0"/>
        <w:wordWrap/>
        <w:topLinePunct w:val="0"/>
        <w:bidi w:val="0"/>
        <w:spacing w:line="360" w:lineRule="auto"/>
        <w:rPr>
          <w:rFonts w:hint="eastAsia"/>
          <w:color w:val="000000" w:themeColor="text1"/>
          <w:highlight w:val="none"/>
          <w:lang w:val="en-US" w:eastAsia="zh-CN"/>
        </w:rPr>
      </w:pPr>
      <w:r>
        <w:rPr>
          <w:color w:val="000000" w:themeColor="text1"/>
          <w:highlight w:val="none"/>
        </w:rPr>
        <w:t>本项目临时占地包括</w:t>
      </w:r>
      <w:r>
        <w:rPr>
          <w:rFonts w:hint="eastAsia"/>
          <w:color w:val="000000" w:themeColor="text1"/>
          <w:highlight w:val="none"/>
          <w:lang w:val="en-US" w:eastAsia="zh-CN"/>
        </w:rPr>
        <w:t>综合站场、施工便道、表土临时堆土场及弃渣场等，临时占地4.37hm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highlight w:val="none"/>
        </w:rPr>
        <w:t>。</w:t>
      </w:r>
      <w:r>
        <w:rPr>
          <w:rFonts w:hint="eastAsia"/>
          <w:color w:val="000000" w:themeColor="text1"/>
          <w:highlight w:val="none"/>
        </w:rPr>
        <w:t>项目临时站场用地选址，前期经过多次的现场踏勘，进行了多轮的比选和优化，最终确定各站场的选址。</w:t>
      </w:r>
      <w:r>
        <w:rPr>
          <w:rFonts w:hint="eastAsia"/>
          <w:color w:val="000000" w:themeColor="text1"/>
          <w:highlight w:val="none"/>
          <w:lang w:val="en-US" w:eastAsia="zh-CN"/>
        </w:rPr>
        <w:t>本项目临时占地不占用生态保护红线，不占用湿地。除临时便道，均不占用永久基本农田。</w:t>
      </w:r>
    </w:p>
    <w:p w14:paraId="0CFFBBE0">
      <w:pPr>
        <w:pageBreakBefore w:val="0"/>
        <w:wordWrap/>
        <w:topLinePunct w:val="0"/>
        <w:bidi w:val="0"/>
        <w:spacing w:line="360" w:lineRule="auto"/>
        <w:rPr>
          <w:rFonts w:hint="default"/>
          <w:color w:val="000000" w:themeColor="text1"/>
          <w:highlight w:val="none"/>
          <w:lang w:val="en-US" w:eastAsia="zh-CN"/>
        </w:rPr>
      </w:pPr>
    </w:p>
    <w:p w14:paraId="4D20009D">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w:t>
      </w:r>
      <w:r>
        <w:rPr>
          <w:rFonts w:hint="eastAsia"/>
          <w:color w:val="000000" w:themeColor="text1"/>
          <w:highlight w:val="none"/>
          <w:lang w:val="en-US" w:eastAsia="zh-CN"/>
        </w:rPr>
        <w:t>2</w:t>
      </w:r>
      <w:r>
        <w:rPr>
          <w:rFonts w:hint="eastAsia"/>
          <w:color w:val="000000" w:themeColor="text1"/>
          <w:highlight w:val="none"/>
        </w:rPr>
        <w:t>.1</w:t>
      </w:r>
      <w:r>
        <w:rPr>
          <w:color w:val="000000" w:themeColor="text1"/>
          <w:highlight w:val="none"/>
        </w:rPr>
        <w:t>取土场</w:t>
      </w:r>
    </w:p>
    <w:p w14:paraId="3F2AA76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本项目借方13.37万m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，主要为路基填筑碎石及砂石等，均为外购，由萝北县大平石材加工有限公司提供，本项目不设取土场。</w:t>
      </w:r>
    </w:p>
    <w:p w14:paraId="6F987556">
      <w:pPr>
        <w:pageBreakBefore w:val="0"/>
        <w:wordWrap/>
        <w:topLinePunct w:val="0"/>
        <w:bidi w:val="0"/>
        <w:spacing w:line="360" w:lineRule="auto"/>
        <w:rPr>
          <w:rFonts w:hint="default"/>
          <w:color w:val="000000" w:themeColor="text1"/>
          <w:highlight w:val="none"/>
          <w:lang w:val="en-US"/>
        </w:rPr>
      </w:pPr>
      <w:r>
        <w:rPr>
          <w:rFonts w:hint="eastAsia" w:ascii="Times New Roman" w:eastAsia="宋体"/>
          <w:snapToGrid w:val="0"/>
          <w:color w:val="000000" w:themeColor="text1"/>
          <w:highlight w:val="none"/>
          <w:lang w:val="en-US" w:eastAsia="zh-CN"/>
        </w:rPr>
        <w:t>萝北县大平石材加工有限公司，距场址距离37.4km，外购材料意向书及公司资质见附件8，该公司可生产各种规格碎石，石质强度高，可用于路面面层，满足本项目需求</w:t>
      </w:r>
      <w:r>
        <w:rPr>
          <w:rFonts w:hint="eastAsia" w:ascii="Times New Roman" w:eastAsia="宋体"/>
          <w:snapToGrid w:val="0"/>
          <w:color w:val="000000" w:themeColor="text1"/>
          <w:highlight w:val="none"/>
        </w:rPr>
        <w:t>。</w:t>
      </w:r>
    </w:p>
    <w:p w14:paraId="7C56F444">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w:t>
      </w:r>
      <w:r>
        <w:rPr>
          <w:rFonts w:hint="eastAsia"/>
          <w:color w:val="000000" w:themeColor="text1"/>
          <w:highlight w:val="none"/>
          <w:lang w:val="en-US" w:eastAsia="zh-CN"/>
        </w:rPr>
        <w:t>2</w:t>
      </w:r>
      <w:r>
        <w:rPr>
          <w:rFonts w:hint="eastAsia"/>
          <w:color w:val="000000" w:themeColor="text1"/>
          <w:highlight w:val="none"/>
        </w:rPr>
        <w:t>.2临时</w:t>
      </w:r>
      <w:r>
        <w:rPr>
          <w:rFonts w:hint="eastAsia"/>
          <w:color w:val="000000" w:themeColor="text1"/>
          <w:highlight w:val="none"/>
          <w:lang w:val="en-US" w:eastAsia="zh-CN"/>
        </w:rPr>
        <w:t>堆</w:t>
      </w:r>
      <w:r>
        <w:rPr>
          <w:rFonts w:hint="eastAsia"/>
          <w:color w:val="000000" w:themeColor="text1"/>
          <w:highlight w:val="none"/>
        </w:rPr>
        <w:t>土场</w:t>
      </w:r>
    </w:p>
    <w:p w14:paraId="43E266C7">
      <w:pPr>
        <w:pageBreakBefore w:val="0"/>
        <w:wordWrap/>
        <w:topLinePunct w:val="0"/>
        <w:bidi w:val="0"/>
        <w:spacing w:line="360" w:lineRule="auto"/>
        <w:rPr>
          <w:color w:val="000000" w:themeColor="text1"/>
          <w:kern w:val="0"/>
          <w:highlight w:val="none"/>
        </w:rPr>
      </w:pPr>
      <w:r>
        <w:rPr>
          <w:rFonts w:hint="eastAsia"/>
          <w:color w:val="000000" w:themeColor="text1"/>
          <w:kern w:val="0"/>
          <w:highlight w:val="none"/>
        </w:rPr>
        <w:t>（1）临时</w:t>
      </w:r>
      <w:r>
        <w:rPr>
          <w:rFonts w:hint="eastAsia"/>
          <w:color w:val="000000" w:themeColor="text1"/>
          <w:kern w:val="0"/>
          <w:highlight w:val="none"/>
          <w:lang w:val="en-US" w:eastAsia="zh-CN"/>
        </w:rPr>
        <w:t>堆</w:t>
      </w:r>
      <w:r>
        <w:rPr>
          <w:rFonts w:hint="eastAsia"/>
          <w:color w:val="000000" w:themeColor="text1"/>
          <w:kern w:val="0"/>
          <w:highlight w:val="none"/>
        </w:rPr>
        <w:t>土场设置原则</w:t>
      </w:r>
      <w:bookmarkStart w:id="653" w:name="_GoBack"/>
      <w:bookmarkEnd w:id="653"/>
    </w:p>
    <w:p w14:paraId="4801228C">
      <w:pPr>
        <w:pageBreakBefore w:val="0"/>
        <w:widowControl/>
        <w:wordWrap/>
        <w:topLinePunct w:val="0"/>
        <w:bidi w:val="0"/>
        <w:spacing w:line="360" w:lineRule="auto"/>
        <w:jc w:val="left"/>
        <w:rPr>
          <w:color w:val="000000" w:themeColor="text1"/>
          <w:highlight w:val="none"/>
        </w:rPr>
      </w:pP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场应合理利用取土坑、低洼建设用地等，尽量少占耕地；禁止设置在自然保护区、森林公园、风景名胜区、饮用水源保护区、生态脆弱区、野生动植物自然保护小区等生态敏感区；禁止设置在永久基本农田；禁止将挖余方堆置沿线河道的堤岸内侧或最高水位线以下，尤其应</w:t>
      </w:r>
      <w:r>
        <w:rPr>
          <w:rFonts w:hint="default" w:ascii="Times New Roman" w:hAnsi="Times New Roman" w:cs="Times New Roman"/>
          <w:color w:val="000000" w:themeColor="text1"/>
          <w:highlight w:val="none"/>
        </w:rPr>
        <w:t>主要保护沿线Ⅱ类水</w:t>
      </w:r>
      <w:r>
        <w:rPr>
          <w:rFonts w:hint="eastAsia"/>
          <w:color w:val="000000" w:themeColor="text1"/>
          <w:highlight w:val="none"/>
        </w:rPr>
        <w:t>体；尽可能布设在公路视线以外，并尽量减少设置数量，严禁在指定弃渣场以外的地方随意弃置。</w:t>
      </w:r>
    </w:p>
    <w:p w14:paraId="150EEB93">
      <w:pPr>
        <w:pageBreakBefore w:val="0"/>
        <w:wordWrap/>
        <w:topLinePunct w:val="0"/>
        <w:bidi w:val="0"/>
        <w:spacing w:line="360" w:lineRule="auto"/>
        <w:rPr>
          <w:color w:val="000000" w:themeColor="text1"/>
          <w:highlight w:val="none"/>
        </w:rPr>
      </w:pPr>
      <w:r>
        <w:rPr>
          <w:color w:val="000000" w:themeColor="text1"/>
          <w:highlight w:val="none"/>
        </w:rPr>
        <w:t>（2）</w:t>
      </w: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土场</w:t>
      </w:r>
      <w:r>
        <w:rPr>
          <w:color w:val="000000" w:themeColor="text1"/>
          <w:highlight w:val="none"/>
        </w:rPr>
        <w:t>设置合理性</w:t>
      </w:r>
    </w:p>
    <w:p w14:paraId="15B9600B">
      <w:pPr>
        <w:pageBreakBefore w:val="0"/>
        <w:wordWrap/>
        <w:topLinePunct w:val="0"/>
        <w:bidi w:val="0"/>
        <w:spacing w:line="360" w:lineRule="auto"/>
        <w:rPr>
          <w:color w:val="000000" w:themeColor="text1"/>
          <w:kern w:val="0"/>
          <w:highlight w:val="none"/>
        </w:rPr>
      </w:pPr>
      <w:r>
        <w:rPr>
          <w:rFonts w:hint="eastAsia"/>
          <w:color w:val="000000" w:themeColor="text1"/>
          <w:highlight w:val="none"/>
        </w:rPr>
        <w:t>施工期间，本工程在新建黑龙江鹤岗机场项目表土暂存场内布置1个表土临时堆土场，临时堆土采用棱台堆放形式，表土堆放长度100m，堆放宽度80m，堆高6.2m，边坡比1:1，为减少占地，采用分层堆放方式，底层堆放林地和草地剥离的表土，堆放高度1.70m，堆放量0.94万m</w:t>
      </w:r>
      <w:r>
        <w:rPr>
          <w:rFonts w:hint="eastAsia"/>
          <w:color w:val="000000" w:themeColor="text1"/>
          <w:highlight w:val="none"/>
          <w:vertAlign w:val="superscript"/>
        </w:rPr>
        <w:t>3</w:t>
      </w:r>
      <w:r>
        <w:rPr>
          <w:rFonts w:hint="eastAsia"/>
          <w:color w:val="000000" w:themeColor="text1"/>
          <w:highlight w:val="none"/>
        </w:rPr>
        <w:t>，上层堆放耕地剥离表土，堆放高度4.5m，堆放量3.30万m</w:t>
      </w:r>
      <w:r>
        <w:rPr>
          <w:rFonts w:hint="eastAsia"/>
          <w:color w:val="000000" w:themeColor="text1"/>
          <w:highlight w:val="none"/>
          <w:vertAlign w:val="superscript"/>
        </w:rPr>
        <w:t>3</w:t>
      </w:r>
      <w:r>
        <w:rPr>
          <w:rFonts w:hint="eastAsia"/>
          <w:color w:val="000000" w:themeColor="text1"/>
          <w:highlight w:val="none"/>
        </w:rPr>
        <w:t>，中间采用土工布间隔</w:t>
      </w:r>
      <w:r>
        <w:rPr>
          <w:rFonts w:hint="eastAsia"/>
          <w:color w:val="000000" w:themeColor="text1"/>
          <w:highlight w:val="none"/>
          <w:lang w:eastAsia="zh-CN"/>
        </w:rPr>
        <w:t>，</w:t>
      </w:r>
      <w:r>
        <w:rPr>
          <w:rFonts w:hint="eastAsia"/>
          <w:color w:val="000000" w:themeColor="text1"/>
          <w:highlight w:val="none"/>
        </w:rPr>
        <w:t>新增临时占地面积0.80hm</w:t>
      </w:r>
      <w:r>
        <w:rPr>
          <w:rFonts w:hint="eastAsia"/>
          <w:color w:val="000000" w:themeColor="text1"/>
          <w:highlight w:val="none"/>
          <w:vertAlign w:val="superscript"/>
        </w:rPr>
        <w:t>2</w:t>
      </w:r>
      <w:r>
        <w:rPr>
          <w:rFonts w:hint="eastAsia"/>
          <w:color w:val="000000" w:themeColor="text1"/>
          <w:highlight w:val="none"/>
        </w:rPr>
        <w:t>，总堆方量4.24万m</w:t>
      </w:r>
      <w:r>
        <w:rPr>
          <w:rFonts w:hint="eastAsia"/>
          <w:color w:val="000000" w:themeColor="text1"/>
          <w:highlight w:val="none"/>
          <w:vertAlign w:val="superscript"/>
        </w:rPr>
        <w:t>3</w:t>
      </w:r>
      <w:r>
        <w:rPr>
          <w:rFonts w:hint="eastAsia"/>
          <w:color w:val="000000" w:themeColor="text1"/>
          <w:highlight w:val="none"/>
        </w:rPr>
        <w:t>，用于临时堆存施工期间进场路工程区、施工便道区剥离表土，剥离的表土部分回覆于进场路工程区、施工便道区和弃渣场，用于土地整治和绿化覆土，剩余表土依据《新建黑龙江鹤岗机场项目耕地耕作层土壤剥离利用方案》全部外运用于改良中低产和被污染耕地的治理；在道路工程区内布置1个挖方临时堆土场，带状堆存，堆放长度1800m，堆高3m，边坡比1:1.5，堆放平均宽度10m，堆放总占地面积1.80hm</w:t>
      </w:r>
      <w:r>
        <w:rPr>
          <w:rFonts w:hint="eastAsia"/>
          <w:color w:val="000000" w:themeColor="text1"/>
          <w:highlight w:val="none"/>
          <w:vertAlign w:val="superscript"/>
        </w:rPr>
        <w:t>2</w:t>
      </w:r>
      <w:r>
        <w:rPr>
          <w:rFonts w:hint="eastAsia"/>
          <w:color w:val="000000" w:themeColor="text1"/>
          <w:highlight w:val="none"/>
        </w:rPr>
        <w:t>，总堆方量2.58万m</w:t>
      </w:r>
      <w:r>
        <w:rPr>
          <w:rFonts w:hint="eastAsia"/>
          <w:color w:val="000000" w:themeColor="text1"/>
          <w:highlight w:val="none"/>
          <w:vertAlign w:val="superscript"/>
        </w:rPr>
        <w:t>3</w:t>
      </w:r>
      <w:r>
        <w:rPr>
          <w:rFonts w:hint="eastAsia"/>
          <w:color w:val="000000" w:themeColor="text1"/>
          <w:highlight w:val="none"/>
        </w:rPr>
        <w:t>，用于临时堆存施工期间进场路工程区基础开挖土方，根据施工时序回填于进场路工程区，用于路基回填用土。堆放期间，采用密目网苫盖和编织袋装土拦挡，道路工程区管沟开挖土方、施工生产生活区、施工便道区、表土暂存场和弃渣场截排水沟开挖土方，随挖随填用于场平，不进行临时堆放。建设期间合理安排工序，土方工程后期挖方与填方工程同时进行。</w:t>
      </w:r>
    </w:p>
    <w:p w14:paraId="33F6FACC">
      <w:pPr>
        <w:pStyle w:val="42"/>
        <w:pageBreakBefore w:val="0"/>
        <w:wordWrap/>
        <w:topLinePunct w:val="0"/>
        <w:bidi w:val="0"/>
        <w:spacing w:line="360" w:lineRule="auto"/>
        <w:jc w:val="center"/>
        <w:rPr>
          <w:rFonts w:ascii="Times New Roman" w:eastAsia="宋体"/>
          <w:b/>
          <w:color w:val="000000" w:themeColor="text1"/>
          <w:kern w:val="2"/>
          <w:highlight w:val="none"/>
        </w:rPr>
      </w:pPr>
      <w:r>
        <w:rPr>
          <w:rFonts w:ascii="Times New Roman" w:eastAsia="宋体"/>
          <w:b/>
          <w:color w:val="000000" w:themeColor="text1"/>
          <w:kern w:val="2"/>
          <w:highlight w:val="none"/>
        </w:rPr>
        <w:t>表2.</w:t>
      </w:r>
      <w:r>
        <w:rPr>
          <w:rFonts w:hint="eastAsia" w:ascii="Times New Roman" w:eastAsia="宋体"/>
          <w:b/>
          <w:color w:val="000000" w:themeColor="text1"/>
          <w:kern w:val="2"/>
          <w:highlight w:val="none"/>
        </w:rPr>
        <w:t>1</w:t>
      </w:r>
      <w:r>
        <w:rPr>
          <w:rFonts w:hint="eastAsia" w:ascii="Times New Roman" w:eastAsia="宋体"/>
          <w:b/>
          <w:color w:val="000000" w:themeColor="text1"/>
          <w:kern w:val="2"/>
          <w:highlight w:val="none"/>
          <w:lang w:val="en-US" w:eastAsia="zh-CN"/>
        </w:rPr>
        <w:t>2-1</w:t>
      </w:r>
      <w:r>
        <w:rPr>
          <w:rFonts w:ascii="Times New Roman" w:eastAsia="宋体"/>
          <w:b/>
          <w:color w:val="000000" w:themeColor="text1"/>
          <w:kern w:val="2"/>
          <w:highlight w:val="none"/>
        </w:rPr>
        <w:t xml:space="preserve">  </w:t>
      </w:r>
      <w:r>
        <w:rPr>
          <w:rFonts w:hint="eastAsia" w:ascii="Times New Roman" w:eastAsia="宋体"/>
          <w:b/>
          <w:color w:val="000000" w:themeColor="text1"/>
          <w:kern w:val="2"/>
          <w:highlight w:val="none"/>
        </w:rPr>
        <w:t>临时</w:t>
      </w:r>
      <w:r>
        <w:rPr>
          <w:rFonts w:hint="eastAsia" w:ascii="Times New Roman" w:eastAsia="宋体"/>
          <w:b/>
          <w:color w:val="000000" w:themeColor="text1"/>
          <w:kern w:val="2"/>
          <w:highlight w:val="none"/>
          <w:lang w:val="en-US" w:eastAsia="zh-CN"/>
        </w:rPr>
        <w:t>堆</w:t>
      </w:r>
      <w:r>
        <w:rPr>
          <w:rFonts w:hint="eastAsia" w:ascii="Times New Roman" w:eastAsia="宋体"/>
          <w:b/>
          <w:color w:val="000000" w:themeColor="text1"/>
          <w:kern w:val="2"/>
          <w:highlight w:val="none"/>
        </w:rPr>
        <w:t>土场</w:t>
      </w:r>
      <w:r>
        <w:rPr>
          <w:rFonts w:ascii="Times New Roman" w:eastAsia="宋体"/>
          <w:b/>
          <w:color w:val="000000" w:themeColor="text1"/>
          <w:kern w:val="2"/>
          <w:highlight w:val="none"/>
        </w:rPr>
        <w:t>设置合理性分析一览表</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102"/>
        <w:gridCol w:w="1017"/>
        <w:gridCol w:w="1146"/>
        <w:gridCol w:w="2132"/>
        <w:gridCol w:w="1925"/>
        <w:gridCol w:w="1037"/>
      </w:tblGrid>
      <w:tr w14:paraId="541C73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59" w:type="pct"/>
            <w:vAlign w:val="center"/>
          </w:tcPr>
          <w:p w14:paraId="0647865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名称</w:t>
            </w:r>
          </w:p>
        </w:tc>
        <w:tc>
          <w:tcPr>
            <w:tcW w:w="608" w:type="pct"/>
            <w:vAlign w:val="center"/>
          </w:tcPr>
          <w:p w14:paraId="3094DEA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面积（hm</w:t>
            </w:r>
            <w:r>
              <w:rPr>
                <w:color w:val="000000" w:themeColor="text1"/>
                <w:sz w:val="21"/>
                <w:szCs w:val="21"/>
                <w:highlight w:val="none"/>
                <w:vertAlign w:val="superscript"/>
              </w:rPr>
              <w:t>2</w:t>
            </w:r>
            <w:r>
              <w:rPr>
                <w:rFonts w:hint="eastAsia"/>
                <w:color w:val="000000" w:themeColor="text1"/>
                <w:sz w:val="21"/>
                <w:szCs w:val="21"/>
                <w:highlight w:val="none"/>
              </w:rPr>
              <w:t>）</w:t>
            </w:r>
          </w:p>
        </w:tc>
        <w:tc>
          <w:tcPr>
            <w:tcW w:w="685" w:type="pct"/>
            <w:vAlign w:val="center"/>
          </w:tcPr>
          <w:p w14:paraId="7976BC53">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堆土量</w:t>
            </w:r>
          </w:p>
          <w:p w14:paraId="45F0D64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（万</w:t>
            </w:r>
            <w:r>
              <w:rPr>
                <w:rFonts w:hint="eastAsia"/>
                <w:color w:val="000000" w:themeColor="text1"/>
                <w:sz w:val="21"/>
                <w:szCs w:val="21"/>
                <w:highlight w:val="none"/>
              </w:rPr>
              <w:t>m</w:t>
            </w:r>
            <w:r>
              <w:rPr>
                <w:rFonts w:hint="eastAsia"/>
                <w:color w:val="000000" w:themeColor="text1"/>
                <w:sz w:val="21"/>
                <w:szCs w:val="21"/>
                <w:highlight w:val="none"/>
                <w:vertAlign w:val="superscript"/>
              </w:rPr>
              <w:t>3</w:t>
            </w:r>
            <w:r>
              <w:rPr>
                <w:rFonts w:hint="eastAsia"/>
                <w:color w:val="000000" w:themeColor="text1"/>
                <w:sz w:val="21"/>
                <w:szCs w:val="21"/>
                <w:highlight w:val="none"/>
                <w:lang w:val="en-US" w:eastAsia="zh-CN"/>
              </w:rPr>
              <w:t>）</w:t>
            </w:r>
          </w:p>
        </w:tc>
        <w:tc>
          <w:tcPr>
            <w:tcW w:w="1275" w:type="pct"/>
            <w:vAlign w:val="center"/>
          </w:tcPr>
          <w:p w14:paraId="68D9D1B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环境合理性分析</w:t>
            </w:r>
          </w:p>
        </w:tc>
        <w:tc>
          <w:tcPr>
            <w:tcW w:w="1151" w:type="pct"/>
            <w:vAlign w:val="center"/>
          </w:tcPr>
          <w:p w14:paraId="6AAF1CBE">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堆土去向</w:t>
            </w:r>
          </w:p>
        </w:tc>
        <w:tc>
          <w:tcPr>
            <w:tcW w:w="620" w:type="pct"/>
            <w:vAlign w:val="center"/>
          </w:tcPr>
          <w:p w14:paraId="3DAE332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恢复利用</w:t>
            </w:r>
          </w:p>
        </w:tc>
      </w:tr>
      <w:tr w14:paraId="518EBE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59" w:type="pct"/>
            <w:shd w:val="clear" w:color="auto" w:fill="auto"/>
            <w:vAlign w:val="center"/>
          </w:tcPr>
          <w:p w14:paraId="71E9E9CB">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1#表土临时堆土场（既有机场表土暂存场）</w:t>
            </w:r>
          </w:p>
        </w:tc>
        <w:tc>
          <w:tcPr>
            <w:tcW w:w="608" w:type="pct"/>
            <w:vAlign w:val="center"/>
          </w:tcPr>
          <w:p w14:paraId="4910E2A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0.8</w:t>
            </w:r>
          </w:p>
        </w:tc>
        <w:tc>
          <w:tcPr>
            <w:tcW w:w="685" w:type="pct"/>
            <w:shd w:val="clear" w:color="auto" w:fill="auto"/>
            <w:vAlign w:val="center"/>
          </w:tcPr>
          <w:p w14:paraId="5BE6E1C7">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b/>
                <w:bCs/>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4.24</w:t>
            </w:r>
          </w:p>
        </w:tc>
        <w:tc>
          <w:tcPr>
            <w:tcW w:w="1275" w:type="pct"/>
            <w:vAlign w:val="center"/>
          </w:tcPr>
          <w:p w14:paraId="6ACC903E">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占地类型为</w:t>
            </w:r>
            <w:r>
              <w:rPr>
                <w:rFonts w:hint="eastAsia"/>
                <w:color w:val="000000" w:themeColor="text1"/>
                <w:sz w:val="21"/>
                <w:szCs w:val="21"/>
                <w:highlight w:val="none"/>
                <w:lang w:val="en-US" w:eastAsia="zh-CN"/>
              </w:rPr>
              <w:t>其他用地</w:t>
            </w:r>
            <w:r>
              <w:rPr>
                <w:color w:val="000000" w:themeColor="text1"/>
                <w:sz w:val="21"/>
                <w:szCs w:val="21"/>
                <w:highlight w:val="none"/>
              </w:rPr>
              <w:t>，</w:t>
            </w:r>
            <w:r>
              <w:rPr>
                <w:rFonts w:hint="eastAsia"/>
                <w:color w:val="000000" w:themeColor="text1"/>
                <w:sz w:val="21"/>
                <w:szCs w:val="21"/>
                <w:highlight w:val="none"/>
              </w:rPr>
              <w:t>平均土方堆放高度</w:t>
            </w:r>
            <w:r>
              <w:rPr>
                <w:rFonts w:hint="eastAsia"/>
                <w:color w:val="000000" w:themeColor="text1"/>
                <w:sz w:val="21"/>
                <w:szCs w:val="21"/>
                <w:highlight w:val="none"/>
                <w:lang w:val="en-US" w:eastAsia="zh-CN"/>
              </w:rPr>
              <w:t>5</w:t>
            </w:r>
            <w:r>
              <w:rPr>
                <w:color w:val="000000" w:themeColor="text1"/>
                <w:sz w:val="21"/>
                <w:szCs w:val="21"/>
                <w:highlight w:val="none"/>
              </w:rPr>
              <w:t>m</w:t>
            </w:r>
            <w:r>
              <w:rPr>
                <w:rFonts w:hint="eastAsia"/>
                <w:color w:val="000000" w:themeColor="text1"/>
                <w:sz w:val="21"/>
                <w:szCs w:val="21"/>
                <w:highlight w:val="none"/>
              </w:rPr>
              <w:t>。</w:t>
            </w:r>
            <w:r>
              <w:rPr>
                <w:color w:val="000000" w:themeColor="text1"/>
                <w:sz w:val="21"/>
                <w:szCs w:val="21"/>
                <w:highlight w:val="none"/>
              </w:rPr>
              <w:t>不涉及基本草原、永久基本农田、自然保护区、风景名胜区及饮用水水源保护区；</w:t>
            </w:r>
            <w:r>
              <w:rPr>
                <w:rFonts w:hint="eastAsia"/>
                <w:color w:val="000000" w:themeColor="text1"/>
                <w:sz w:val="21"/>
                <w:szCs w:val="21"/>
                <w:highlight w:val="none"/>
                <w:lang w:val="en-US" w:eastAsia="zh-CN"/>
              </w:rPr>
              <w:t>位于道路工程附近</w:t>
            </w:r>
            <w:r>
              <w:rPr>
                <w:color w:val="000000" w:themeColor="text1"/>
                <w:sz w:val="21"/>
                <w:szCs w:val="21"/>
                <w:highlight w:val="none"/>
              </w:rPr>
              <w:t>，减少运输和工程费用，避开永久基本农田，设置合理</w:t>
            </w:r>
          </w:p>
        </w:tc>
        <w:tc>
          <w:tcPr>
            <w:tcW w:w="1151" w:type="pct"/>
            <w:shd w:val="clear" w:color="auto" w:fill="auto"/>
            <w:vAlign w:val="center"/>
          </w:tcPr>
          <w:p w14:paraId="0DFE9B8A">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表土部分回覆于进场路工程区、施工便道区和弃渣场，用于土地整治和绿化覆土，剩余表土依据《新建黑龙江鹤岗机场项目耕地耕作层土壤剥离利用方案》全部外运用于改良中低产和被污染耕地的治理</w:t>
            </w:r>
          </w:p>
        </w:tc>
        <w:tc>
          <w:tcPr>
            <w:tcW w:w="620" w:type="pct"/>
            <w:vAlign w:val="center"/>
          </w:tcPr>
          <w:p w14:paraId="32B24B0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做好恢复措施，后期恢复为</w:t>
            </w:r>
            <w:r>
              <w:rPr>
                <w:rFonts w:hint="eastAsia"/>
                <w:color w:val="000000" w:themeColor="text1"/>
                <w:sz w:val="21"/>
                <w:szCs w:val="21"/>
                <w:highlight w:val="none"/>
                <w:lang w:val="en-US" w:eastAsia="zh-CN"/>
              </w:rPr>
              <w:t>原有用地，在表土暂存场表土临时堆土场堆土表面进行撒播种草</w:t>
            </w:r>
          </w:p>
        </w:tc>
      </w:tr>
      <w:tr w14:paraId="6ACD78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59" w:type="pct"/>
            <w:shd w:val="clear" w:color="auto" w:fill="auto"/>
            <w:vAlign w:val="center"/>
          </w:tcPr>
          <w:p w14:paraId="3DD5271A">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2#挖方临时堆土场</w:t>
            </w:r>
          </w:p>
        </w:tc>
        <w:tc>
          <w:tcPr>
            <w:tcW w:w="608" w:type="pct"/>
            <w:vAlign w:val="center"/>
          </w:tcPr>
          <w:p w14:paraId="4E26302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1.8</w:t>
            </w:r>
          </w:p>
        </w:tc>
        <w:tc>
          <w:tcPr>
            <w:tcW w:w="685" w:type="pct"/>
            <w:shd w:val="clear" w:color="auto" w:fill="auto"/>
            <w:vAlign w:val="center"/>
          </w:tcPr>
          <w:p w14:paraId="29D584F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2.58</w:t>
            </w:r>
          </w:p>
        </w:tc>
        <w:tc>
          <w:tcPr>
            <w:tcW w:w="1275" w:type="pct"/>
            <w:vAlign w:val="center"/>
          </w:tcPr>
          <w:p w14:paraId="6DEF47B2">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占地类型为</w:t>
            </w:r>
            <w:r>
              <w:rPr>
                <w:rFonts w:hint="eastAsia"/>
                <w:color w:val="000000" w:themeColor="text1"/>
                <w:sz w:val="21"/>
                <w:szCs w:val="21"/>
                <w:highlight w:val="none"/>
                <w:lang w:val="en-US" w:eastAsia="zh-CN"/>
              </w:rPr>
              <w:t>耕地</w:t>
            </w:r>
            <w:r>
              <w:rPr>
                <w:color w:val="000000" w:themeColor="text1"/>
                <w:sz w:val="21"/>
                <w:szCs w:val="21"/>
                <w:highlight w:val="none"/>
              </w:rPr>
              <w:t>，</w:t>
            </w:r>
            <w:r>
              <w:rPr>
                <w:rFonts w:hint="eastAsia"/>
                <w:color w:val="000000" w:themeColor="text1"/>
                <w:sz w:val="21"/>
                <w:szCs w:val="21"/>
                <w:highlight w:val="none"/>
              </w:rPr>
              <w:t>平均土方堆放高度</w:t>
            </w:r>
            <w:r>
              <w:rPr>
                <w:rFonts w:hint="eastAsia"/>
                <w:color w:val="000000" w:themeColor="text1"/>
                <w:sz w:val="21"/>
                <w:szCs w:val="21"/>
                <w:highlight w:val="none"/>
                <w:lang w:val="en-US" w:eastAsia="zh-CN"/>
              </w:rPr>
              <w:t>5</w:t>
            </w:r>
            <w:r>
              <w:rPr>
                <w:color w:val="000000" w:themeColor="text1"/>
                <w:sz w:val="21"/>
                <w:szCs w:val="21"/>
                <w:highlight w:val="none"/>
              </w:rPr>
              <w:t>m</w:t>
            </w:r>
            <w:r>
              <w:rPr>
                <w:rFonts w:hint="eastAsia"/>
                <w:color w:val="000000" w:themeColor="text1"/>
                <w:sz w:val="21"/>
                <w:szCs w:val="21"/>
                <w:highlight w:val="none"/>
              </w:rPr>
              <w:t>。</w:t>
            </w:r>
            <w:r>
              <w:rPr>
                <w:rFonts w:hint="eastAsia"/>
                <w:color w:val="000000" w:themeColor="text1"/>
                <w:sz w:val="21"/>
                <w:szCs w:val="21"/>
                <w:highlight w:val="none"/>
                <w:lang w:val="en-US" w:eastAsia="zh-CN"/>
              </w:rPr>
              <w:t>位于道路工程永久征地范围内</w:t>
            </w:r>
            <w:r>
              <w:rPr>
                <w:color w:val="000000" w:themeColor="text1"/>
                <w:sz w:val="21"/>
                <w:szCs w:val="21"/>
                <w:highlight w:val="none"/>
              </w:rPr>
              <w:t>，设置合理</w:t>
            </w:r>
          </w:p>
        </w:tc>
        <w:tc>
          <w:tcPr>
            <w:tcW w:w="1151" w:type="pct"/>
            <w:shd w:val="clear" w:color="auto" w:fill="auto"/>
            <w:vAlign w:val="center"/>
          </w:tcPr>
          <w:p w14:paraId="3528C206">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回填于进场路工程区，用于路基回填</w:t>
            </w:r>
          </w:p>
        </w:tc>
        <w:tc>
          <w:tcPr>
            <w:tcW w:w="620" w:type="pct"/>
            <w:vAlign w:val="center"/>
          </w:tcPr>
          <w:p w14:paraId="59DF7A6F">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做好恢复措施</w:t>
            </w:r>
          </w:p>
        </w:tc>
      </w:tr>
    </w:tbl>
    <w:p w14:paraId="26DF84F3">
      <w:pPr>
        <w:pageBreakBefore w:val="0"/>
        <w:wordWrap/>
        <w:topLinePunct w:val="0"/>
        <w:bidi w:val="0"/>
        <w:spacing w:line="360" w:lineRule="auto"/>
        <w:rPr>
          <w:color w:val="000000" w:themeColor="text1"/>
          <w:szCs w:val="32"/>
          <w:highlight w:val="none"/>
        </w:rPr>
      </w:pPr>
      <w:r>
        <w:rPr>
          <w:color w:val="000000" w:themeColor="text1"/>
          <w:highlight w:val="none"/>
        </w:rPr>
        <w:t>根据分析结果可知，本项目设置的</w:t>
      </w:r>
      <w:r>
        <w:rPr>
          <w:rFonts w:hint="eastAsia"/>
          <w:color w:val="000000" w:themeColor="text1"/>
          <w:highlight w:val="none"/>
          <w:lang w:val="en-US" w:eastAsia="zh-CN"/>
        </w:rPr>
        <w:t>2</w:t>
      </w:r>
      <w:r>
        <w:rPr>
          <w:color w:val="000000" w:themeColor="text1"/>
          <w:highlight w:val="none"/>
        </w:rPr>
        <w:t>处</w:t>
      </w: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土场选址均不涉及环境敏感区或环境制约因素，设置基本合理。同时，临时</w:t>
      </w:r>
      <w:r>
        <w:rPr>
          <w:rFonts w:hint="eastAsia"/>
          <w:color w:val="000000" w:themeColor="text1"/>
          <w:highlight w:val="none"/>
          <w:lang w:val="en-US" w:eastAsia="zh-CN"/>
        </w:rPr>
        <w:t>堆</w:t>
      </w:r>
      <w:r>
        <w:rPr>
          <w:rFonts w:hint="eastAsia"/>
          <w:color w:val="000000" w:themeColor="text1"/>
          <w:highlight w:val="none"/>
        </w:rPr>
        <w:t>土场与现有农田、道路等相距较近，施工期做好水土保持措施。</w:t>
      </w:r>
    </w:p>
    <w:p w14:paraId="0BA2E1E7">
      <w:pPr>
        <w:pStyle w:val="4"/>
        <w:pageBreakBefore w:val="0"/>
        <w:wordWrap/>
        <w:topLinePunct w:val="0"/>
        <w:bidi w:val="0"/>
        <w:spacing w:before="156" w:line="360" w:lineRule="auto"/>
        <w:rPr>
          <w:rFonts w:hint="eastAsia" w:eastAsia="宋体"/>
          <w:color w:val="000000" w:themeColor="text1"/>
          <w:highlight w:val="none"/>
          <w:lang w:eastAsia="zh-CN"/>
        </w:rPr>
      </w:pPr>
      <w:r>
        <w:rPr>
          <w:rFonts w:hint="eastAsia"/>
          <w:color w:val="000000" w:themeColor="text1"/>
          <w:highlight w:val="none"/>
        </w:rPr>
        <w:t>2.1</w:t>
      </w:r>
      <w:r>
        <w:rPr>
          <w:rFonts w:hint="eastAsia"/>
          <w:color w:val="000000" w:themeColor="text1"/>
          <w:highlight w:val="none"/>
          <w:lang w:val="en-US" w:eastAsia="zh-CN"/>
        </w:rPr>
        <w:t>2</w:t>
      </w:r>
      <w:r>
        <w:rPr>
          <w:rFonts w:hint="eastAsia"/>
          <w:color w:val="000000" w:themeColor="text1"/>
          <w:highlight w:val="none"/>
        </w:rPr>
        <w:t>.3</w:t>
      </w:r>
      <w:r>
        <w:rPr>
          <w:color w:val="000000" w:themeColor="text1"/>
          <w:highlight w:val="none"/>
        </w:rPr>
        <w:t>施工驻地</w:t>
      </w:r>
      <w:r>
        <w:rPr>
          <w:rFonts w:hint="eastAsia"/>
          <w:color w:val="000000" w:themeColor="text1"/>
          <w:highlight w:val="none"/>
        </w:rPr>
        <w:t>、</w:t>
      </w:r>
      <w:r>
        <w:rPr>
          <w:color w:val="000000" w:themeColor="text1"/>
          <w:highlight w:val="none"/>
        </w:rPr>
        <w:t>拌合站</w:t>
      </w:r>
      <w:r>
        <w:rPr>
          <w:rFonts w:hint="eastAsia"/>
          <w:color w:val="000000" w:themeColor="text1"/>
          <w:highlight w:val="none"/>
        </w:rPr>
        <w:t>、预制场</w:t>
      </w:r>
    </w:p>
    <w:p w14:paraId="74DA19D8">
      <w:pPr>
        <w:pageBreakBefore w:val="0"/>
        <w:wordWrap/>
        <w:topLinePunct w:val="0"/>
        <w:bidi w:val="0"/>
        <w:spacing w:line="360" w:lineRule="auto"/>
        <w:rPr>
          <w:color w:val="000000" w:themeColor="text1"/>
          <w:highlight w:val="none"/>
        </w:rPr>
      </w:pPr>
      <w:r>
        <w:rPr>
          <w:color w:val="000000" w:themeColor="text1"/>
          <w:highlight w:val="none"/>
        </w:rPr>
        <w:t>（1）设置原则</w:t>
      </w:r>
    </w:p>
    <w:p w14:paraId="63BC1E2B">
      <w:pPr>
        <w:pageBreakBefore w:val="0"/>
        <w:wordWrap/>
        <w:topLinePunct w:val="0"/>
        <w:bidi w:val="0"/>
        <w:spacing w:line="360" w:lineRule="auto"/>
        <w:rPr>
          <w:color w:val="000000" w:themeColor="text1"/>
          <w:highlight w:val="none"/>
        </w:rPr>
      </w:pPr>
      <w:r>
        <w:rPr>
          <w:rFonts w:hint="eastAsia"/>
          <w:color w:val="000000" w:themeColor="text1"/>
          <w:highlight w:val="none"/>
        </w:rPr>
        <w:t>根据《自然资源部关于规范临时用地管理的通知》（自然资规[2021]2号）中要求，</w:t>
      </w:r>
      <w:r>
        <w:rPr>
          <w:rFonts w:hint="eastAsia"/>
          <w:color w:val="000000" w:themeColor="text1"/>
          <w:highlight w:val="none"/>
          <w:lang w:eastAsia="zh-CN"/>
        </w:rPr>
        <w:t>“</w:t>
      </w:r>
      <w:r>
        <w:rPr>
          <w:rFonts w:hint="eastAsia"/>
          <w:color w:val="000000" w:themeColor="text1"/>
          <w:highlight w:val="none"/>
        </w:rPr>
        <w:t>制梁场、拌合站等难以恢复原种植条件的不得以临时用地方式占用耕地和永久基本农田</w:t>
      </w:r>
      <w:r>
        <w:rPr>
          <w:rFonts w:hint="eastAsia"/>
          <w:color w:val="000000" w:themeColor="text1"/>
          <w:highlight w:val="none"/>
          <w:lang w:eastAsia="zh-CN"/>
        </w:rPr>
        <w:t>”</w:t>
      </w:r>
      <w:r>
        <w:rPr>
          <w:rFonts w:hint="eastAsia"/>
          <w:color w:val="000000" w:themeColor="text1"/>
          <w:highlight w:val="none"/>
        </w:rPr>
        <w:t>。本项目</w:t>
      </w:r>
      <w:r>
        <w:rPr>
          <w:color w:val="000000" w:themeColor="text1"/>
          <w:highlight w:val="none"/>
        </w:rPr>
        <w:t>拌合站</w:t>
      </w:r>
      <w:r>
        <w:rPr>
          <w:rFonts w:hint="eastAsia"/>
          <w:color w:val="000000" w:themeColor="text1"/>
          <w:highlight w:val="none"/>
        </w:rPr>
        <w:t>、桥梁预制场</w:t>
      </w:r>
      <w:r>
        <w:rPr>
          <w:color w:val="000000" w:themeColor="text1"/>
          <w:highlight w:val="none"/>
        </w:rPr>
        <w:t>及施工驻地临时占地</w:t>
      </w:r>
      <w:r>
        <w:rPr>
          <w:rFonts w:hint="eastAsia"/>
          <w:color w:val="000000" w:themeColor="text1"/>
          <w:highlight w:val="none"/>
        </w:rPr>
        <w:t>选址原则为</w:t>
      </w:r>
      <w:r>
        <w:rPr>
          <w:color w:val="000000" w:themeColor="text1"/>
          <w:highlight w:val="none"/>
        </w:rPr>
        <w:t>不占用永久基本农田、基本草原及国家</w:t>
      </w:r>
      <w:r>
        <w:rPr>
          <w:rFonts w:hint="eastAsia"/>
          <w:color w:val="000000" w:themeColor="text1"/>
          <w:highlight w:val="none"/>
        </w:rPr>
        <w:t>级</w:t>
      </w:r>
      <w:r>
        <w:rPr>
          <w:color w:val="000000" w:themeColor="text1"/>
          <w:highlight w:val="none"/>
        </w:rPr>
        <w:t>公益林</w:t>
      </w:r>
      <w:r>
        <w:rPr>
          <w:rFonts w:hint="eastAsia"/>
          <w:color w:val="000000" w:themeColor="text1"/>
          <w:highlight w:val="none"/>
        </w:rPr>
        <w:t>、不占用耕地、</w:t>
      </w:r>
      <w:r>
        <w:rPr>
          <w:color w:val="000000" w:themeColor="text1"/>
          <w:highlight w:val="none"/>
        </w:rPr>
        <w:t>特殊、重要生态环境敏感区</w:t>
      </w:r>
      <w:r>
        <w:rPr>
          <w:rFonts w:hint="eastAsia"/>
          <w:color w:val="000000" w:themeColor="text1"/>
          <w:highlight w:val="none"/>
        </w:rPr>
        <w:t>和</w:t>
      </w:r>
      <w:r>
        <w:rPr>
          <w:color w:val="000000" w:themeColor="text1"/>
          <w:highlight w:val="none"/>
        </w:rPr>
        <w:t>饮用水水源保护区；</w:t>
      </w:r>
      <w:r>
        <w:rPr>
          <w:rFonts w:hint="eastAsia"/>
          <w:color w:val="000000" w:themeColor="text1"/>
          <w:highlight w:val="none"/>
        </w:rPr>
        <w:t>临时占地</w:t>
      </w:r>
      <w:r>
        <w:rPr>
          <w:color w:val="000000" w:themeColor="text1"/>
          <w:highlight w:val="none"/>
        </w:rPr>
        <w:t>位置应交通便利，避免运距过长，减少施工便道的修建；沥青拌合站</w:t>
      </w:r>
      <w:r>
        <w:rPr>
          <w:rFonts w:hint="eastAsia"/>
          <w:color w:val="000000" w:themeColor="text1"/>
          <w:highlight w:val="none"/>
        </w:rPr>
        <w:t>、混凝土拌合站</w:t>
      </w:r>
      <w:r>
        <w:rPr>
          <w:color w:val="000000" w:themeColor="text1"/>
          <w:highlight w:val="none"/>
        </w:rPr>
        <w:t>距环境敏感点距离不宜小于300m，基层拌合站距环境敏感点距离不宜小于200m</w:t>
      </w:r>
      <w:r>
        <w:rPr>
          <w:rFonts w:hint="eastAsia"/>
          <w:color w:val="000000" w:themeColor="text1"/>
          <w:highlight w:val="none"/>
        </w:rPr>
        <w:t>。</w:t>
      </w:r>
    </w:p>
    <w:p w14:paraId="49E317AB">
      <w:pPr>
        <w:pageBreakBefore w:val="0"/>
        <w:wordWrap/>
        <w:topLinePunct w:val="0"/>
        <w:bidi w:val="0"/>
        <w:spacing w:line="360" w:lineRule="auto"/>
        <w:rPr>
          <w:color w:val="000000" w:themeColor="text1"/>
          <w:highlight w:val="none"/>
        </w:rPr>
      </w:pPr>
      <w:r>
        <w:rPr>
          <w:color w:val="000000" w:themeColor="text1"/>
          <w:highlight w:val="none"/>
        </w:rPr>
        <w:t>（2）设置合理性分析</w:t>
      </w:r>
    </w:p>
    <w:p w14:paraId="5A428716">
      <w:pPr>
        <w:pageBreakBefore w:val="0"/>
        <w:wordWrap/>
        <w:topLinePunct w:val="0"/>
        <w:bidi w:val="0"/>
        <w:spacing w:line="360" w:lineRule="auto"/>
        <w:rPr>
          <w:color w:val="000000" w:themeColor="text1"/>
          <w:highlight w:val="none"/>
        </w:rPr>
      </w:pPr>
      <w:r>
        <w:rPr>
          <w:color w:val="000000" w:themeColor="text1"/>
          <w:highlight w:val="none"/>
        </w:rPr>
        <w:t>项目</w:t>
      </w:r>
      <w:r>
        <w:rPr>
          <w:rFonts w:hint="eastAsia"/>
          <w:color w:val="000000" w:themeColor="text1"/>
          <w:highlight w:val="none"/>
        </w:rPr>
        <w:t>本着节约占地，方便运输及管理的需要。项目临时占地采用点位分散及功能集中的原则进行建设，即各类站场能合并的就合并建设。</w:t>
      </w:r>
      <w:r>
        <w:rPr>
          <w:rFonts w:hint="eastAsia"/>
          <w:color w:val="000000" w:themeColor="text1"/>
          <w:highlight w:val="none"/>
          <w:lang w:val="en-US" w:eastAsia="zh-CN"/>
        </w:rPr>
        <w:t>本项目路线相对较短，因此</w:t>
      </w:r>
      <w:r>
        <w:rPr>
          <w:rFonts w:hint="eastAsia"/>
          <w:color w:val="000000" w:themeColor="text1"/>
          <w:highlight w:val="none"/>
        </w:rPr>
        <w:t>设置</w:t>
      </w:r>
      <w:r>
        <w:rPr>
          <w:rFonts w:hint="eastAsia"/>
          <w:color w:val="000000" w:themeColor="text1"/>
          <w:highlight w:val="none"/>
          <w:lang w:val="en-US" w:eastAsia="zh-CN"/>
        </w:rPr>
        <w:t>1</w:t>
      </w:r>
      <w:r>
        <w:rPr>
          <w:rFonts w:hint="eastAsia"/>
          <w:color w:val="000000" w:themeColor="text1"/>
          <w:highlight w:val="none"/>
        </w:rPr>
        <w:t>处综合站场。综合站场内主要含有</w:t>
      </w:r>
      <w:r>
        <w:rPr>
          <w:rFonts w:hint="eastAsia"/>
          <w:color w:val="000000" w:themeColor="text1"/>
          <w:highlight w:val="none"/>
          <w:lang w:val="en-US" w:eastAsia="zh-CN"/>
        </w:rPr>
        <w:t>施工驻地、</w:t>
      </w:r>
      <w:r>
        <w:rPr>
          <w:rFonts w:hint="eastAsia"/>
          <w:color w:val="000000" w:themeColor="text1"/>
          <w:highlight w:val="none"/>
        </w:rPr>
        <w:t>基层拌合、沥青面层拌合、混凝土拌合站及桥梁预制场。站场临时占地情况及区内功能情况见表2.1</w:t>
      </w:r>
      <w:r>
        <w:rPr>
          <w:rFonts w:hint="eastAsia"/>
          <w:color w:val="000000" w:themeColor="text1"/>
          <w:highlight w:val="none"/>
          <w:lang w:val="en-US" w:eastAsia="zh-CN"/>
        </w:rPr>
        <w:t>2-2</w:t>
      </w:r>
      <w:r>
        <w:rPr>
          <w:rFonts w:hint="eastAsia"/>
          <w:color w:val="000000" w:themeColor="text1"/>
          <w:highlight w:val="none"/>
        </w:rPr>
        <w:t>。</w:t>
      </w:r>
    </w:p>
    <w:p w14:paraId="32BD7EBA">
      <w:pPr>
        <w:pageBreakBefore w:val="0"/>
        <w:wordWrap/>
        <w:topLinePunct w:val="0"/>
        <w:bidi w:val="0"/>
        <w:spacing w:line="360" w:lineRule="auto"/>
        <w:ind w:firstLine="482"/>
        <w:jc w:val="center"/>
        <w:rPr>
          <w:b/>
          <w:color w:val="000000" w:themeColor="text1"/>
          <w:highlight w:val="none"/>
        </w:rPr>
      </w:pPr>
      <w:bookmarkStart w:id="212" w:name="_Hlk519674768"/>
      <w:r>
        <w:rPr>
          <w:b/>
          <w:color w:val="000000" w:themeColor="text1"/>
          <w:highlight w:val="none"/>
        </w:rPr>
        <w:t>表2.</w:t>
      </w:r>
      <w:r>
        <w:rPr>
          <w:rFonts w:hint="eastAsia"/>
          <w:b/>
          <w:color w:val="000000" w:themeColor="text1"/>
          <w:highlight w:val="none"/>
        </w:rPr>
        <w:t>1</w:t>
      </w:r>
      <w:r>
        <w:rPr>
          <w:rFonts w:hint="eastAsia"/>
          <w:b/>
          <w:color w:val="000000" w:themeColor="text1"/>
          <w:highlight w:val="none"/>
          <w:lang w:val="en-US" w:eastAsia="zh-CN"/>
        </w:rPr>
        <w:t>2-2</w:t>
      </w:r>
      <w:r>
        <w:rPr>
          <w:b/>
          <w:color w:val="000000" w:themeColor="text1"/>
          <w:highlight w:val="none"/>
        </w:rPr>
        <w:t xml:space="preserve">  </w:t>
      </w:r>
      <w:r>
        <w:rPr>
          <w:rFonts w:hint="eastAsia"/>
          <w:b/>
          <w:color w:val="000000" w:themeColor="text1"/>
          <w:highlight w:val="none"/>
          <w:lang w:val="en-US" w:eastAsia="zh-CN"/>
        </w:rPr>
        <w:t>综合站场</w:t>
      </w:r>
      <w:r>
        <w:rPr>
          <w:b/>
          <w:color w:val="000000" w:themeColor="text1"/>
          <w:highlight w:val="none"/>
        </w:rPr>
        <w:t>情况汇总</w:t>
      </w:r>
    </w:p>
    <w:tbl>
      <w:tblPr>
        <w:tblStyle w:val="33"/>
        <w:tblW w:w="839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fixed"/>
        <w:tblCellMar>
          <w:top w:w="0" w:type="dxa"/>
          <w:left w:w="28" w:type="dxa"/>
          <w:bottom w:w="0" w:type="dxa"/>
          <w:right w:w="28" w:type="dxa"/>
        </w:tblCellMar>
      </w:tblPr>
      <w:tblGrid>
        <w:gridCol w:w="595"/>
        <w:gridCol w:w="1134"/>
        <w:gridCol w:w="1958"/>
        <w:gridCol w:w="1025"/>
        <w:gridCol w:w="1413"/>
        <w:gridCol w:w="2267"/>
      </w:tblGrid>
      <w:tr w14:paraId="644F688C">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28" w:type="dxa"/>
            <w:bottom w:w="0" w:type="dxa"/>
            <w:right w:w="28" w:type="dxa"/>
          </w:tblCellMar>
        </w:tblPrEx>
        <w:trPr>
          <w:trHeight w:val="340" w:hRule="atLeast"/>
        </w:trPr>
        <w:tc>
          <w:tcPr>
            <w:tcW w:w="595" w:type="dxa"/>
            <w:vAlign w:val="center"/>
          </w:tcPr>
          <w:p w14:paraId="2442C92B">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序号</w:t>
            </w:r>
          </w:p>
        </w:tc>
        <w:tc>
          <w:tcPr>
            <w:tcW w:w="1134" w:type="dxa"/>
            <w:vAlign w:val="center"/>
          </w:tcPr>
          <w:p w14:paraId="5C5A9352">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上路桩号</w:t>
            </w:r>
          </w:p>
        </w:tc>
        <w:tc>
          <w:tcPr>
            <w:tcW w:w="1958" w:type="dxa"/>
            <w:vAlign w:val="center"/>
          </w:tcPr>
          <w:p w14:paraId="3DE22202">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综合站场内容</w:t>
            </w:r>
          </w:p>
        </w:tc>
        <w:tc>
          <w:tcPr>
            <w:tcW w:w="1025" w:type="dxa"/>
            <w:vAlign w:val="center"/>
          </w:tcPr>
          <w:p w14:paraId="43917E53">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占地类型</w:t>
            </w:r>
          </w:p>
        </w:tc>
        <w:tc>
          <w:tcPr>
            <w:tcW w:w="1413" w:type="dxa"/>
            <w:vAlign w:val="center"/>
          </w:tcPr>
          <w:p w14:paraId="549F5E7E">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color w:val="000000" w:themeColor="text1"/>
                <w:kern w:val="0"/>
                <w:sz w:val="21"/>
                <w:szCs w:val="21"/>
                <w:highlight w:val="none"/>
              </w:rPr>
              <w:t>面积</w:t>
            </w:r>
            <w:r>
              <w:rPr>
                <w:rFonts w:hint="eastAsia"/>
                <w:color w:val="000000" w:themeColor="text1"/>
                <w:sz w:val="21"/>
                <w:szCs w:val="21"/>
                <w:highlight w:val="none"/>
                <w:lang w:eastAsia="zh-CN"/>
              </w:rPr>
              <w:t>（</w:t>
            </w:r>
            <w:r>
              <w:rPr>
                <w:rFonts w:hint="eastAsia"/>
                <w:color w:val="000000" w:themeColor="text1"/>
                <w:sz w:val="21"/>
                <w:szCs w:val="21"/>
                <w:highlight w:val="none"/>
              </w:rPr>
              <w:t>h</w:t>
            </w:r>
            <w:r>
              <w:rPr>
                <w:color w:val="000000" w:themeColor="text1"/>
                <w:sz w:val="21"/>
                <w:szCs w:val="21"/>
                <w:highlight w:val="none"/>
              </w:rPr>
              <w:t>m</w:t>
            </w:r>
            <w:r>
              <w:rPr>
                <w:color w:val="000000" w:themeColor="text1"/>
                <w:sz w:val="21"/>
                <w:szCs w:val="21"/>
                <w:highlight w:val="none"/>
                <w:vertAlign w:val="superscript"/>
              </w:rPr>
              <w:t>2</w:t>
            </w:r>
            <w:r>
              <w:rPr>
                <w:rFonts w:hint="eastAsia"/>
                <w:color w:val="000000" w:themeColor="text1"/>
                <w:sz w:val="21"/>
                <w:szCs w:val="21"/>
                <w:highlight w:val="none"/>
                <w:lang w:eastAsia="zh-CN"/>
              </w:rPr>
              <w:t>）</w:t>
            </w:r>
          </w:p>
        </w:tc>
        <w:tc>
          <w:tcPr>
            <w:tcW w:w="2267" w:type="dxa"/>
            <w:vAlign w:val="center"/>
          </w:tcPr>
          <w:p w14:paraId="4AB9D52A">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选址合理性分析</w:t>
            </w:r>
          </w:p>
        </w:tc>
      </w:tr>
      <w:tr w14:paraId="79F106A6">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28" w:type="dxa"/>
            <w:bottom w:w="0" w:type="dxa"/>
            <w:right w:w="28" w:type="dxa"/>
          </w:tblCellMar>
        </w:tblPrEx>
        <w:trPr>
          <w:trHeight w:val="340" w:hRule="atLeast"/>
        </w:trPr>
        <w:tc>
          <w:tcPr>
            <w:tcW w:w="595" w:type="dxa"/>
            <w:vAlign w:val="center"/>
          </w:tcPr>
          <w:p w14:paraId="1115C937">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1</w:t>
            </w:r>
          </w:p>
        </w:tc>
        <w:tc>
          <w:tcPr>
            <w:tcW w:w="1134" w:type="dxa"/>
            <w:vAlign w:val="center"/>
          </w:tcPr>
          <w:p w14:paraId="70465D64">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rPr>
            </w:pPr>
            <w:r>
              <w:rPr>
                <w:rFonts w:hint="eastAsia"/>
                <w:color w:val="000000" w:themeColor="text1"/>
                <w:sz w:val="21"/>
                <w:szCs w:val="21"/>
                <w:highlight w:val="none"/>
                <w:lang w:val="en-US" w:eastAsia="zh-CN"/>
              </w:rPr>
              <w:t>A</w:t>
            </w:r>
            <w:r>
              <w:rPr>
                <w:rFonts w:hint="eastAsia"/>
                <w:color w:val="000000" w:themeColor="text1"/>
                <w:sz w:val="21"/>
                <w:szCs w:val="21"/>
                <w:highlight w:val="none"/>
              </w:rPr>
              <w:t>K2+</w:t>
            </w:r>
            <w:r>
              <w:rPr>
                <w:rFonts w:hint="eastAsia"/>
                <w:color w:val="000000" w:themeColor="text1"/>
                <w:sz w:val="21"/>
                <w:szCs w:val="21"/>
                <w:highlight w:val="none"/>
                <w:lang w:val="en-US" w:eastAsia="zh-CN"/>
              </w:rPr>
              <w:t>2</w:t>
            </w:r>
            <w:r>
              <w:rPr>
                <w:rFonts w:hint="eastAsia"/>
                <w:color w:val="000000" w:themeColor="text1"/>
                <w:sz w:val="21"/>
                <w:szCs w:val="21"/>
                <w:highlight w:val="none"/>
              </w:rPr>
              <w:t>00</w:t>
            </w:r>
          </w:p>
        </w:tc>
        <w:tc>
          <w:tcPr>
            <w:tcW w:w="1958" w:type="dxa"/>
            <w:vAlign w:val="center"/>
          </w:tcPr>
          <w:p w14:paraId="454455BA">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sz w:val="21"/>
                <w:szCs w:val="21"/>
                <w:highlight w:val="none"/>
                <w:lang w:val="en-US" w:eastAsia="zh-CN"/>
              </w:rPr>
              <w:t>施工驻地、</w:t>
            </w:r>
            <w:r>
              <w:rPr>
                <w:rFonts w:hint="eastAsia"/>
                <w:color w:val="000000" w:themeColor="text1"/>
                <w:sz w:val="21"/>
                <w:szCs w:val="21"/>
                <w:highlight w:val="none"/>
              </w:rPr>
              <w:t>基层拌合、沥青面层拌合、混凝土拌合、桥梁预制站</w:t>
            </w:r>
          </w:p>
        </w:tc>
        <w:tc>
          <w:tcPr>
            <w:tcW w:w="1025" w:type="dxa"/>
            <w:vAlign w:val="center"/>
          </w:tcPr>
          <w:p w14:paraId="200EE188">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工矿仓储用地</w:t>
            </w:r>
          </w:p>
        </w:tc>
        <w:tc>
          <w:tcPr>
            <w:tcW w:w="1413" w:type="dxa"/>
            <w:vAlign w:val="center"/>
          </w:tcPr>
          <w:p w14:paraId="6346B307">
            <w:pPr>
              <w:pageBreakBefore w:val="0"/>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3</w:t>
            </w:r>
          </w:p>
        </w:tc>
        <w:tc>
          <w:tcPr>
            <w:tcW w:w="2267" w:type="dxa"/>
            <w:vAlign w:val="center"/>
          </w:tcPr>
          <w:p w14:paraId="367E80FF">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rPr>
              <w:t>位于宝泉岭中心医院北侧850m，距离项目起点距离3.4m，距离上路桩号K6+221为8.7k</w:t>
            </w:r>
            <w:r>
              <w:rPr>
                <w:rFonts w:hint="eastAsia"/>
                <w:color w:val="000000" w:themeColor="text1"/>
                <w:kern w:val="0"/>
                <w:sz w:val="21"/>
                <w:szCs w:val="21"/>
                <w:highlight w:val="none"/>
                <w:lang w:val="en-US" w:eastAsia="zh-CN"/>
              </w:rPr>
              <w:t>m</w:t>
            </w:r>
            <w:r>
              <w:rPr>
                <w:rFonts w:hint="eastAsia"/>
                <w:color w:val="000000" w:themeColor="text1"/>
                <w:kern w:val="0"/>
                <w:sz w:val="21"/>
                <w:szCs w:val="21"/>
                <w:highlight w:val="none"/>
                <w:lang w:eastAsia="zh-CN"/>
              </w:rPr>
              <w:t>，</w:t>
            </w:r>
            <w:r>
              <w:rPr>
                <w:rFonts w:hint="eastAsia"/>
                <w:color w:val="000000" w:themeColor="text1"/>
                <w:kern w:val="0"/>
                <w:sz w:val="21"/>
                <w:szCs w:val="21"/>
                <w:highlight w:val="none"/>
                <w:lang w:val="en-US" w:eastAsia="zh-CN"/>
              </w:rPr>
              <w:t>满足要求，选址合理</w:t>
            </w:r>
          </w:p>
        </w:tc>
      </w:tr>
      <w:tr w14:paraId="1CF5BCD3">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28" w:type="dxa"/>
            <w:bottom w:w="0" w:type="dxa"/>
            <w:right w:w="28" w:type="dxa"/>
          </w:tblCellMar>
        </w:tblPrEx>
        <w:trPr>
          <w:trHeight w:val="340" w:hRule="atLeast"/>
        </w:trPr>
        <w:tc>
          <w:tcPr>
            <w:tcW w:w="595" w:type="dxa"/>
            <w:vAlign w:val="center"/>
          </w:tcPr>
          <w:p w14:paraId="397409F2">
            <w:pPr>
              <w:pageBreakBefore w:val="0"/>
              <w:widowControl/>
              <w:wordWrap/>
              <w:topLinePunct w:val="0"/>
              <w:bidi w:val="0"/>
              <w:spacing w:line="240" w:lineRule="auto"/>
              <w:ind w:firstLine="0" w:firstLineChars="0"/>
              <w:jc w:val="center"/>
              <w:rPr>
                <w:bCs/>
                <w:color w:val="000000" w:themeColor="text1"/>
                <w:kern w:val="0"/>
                <w:sz w:val="21"/>
                <w:szCs w:val="21"/>
                <w:highlight w:val="none"/>
              </w:rPr>
            </w:pPr>
            <w:r>
              <w:rPr>
                <w:bCs/>
                <w:color w:val="000000" w:themeColor="text1"/>
                <w:kern w:val="0"/>
                <w:sz w:val="21"/>
                <w:szCs w:val="21"/>
                <w:highlight w:val="none"/>
              </w:rPr>
              <w:t>合计</w:t>
            </w:r>
          </w:p>
        </w:tc>
        <w:tc>
          <w:tcPr>
            <w:tcW w:w="1134" w:type="dxa"/>
            <w:vAlign w:val="center"/>
          </w:tcPr>
          <w:p w14:paraId="65D89290">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bCs/>
                <w:color w:val="000000" w:themeColor="text1"/>
                <w:kern w:val="0"/>
                <w:sz w:val="21"/>
                <w:szCs w:val="21"/>
                <w:highlight w:val="none"/>
              </w:rPr>
              <w:t>/</w:t>
            </w:r>
          </w:p>
        </w:tc>
        <w:tc>
          <w:tcPr>
            <w:tcW w:w="1958" w:type="dxa"/>
            <w:vAlign w:val="center"/>
          </w:tcPr>
          <w:p w14:paraId="07F0AB45">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bCs/>
                <w:color w:val="000000" w:themeColor="text1"/>
                <w:kern w:val="0"/>
                <w:sz w:val="21"/>
                <w:szCs w:val="21"/>
                <w:highlight w:val="none"/>
              </w:rPr>
              <w:t>/</w:t>
            </w:r>
          </w:p>
        </w:tc>
        <w:tc>
          <w:tcPr>
            <w:tcW w:w="1025" w:type="dxa"/>
            <w:vAlign w:val="center"/>
          </w:tcPr>
          <w:p w14:paraId="7E487DF5">
            <w:pPr>
              <w:pageBreakBefore w:val="0"/>
              <w:widowControl/>
              <w:wordWrap/>
              <w:topLinePunct w:val="0"/>
              <w:bidi w:val="0"/>
              <w:spacing w:line="240" w:lineRule="auto"/>
              <w:ind w:firstLine="0" w:firstLineChars="0"/>
              <w:jc w:val="center"/>
              <w:rPr>
                <w:bCs/>
                <w:color w:val="000000" w:themeColor="text1"/>
                <w:kern w:val="0"/>
                <w:sz w:val="21"/>
                <w:szCs w:val="21"/>
                <w:highlight w:val="none"/>
              </w:rPr>
            </w:pPr>
            <w:r>
              <w:rPr>
                <w:bCs/>
                <w:color w:val="000000" w:themeColor="text1"/>
                <w:kern w:val="0"/>
                <w:sz w:val="21"/>
                <w:szCs w:val="21"/>
                <w:highlight w:val="none"/>
              </w:rPr>
              <w:t>/</w:t>
            </w:r>
          </w:p>
        </w:tc>
        <w:tc>
          <w:tcPr>
            <w:tcW w:w="1413" w:type="dxa"/>
            <w:vAlign w:val="center"/>
          </w:tcPr>
          <w:p w14:paraId="23B884D1">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3</w:t>
            </w:r>
          </w:p>
        </w:tc>
        <w:tc>
          <w:tcPr>
            <w:tcW w:w="2267" w:type="dxa"/>
            <w:vAlign w:val="center"/>
          </w:tcPr>
          <w:p w14:paraId="47D4B9B3">
            <w:pPr>
              <w:pageBreakBefore w:val="0"/>
              <w:widowControl/>
              <w:wordWrap/>
              <w:topLinePunct w:val="0"/>
              <w:bidi w:val="0"/>
              <w:spacing w:line="240" w:lineRule="auto"/>
              <w:ind w:firstLine="0" w:firstLineChars="0"/>
              <w:jc w:val="center"/>
              <w:rPr>
                <w:rFonts w:hint="eastAsia" w:eastAsia="宋体"/>
                <w:bCs/>
                <w:color w:val="000000" w:themeColor="text1"/>
                <w:kern w:val="0"/>
                <w:sz w:val="21"/>
                <w:szCs w:val="21"/>
                <w:highlight w:val="none"/>
                <w:lang w:val="en-US" w:eastAsia="zh-CN"/>
              </w:rPr>
            </w:pPr>
            <w:r>
              <w:rPr>
                <w:rFonts w:hint="eastAsia"/>
                <w:bCs/>
                <w:color w:val="000000" w:themeColor="text1"/>
                <w:kern w:val="0"/>
                <w:sz w:val="21"/>
                <w:szCs w:val="21"/>
                <w:highlight w:val="none"/>
                <w:lang w:val="en-US" w:eastAsia="zh-CN"/>
              </w:rPr>
              <w:t>/</w:t>
            </w:r>
          </w:p>
        </w:tc>
      </w:tr>
      <w:bookmarkEnd w:id="212"/>
    </w:tbl>
    <w:p w14:paraId="7C245D1B">
      <w:pPr>
        <w:pageBreakBefore w:val="0"/>
        <w:wordWrap/>
        <w:topLinePunct w:val="0"/>
        <w:bidi w:val="0"/>
        <w:spacing w:beforeLines="50" w:line="360" w:lineRule="auto"/>
        <w:rPr>
          <w:color w:val="000000" w:themeColor="text1"/>
          <w:highlight w:val="none"/>
        </w:rPr>
      </w:pPr>
      <w:r>
        <w:rPr>
          <w:color w:val="000000" w:themeColor="text1"/>
          <w:highlight w:val="none"/>
        </w:rPr>
        <w:t>由表2.</w:t>
      </w:r>
      <w:r>
        <w:rPr>
          <w:rFonts w:hint="eastAsia"/>
          <w:color w:val="000000" w:themeColor="text1"/>
          <w:highlight w:val="none"/>
        </w:rPr>
        <w:t>1</w:t>
      </w:r>
      <w:r>
        <w:rPr>
          <w:rFonts w:hint="eastAsia"/>
          <w:color w:val="000000" w:themeColor="text1"/>
          <w:highlight w:val="none"/>
          <w:lang w:val="en-US" w:eastAsia="zh-CN"/>
        </w:rPr>
        <w:t>2-2</w:t>
      </w:r>
      <w:r>
        <w:rPr>
          <w:color w:val="000000" w:themeColor="text1"/>
          <w:highlight w:val="none"/>
        </w:rPr>
        <w:t>可知，</w:t>
      </w:r>
      <w:r>
        <w:rPr>
          <w:rFonts w:hint="eastAsia"/>
          <w:color w:val="000000" w:themeColor="text1"/>
          <w:highlight w:val="none"/>
          <w:lang w:val="en-US" w:eastAsia="zh-CN"/>
        </w:rPr>
        <w:t>本项目沥青拌合站、混凝土拌合站</w:t>
      </w:r>
      <w:r>
        <w:rPr>
          <w:rFonts w:hint="eastAsia"/>
          <w:color w:val="000000" w:themeColor="text1"/>
          <w:highlight w:val="none"/>
        </w:rPr>
        <w:t>距离居民点大于300m，基层拌合站距离居民点大于</w:t>
      </w:r>
      <w:r>
        <w:rPr>
          <w:rFonts w:hint="eastAsia"/>
          <w:color w:val="000000" w:themeColor="text1"/>
          <w:highlight w:val="none"/>
          <w:lang w:val="en-US" w:eastAsia="zh-CN"/>
        </w:rPr>
        <w:t>2</w:t>
      </w:r>
      <w:r>
        <w:rPr>
          <w:rFonts w:hint="eastAsia"/>
          <w:color w:val="000000" w:themeColor="text1"/>
          <w:highlight w:val="none"/>
        </w:rPr>
        <w:t>00m，临时占地为</w:t>
      </w:r>
      <w:r>
        <w:rPr>
          <w:rFonts w:hint="eastAsia"/>
          <w:color w:val="000000" w:themeColor="text1"/>
          <w:highlight w:val="none"/>
          <w:lang w:val="en-US" w:eastAsia="zh-CN"/>
        </w:rPr>
        <w:t>工矿仓储用地</w:t>
      </w:r>
      <w:r>
        <w:rPr>
          <w:rFonts w:hint="eastAsia"/>
          <w:color w:val="000000" w:themeColor="text1"/>
          <w:highlight w:val="none"/>
        </w:rPr>
        <w:t>，不</w:t>
      </w:r>
      <w:r>
        <w:rPr>
          <w:rFonts w:hint="eastAsia"/>
          <w:color w:val="000000" w:themeColor="text1"/>
          <w:highlight w:val="none"/>
          <w:lang w:val="en-US" w:eastAsia="zh-CN"/>
        </w:rPr>
        <w:t>占用</w:t>
      </w:r>
      <w:r>
        <w:rPr>
          <w:color w:val="000000" w:themeColor="text1"/>
          <w:highlight w:val="none"/>
        </w:rPr>
        <w:t>永久基本农田、基本草原</w:t>
      </w:r>
      <w:r>
        <w:rPr>
          <w:rFonts w:hint="eastAsia"/>
          <w:color w:val="000000" w:themeColor="text1"/>
          <w:highlight w:val="none"/>
        </w:rPr>
        <w:t>、</w:t>
      </w:r>
      <w:r>
        <w:rPr>
          <w:color w:val="000000" w:themeColor="text1"/>
          <w:highlight w:val="none"/>
        </w:rPr>
        <w:t>国家</w:t>
      </w:r>
      <w:r>
        <w:rPr>
          <w:rFonts w:hint="eastAsia"/>
          <w:color w:val="000000" w:themeColor="text1"/>
          <w:highlight w:val="none"/>
        </w:rPr>
        <w:t>级</w:t>
      </w:r>
      <w:r>
        <w:rPr>
          <w:color w:val="000000" w:themeColor="text1"/>
          <w:highlight w:val="none"/>
        </w:rPr>
        <w:t>公益林</w:t>
      </w:r>
      <w:r>
        <w:rPr>
          <w:rFonts w:hint="eastAsia"/>
          <w:color w:val="000000" w:themeColor="text1"/>
          <w:highlight w:val="none"/>
        </w:rPr>
        <w:t>、耕地、</w:t>
      </w:r>
      <w:r>
        <w:rPr>
          <w:color w:val="000000" w:themeColor="text1"/>
          <w:highlight w:val="none"/>
        </w:rPr>
        <w:t>特殊、重要生态环境敏感区</w:t>
      </w:r>
      <w:r>
        <w:rPr>
          <w:rFonts w:hint="eastAsia"/>
          <w:color w:val="000000" w:themeColor="text1"/>
          <w:highlight w:val="none"/>
        </w:rPr>
        <w:t>和</w:t>
      </w:r>
      <w:r>
        <w:rPr>
          <w:color w:val="000000" w:themeColor="text1"/>
          <w:highlight w:val="none"/>
        </w:rPr>
        <w:t>饮用水水源保护区</w:t>
      </w:r>
      <w:r>
        <w:rPr>
          <w:rFonts w:hint="eastAsia"/>
          <w:color w:val="000000" w:themeColor="text1"/>
          <w:highlight w:val="none"/>
        </w:rPr>
        <w:t>。</w:t>
      </w:r>
    </w:p>
    <w:p w14:paraId="6C0193DC">
      <w:pPr>
        <w:pageBreakBefore w:val="0"/>
        <w:wordWrap/>
        <w:topLinePunct w:val="0"/>
        <w:bidi w:val="0"/>
        <w:spacing w:line="360" w:lineRule="auto"/>
        <w:rPr>
          <w:color w:val="000000" w:themeColor="text1"/>
          <w:highlight w:val="none"/>
        </w:rPr>
      </w:pPr>
      <w:r>
        <w:rPr>
          <w:rFonts w:hint="eastAsia"/>
          <w:color w:val="000000" w:themeColor="text1"/>
          <w:highlight w:val="none"/>
        </w:rPr>
        <w:t>综上分析</w:t>
      </w:r>
      <w:r>
        <w:rPr>
          <w:color w:val="000000" w:themeColor="text1"/>
          <w:highlight w:val="none"/>
        </w:rPr>
        <w:t>，本项目</w:t>
      </w:r>
      <w:r>
        <w:rPr>
          <w:rFonts w:hint="eastAsia"/>
          <w:color w:val="000000" w:themeColor="text1"/>
          <w:highlight w:val="none"/>
          <w:lang w:val="en-US" w:eastAsia="zh-CN"/>
        </w:rPr>
        <w:t>综合站场</w:t>
      </w:r>
      <w:r>
        <w:rPr>
          <w:color w:val="000000" w:themeColor="text1"/>
          <w:highlight w:val="none"/>
        </w:rPr>
        <w:t>选址合理。</w:t>
      </w:r>
    </w:p>
    <w:p w14:paraId="171DE69A">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w:t>
      </w:r>
      <w:r>
        <w:rPr>
          <w:rFonts w:hint="eastAsia"/>
          <w:color w:val="000000" w:themeColor="text1"/>
          <w:highlight w:val="none"/>
          <w:lang w:val="en-US" w:eastAsia="zh-CN"/>
        </w:rPr>
        <w:t>2</w:t>
      </w:r>
      <w:r>
        <w:rPr>
          <w:rFonts w:hint="eastAsia"/>
          <w:color w:val="000000" w:themeColor="text1"/>
          <w:highlight w:val="none"/>
        </w:rPr>
        <w:t>.4</w:t>
      </w:r>
      <w:r>
        <w:rPr>
          <w:color w:val="000000" w:themeColor="text1"/>
          <w:highlight w:val="none"/>
        </w:rPr>
        <w:t>桥梁施工场地</w:t>
      </w:r>
    </w:p>
    <w:p w14:paraId="56AD8B07">
      <w:pPr>
        <w:pageBreakBefore w:val="0"/>
        <w:wordWrap/>
        <w:topLinePunct w:val="0"/>
        <w:bidi w:val="0"/>
        <w:spacing w:line="360" w:lineRule="auto"/>
        <w:rPr>
          <w:color w:val="000000" w:themeColor="text1"/>
          <w:highlight w:val="none"/>
        </w:rPr>
      </w:pPr>
      <w:r>
        <w:rPr>
          <w:color w:val="000000" w:themeColor="text1"/>
          <w:highlight w:val="none"/>
        </w:rPr>
        <w:t>（1）设置原则</w:t>
      </w:r>
    </w:p>
    <w:p w14:paraId="6A579CB9">
      <w:pPr>
        <w:pageBreakBefore w:val="0"/>
        <w:wordWrap/>
        <w:topLinePunct w:val="0"/>
        <w:bidi w:val="0"/>
        <w:spacing w:line="360" w:lineRule="auto"/>
        <w:rPr>
          <w:color w:val="000000" w:themeColor="text1"/>
          <w:highlight w:val="none"/>
        </w:rPr>
      </w:pPr>
      <w:r>
        <w:rPr>
          <w:color w:val="000000" w:themeColor="text1"/>
          <w:highlight w:val="none"/>
        </w:rPr>
        <w:t>本项目桥梁施工场地临时占地应尽量避免占用耕地，不得占用永久基本农田、基本草原、国家重点公益林及一般公益林；不得占用特殊、重要生态环境敏感区或饮用水水源保护区；位置应交通便利，避免运距过长，减少施工便道的修建</w:t>
      </w:r>
      <w:r>
        <w:rPr>
          <w:rFonts w:hint="eastAsia"/>
          <w:color w:val="000000" w:themeColor="text1"/>
          <w:highlight w:val="none"/>
        </w:rPr>
        <w:t>，项目涉水桥梁施工均设置施工便桥。</w:t>
      </w:r>
    </w:p>
    <w:p w14:paraId="58662E00">
      <w:pPr>
        <w:pageBreakBefore w:val="0"/>
        <w:wordWrap/>
        <w:topLinePunct w:val="0"/>
        <w:bidi w:val="0"/>
        <w:spacing w:line="360" w:lineRule="auto"/>
        <w:rPr>
          <w:color w:val="000000" w:themeColor="text1"/>
          <w:highlight w:val="none"/>
        </w:rPr>
      </w:pPr>
      <w:r>
        <w:rPr>
          <w:color w:val="000000" w:themeColor="text1"/>
          <w:highlight w:val="none"/>
        </w:rPr>
        <w:t>（2）设置合理性分析</w:t>
      </w:r>
    </w:p>
    <w:p w14:paraId="5E038C99">
      <w:pPr>
        <w:pageBreakBefore w:val="0"/>
        <w:wordWrap/>
        <w:topLinePunct w:val="0"/>
        <w:bidi w:val="0"/>
        <w:spacing w:line="360" w:lineRule="auto"/>
        <w:rPr>
          <w:rFonts w:hint="eastAsia"/>
          <w:color w:val="000000" w:themeColor="text1"/>
          <w:highlight w:val="none"/>
        </w:rPr>
      </w:pPr>
      <w:r>
        <w:rPr>
          <w:color w:val="000000" w:themeColor="text1"/>
          <w:highlight w:val="none"/>
        </w:rPr>
        <w:t>本项目共设置</w:t>
      </w:r>
      <w:r>
        <w:rPr>
          <w:rFonts w:hint="eastAsia"/>
          <w:color w:val="000000" w:themeColor="text1"/>
          <w:highlight w:val="none"/>
          <w:lang w:val="en-US" w:eastAsia="zh-CN"/>
        </w:rPr>
        <w:t>3</w:t>
      </w:r>
      <w:r>
        <w:rPr>
          <w:color w:val="000000" w:themeColor="text1"/>
          <w:highlight w:val="none"/>
        </w:rPr>
        <w:t>处桥梁施工场地，均位于各桥梁附近</w:t>
      </w:r>
      <w:r>
        <w:rPr>
          <w:rFonts w:hint="eastAsia"/>
          <w:color w:val="000000" w:themeColor="text1"/>
          <w:highlight w:val="none"/>
          <w:lang w:eastAsia="zh-CN"/>
        </w:rPr>
        <w:t>，</w:t>
      </w:r>
      <w:r>
        <w:rPr>
          <w:color w:val="000000" w:themeColor="text1"/>
          <w:highlight w:val="none"/>
        </w:rPr>
        <w:t>合计占地面积</w:t>
      </w:r>
      <w:r>
        <w:rPr>
          <w:rFonts w:hint="eastAsia"/>
          <w:color w:val="000000" w:themeColor="text1"/>
          <w:highlight w:val="none"/>
          <w:lang w:val="en-US" w:eastAsia="zh-CN"/>
        </w:rPr>
        <w:t>0.4</w:t>
      </w:r>
      <w:r>
        <w:rPr>
          <w:color w:val="000000" w:themeColor="text1"/>
          <w:highlight w:val="none"/>
        </w:rPr>
        <w:t>hm</w:t>
      </w:r>
      <w:r>
        <w:rPr>
          <w:color w:val="000000" w:themeColor="text1"/>
          <w:highlight w:val="none"/>
          <w:vertAlign w:val="superscript"/>
        </w:rPr>
        <w:t>2</w:t>
      </w:r>
      <w:r>
        <w:rPr>
          <w:color w:val="000000" w:themeColor="text1"/>
          <w:highlight w:val="none"/>
        </w:rPr>
        <w:t>，</w:t>
      </w:r>
      <w:r>
        <w:rPr>
          <w:rFonts w:hint="eastAsia"/>
          <w:color w:val="000000" w:themeColor="text1"/>
          <w:highlight w:val="none"/>
          <w:lang w:val="en-US" w:eastAsia="zh-CN"/>
        </w:rPr>
        <w:t>均属于桥梁永久征地范围内，占地类型为耕地和草地</w:t>
      </w:r>
      <w:r>
        <w:rPr>
          <w:color w:val="000000" w:themeColor="text1"/>
          <w:highlight w:val="none"/>
        </w:rPr>
        <w:t>，</w:t>
      </w:r>
      <w:r>
        <w:rPr>
          <w:rFonts w:hint="eastAsia"/>
          <w:color w:val="000000" w:themeColor="text1"/>
          <w:highlight w:val="none"/>
        </w:rPr>
        <w:t>不占用生态保护红线，</w:t>
      </w:r>
      <w:r>
        <w:rPr>
          <w:color w:val="000000" w:themeColor="text1"/>
          <w:highlight w:val="none"/>
        </w:rPr>
        <w:t>场地周边300m范围内无居民分布。施工前剥离表土，并采取防风防雨措施。本项目桥梁施工场地设置合理。</w:t>
      </w:r>
    </w:p>
    <w:p w14:paraId="75E0EEC4">
      <w:pPr>
        <w:pStyle w:val="4"/>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2.1</w:t>
      </w:r>
      <w:r>
        <w:rPr>
          <w:rFonts w:hint="eastAsia"/>
          <w:color w:val="000000" w:themeColor="text1"/>
          <w:highlight w:val="none"/>
          <w:lang w:val="en-US" w:eastAsia="zh-CN"/>
        </w:rPr>
        <w:t>2</w:t>
      </w:r>
      <w:r>
        <w:rPr>
          <w:rFonts w:hint="eastAsia"/>
          <w:color w:val="000000" w:themeColor="text1"/>
          <w:highlight w:val="none"/>
        </w:rPr>
        <w:t>.</w:t>
      </w:r>
      <w:r>
        <w:rPr>
          <w:rFonts w:hint="eastAsia"/>
          <w:color w:val="000000" w:themeColor="text1"/>
          <w:highlight w:val="none"/>
          <w:lang w:val="en-US" w:eastAsia="zh-CN"/>
        </w:rPr>
        <w:t>5</w:t>
      </w:r>
      <w:r>
        <w:rPr>
          <w:color w:val="000000" w:themeColor="text1"/>
          <w:highlight w:val="none"/>
        </w:rPr>
        <w:t>施工</w:t>
      </w:r>
      <w:r>
        <w:rPr>
          <w:rFonts w:hint="eastAsia"/>
          <w:color w:val="000000" w:themeColor="text1"/>
          <w:highlight w:val="none"/>
          <w:lang w:val="en-US" w:eastAsia="zh-CN"/>
        </w:rPr>
        <w:t>道路</w:t>
      </w:r>
    </w:p>
    <w:p w14:paraId="031041EF">
      <w:pPr>
        <w:pageBreakBefore w:val="0"/>
        <w:wordWrap/>
        <w:topLinePunct w:val="0"/>
        <w:bidi w:val="0"/>
        <w:spacing w:line="360" w:lineRule="auto"/>
        <w:rPr>
          <w:color w:val="000000" w:themeColor="text1"/>
          <w:highlight w:val="none"/>
        </w:rPr>
      </w:pPr>
      <w:r>
        <w:rPr>
          <w:rFonts w:hint="eastAsia"/>
          <w:color w:val="000000" w:themeColor="text1"/>
          <w:highlight w:val="none"/>
        </w:rPr>
        <w:t>施工道路分为场内道路及场外道路，场外道路除利用G332鹤名公路和乡镇道路运输材料外，新建施工便道长度1.08km，平均宽度7.0m，占地面积为7557m</w:t>
      </w:r>
      <w:r>
        <w:rPr>
          <w:rFonts w:hint="eastAsia"/>
          <w:color w:val="000000" w:themeColor="text1"/>
          <w:highlight w:val="none"/>
          <w:vertAlign w:val="superscript"/>
        </w:rPr>
        <w:t>2</w:t>
      </w:r>
      <w:r>
        <w:rPr>
          <w:rFonts w:hint="eastAsia"/>
          <w:color w:val="000000" w:themeColor="text1"/>
          <w:highlight w:val="none"/>
        </w:rPr>
        <w:t>，全部为临时占地。待工程结束后拆除，满足运输要求。</w:t>
      </w:r>
      <w:r>
        <w:rPr>
          <w:color w:val="000000" w:themeColor="text1"/>
          <w:highlight w:val="none"/>
        </w:rPr>
        <w:t>施工前剥离表土，并采取防风防雨措施。</w:t>
      </w:r>
    </w:p>
    <w:p w14:paraId="304DFCE1">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本项目施工道路</w:t>
      </w:r>
      <w:r>
        <w:rPr>
          <w:rFonts w:hint="eastAsia"/>
          <w:color w:val="000000" w:themeColor="text1"/>
          <w:highlight w:val="none"/>
        </w:rPr>
        <w:t>临时用地确实难以避让永久基本农田，</w:t>
      </w:r>
      <w:r>
        <w:rPr>
          <w:rFonts w:hint="eastAsia"/>
          <w:color w:val="000000" w:themeColor="text1"/>
          <w:highlight w:val="none"/>
          <w:lang w:val="en-US" w:eastAsia="zh-CN"/>
        </w:rPr>
        <w:t>本项目在建设过程中临时占地内</w:t>
      </w:r>
      <w:r>
        <w:rPr>
          <w:rFonts w:hint="eastAsia"/>
          <w:color w:val="000000" w:themeColor="text1"/>
          <w:highlight w:val="none"/>
        </w:rPr>
        <w:t>不修建永久性建（构）筑物、经复垦能恢复原种植</w:t>
      </w:r>
      <w:r>
        <w:rPr>
          <w:rFonts w:hint="eastAsia"/>
          <w:color w:val="000000" w:themeColor="text1"/>
          <w:highlight w:val="none"/>
          <w:lang w:eastAsia="zh-CN"/>
        </w:rPr>
        <w:t>。</w:t>
      </w:r>
      <w:r>
        <w:rPr>
          <w:rFonts w:hint="eastAsia"/>
          <w:color w:val="000000" w:themeColor="text1"/>
          <w:highlight w:val="none"/>
          <w:lang w:val="en-US" w:eastAsia="zh-CN"/>
        </w:rPr>
        <w:t>本项目建设单位</w:t>
      </w:r>
      <w:r>
        <w:rPr>
          <w:rFonts w:hint="eastAsia"/>
          <w:color w:val="000000" w:themeColor="text1"/>
          <w:highlight w:val="none"/>
        </w:rPr>
        <w:t>按法定程序申请临时用地并编制土地复垦方案，经县级自然资源主管部门批准可临时占用，并在市级自然资源主管部门备案，同时，通过耕地耕作层土壤剥离再利用等工程技术措施，减少对耕作层的破坏。临时用地到期后</w:t>
      </w:r>
      <w:r>
        <w:rPr>
          <w:rFonts w:hint="eastAsia"/>
          <w:color w:val="000000" w:themeColor="text1"/>
          <w:highlight w:val="none"/>
          <w:lang w:val="en-US" w:eastAsia="zh-CN"/>
        </w:rPr>
        <w:t>建设单位</w:t>
      </w:r>
      <w:r>
        <w:rPr>
          <w:rFonts w:hint="eastAsia"/>
          <w:color w:val="000000" w:themeColor="text1"/>
          <w:highlight w:val="none"/>
        </w:rPr>
        <w:t>及时复垦恢复原种植条件，县级自然资源主管部门会同农业农村等相关主管部门开展土地复垦验收，验收合格的，继续按照永久基本农田保护和管理</w:t>
      </w:r>
      <w:r>
        <w:rPr>
          <w:rFonts w:hint="eastAsia"/>
          <w:color w:val="000000" w:themeColor="text1"/>
          <w:highlight w:val="none"/>
          <w:lang w:val="en-US" w:eastAsia="zh-CN"/>
        </w:rPr>
        <w:t>。</w:t>
      </w:r>
      <w:r>
        <w:rPr>
          <w:color w:val="000000" w:themeColor="text1"/>
          <w:highlight w:val="none"/>
        </w:rPr>
        <w:t>施工结束后，</w:t>
      </w:r>
      <w:r>
        <w:rPr>
          <w:rFonts w:hint="eastAsia"/>
          <w:color w:val="000000" w:themeColor="text1"/>
          <w:highlight w:val="none"/>
          <w:lang w:val="en-US" w:eastAsia="zh-CN"/>
        </w:rPr>
        <w:t>临时便道</w:t>
      </w:r>
      <w:r>
        <w:rPr>
          <w:color w:val="000000" w:themeColor="text1"/>
          <w:highlight w:val="none"/>
        </w:rPr>
        <w:t>恢复为</w:t>
      </w:r>
      <w:r>
        <w:rPr>
          <w:rFonts w:hint="eastAsia"/>
          <w:color w:val="000000" w:themeColor="text1"/>
          <w:highlight w:val="none"/>
          <w:lang w:val="en-US" w:eastAsia="zh-CN"/>
        </w:rPr>
        <w:t>原有用地类型</w:t>
      </w:r>
      <w:r>
        <w:rPr>
          <w:rFonts w:hint="eastAsia"/>
          <w:color w:val="000000" w:themeColor="text1"/>
          <w:highlight w:val="none"/>
          <w:lang w:eastAsia="zh-CN"/>
        </w:rPr>
        <w:t>，</w:t>
      </w:r>
      <w:r>
        <w:rPr>
          <w:color w:val="000000" w:themeColor="text1"/>
          <w:highlight w:val="none"/>
        </w:rPr>
        <w:t>本项目</w:t>
      </w:r>
      <w:r>
        <w:rPr>
          <w:rFonts w:hint="eastAsia"/>
          <w:color w:val="000000" w:themeColor="text1"/>
          <w:highlight w:val="none"/>
          <w:lang w:val="en-US" w:eastAsia="zh-CN"/>
        </w:rPr>
        <w:t>施工道路</w:t>
      </w:r>
      <w:r>
        <w:rPr>
          <w:color w:val="000000" w:themeColor="text1"/>
          <w:highlight w:val="none"/>
        </w:rPr>
        <w:t>设置合理。</w:t>
      </w:r>
    </w:p>
    <w:p w14:paraId="5642097B">
      <w:pPr>
        <w:pStyle w:val="4"/>
        <w:pageBreakBefore w:val="0"/>
        <w:wordWrap/>
        <w:topLinePunct w:val="0"/>
        <w:bidi w:val="0"/>
        <w:spacing w:before="156" w:line="360" w:lineRule="auto"/>
        <w:rPr>
          <w:rFonts w:hint="eastAsia" w:eastAsia="宋体"/>
          <w:color w:val="000000" w:themeColor="text1"/>
          <w:highlight w:val="none"/>
          <w:lang w:val="en-US" w:eastAsia="zh-CN"/>
        </w:rPr>
      </w:pPr>
      <w:bookmarkStart w:id="213" w:name="_Toc262567179"/>
      <w:bookmarkStart w:id="214" w:name="_Toc9484"/>
      <w:bookmarkStart w:id="215" w:name="_Toc13306"/>
      <w:r>
        <w:rPr>
          <w:rFonts w:hint="eastAsia"/>
          <w:color w:val="000000" w:themeColor="text1"/>
          <w:highlight w:val="none"/>
        </w:rPr>
        <w:t>2.1</w:t>
      </w:r>
      <w:r>
        <w:rPr>
          <w:rFonts w:hint="eastAsia"/>
          <w:color w:val="000000" w:themeColor="text1"/>
          <w:highlight w:val="none"/>
          <w:lang w:val="en-US" w:eastAsia="zh-CN"/>
        </w:rPr>
        <w:t>2</w:t>
      </w:r>
      <w:r>
        <w:rPr>
          <w:rFonts w:hint="eastAsia"/>
          <w:color w:val="000000" w:themeColor="text1"/>
          <w:highlight w:val="none"/>
        </w:rPr>
        <w:t>.</w:t>
      </w:r>
      <w:r>
        <w:rPr>
          <w:rFonts w:hint="eastAsia"/>
          <w:color w:val="000000" w:themeColor="text1"/>
          <w:highlight w:val="none"/>
          <w:lang w:val="en-US" w:eastAsia="zh-CN"/>
        </w:rPr>
        <w:t>6弃渣场</w:t>
      </w:r>
    </w:p>
    <w:p w14:paraId="4182E2CF">
      <w:pPr>
        <w:pageBreakBefore w:val="0"/>
        <w:wordWrap/>
        <w:topLinePunct w:val="0"/>
        <w:bidi w:val="0"/>
        <w:spacing w:line="360" w:lineRule="auto"/>
        <w:rPr>
          <w:color w:val="000000" w:themeColor="text1"/>
          <w:highlight w:val="none"/>
        </w:rPr>
      </w:pPr>
      <w:r>
        <w:rPr>
          <w:color w:val="000000" w:themeColor="text1"/>
          <w:highlight w:val="none"/>
        </w:rPr>
        <w:t>（1）设置原则</w:t>
      </w:r>
    </w:p>
    <w:p w14:paraId="0F1B9816">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1）严禁在对公共设施、基础设施、工业企业、居民点等有重大影响的区域设置弃土（石、渣、灰、矸石、尾矿）场。</w:t>
      </w:r>
    </w:p>
    <w:p w14:paraId="209D259C">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2）涉及河道的应符合河流防洪规划和治导线的规定，不得设置在河道、湖泊和建成水库管理范围内；</w:t>
      </w:r>
    </w:p>
    <w:p w14:paraId="5DE5D56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3）在山丘区宜选择荒沟、凹地、支毛沟，平原区宜选择凹地、荒地，风沙区宜避开风口；</w:t>
      </w:r>
    </w:p>
    <w:p w14:paraId="27DD27D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4）应充分利用取土（石、砂）场、废弃采坑、沉陷区等场地；</w:t>
      </w:r>
    </w:p>
    <w:p w14:paraId="6FE531C3">
      <w:pPr>
        <w:pageBreakBefore w:val="0"/>
        <w:wordWrap/>
        <w:topLinePunct w:val="0"/>
        <w:bidi w:val="0"/>
        <w:spacing w:line="360" w:lineRule="auto"/>
        <w:rPr>
          <w:color w:val="000000" w:themeColor="text1"/>
          <w:highlight w:val="none"/>
        </w:rPr>
      </w:pPr>
      <w:r>
        <w:rPr>
          <w:rFonts w:hint="eastAsia"/>
          <w:color w:val="000000" w:themeColor="text1"/>
          <w:highlight w:val="none"/>
        </w:rPr>
        <w:t>5）应综合考虑弃土（石、渣、灰、矸石、尾矿）结束后的土地利用。</w:t>
      </w:r>
    </w:p>
    <w:p w14:paraId="719574B6">
      <w:pPr>
        <w:pageBreakBefore w:val="0"/>
        <w:wordWrap/>
        <w:topLinePunct w:val="0"/>
        <w:bidi w:val="0"/>
        <w:spacing w:line="360" w:lineRule="auto"/>
        <w:rPr>
          <w:color w:val="000000" w:themeColor="text1"/>
          <w:highlight w:val="none"/>
        </w:rPr>
      </w:pPr>
      <w:r>
        <w:rPr>
          <w:color w:val="000000" w:themeColor="text1"/>
          <w:highlight w:val="none"/>
        </w:rPr>
        <w:t>（2）设置合理性分析</w:t>
      </w:r>
    </w:p>
    <w:p w14:paraId="624AF8C2">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rPr>
        <w:t>根据弃渣场选择原则、弃渣量及弃渣产生部位，共布设1处弃渣场，弃渣场总占地面积0.61hm</w:t>
      </w:r>
      <w:r>
        <w:rPr>
          <w:rFonts w:hint="eastAsia"/>
          <w:color w:val="000000" w:themeColor="text1"/>
          <w:highlight w:val="none"/>
          <w:vertAlign w:val="superscript"/>
        </w:rPr>
        <w:t>2</w:t>
      </w:r>
      <w:r>
        <w:rPr>
          <w:rFonts w:hint="eastAsia"/>
          <w:color w:val="000000" w:themeColor="text1"/>
          <w:highlight w:val="none"/>
        </w:rPr>
        <w:t>，其中排水工程占地面积0.11hm</w:t>
      </w:r>
      <w:r>
        <w:rPr>
          <w:rFonts w:hint="eastAsia"/>
          <w:color w:val="000000" w:themeColor="text1"/>
          <w:highlight w:val="none"/>
          <w:vertAlign w:val="superscript"/>
        </w:rPr>
        <w:t>2</w:t>
      </w:r>
      <w:r>
        <w:rPr>
          <w:rFonts w:hint="eastAsia"/>
          <w:color w:val="000000" w:themeColor="text1"/>
          <w:highlight w:val="none"/>
        </w:rPr>
        <w:t>，弃渣场场内占地面积0.50hm</w:t>
      </w:r>
      <w:r>
        <w:rPr>
          <w:rFonts w:hint="eastAsia"/>
          <w:color w:val="000000" w:themeColor="text1"/>
          <w:highlight w:val="none"/>
          <w:vertAlign w:val="superscript"/>
        </w:rPr>
        <w:t>2</w:t>
      </w:r>
      <w:r>
        <w:rPr>
          <w:rFonts w:hint="eastAsia"/>
          <w:color w:val="000000" w:themeColor="text1"/>
          <w:highlight w:val="none"/>
        </w:rPr>
        <w:t>，现状为废弃坑塘，长度78m，宽度64m，平均深度5.8m，汇水面积0.86hm</w:t>
      </w:r>
      <w:r>
        <w:rPr>
          <w:rFonts w:hint="eastAsia"/>
          <w:color w:val="000000" w:themeColor="text1"/>
          <w:highlight w:val="none"/>
          <w:vertAlign w:val="superscript"/>
        </w:rPr>
        <w:t>2</w:t>
      </w:r>
      <w:r>
        <w:rPr>
          <w:rFonts w:hint="eastAsia"/>
          <w:color w:val="000000" w:themeColor="text1"/>
          <w:highlight w:val="none"/>
        </w:rPr>
        <w:t>，地面以下最大回填深度为5.8m，可弃土容量为2.90万m</w:t>
      </w:r>
      <w:r>
        <w:rPr>
          <w:rFonts w:hint="eastAsia"/>
          <w:color w:val="000000" w:themeColor="text1"/>
          <w:highlight w:val="none"/>
          <w:vertAlign w:val="superscript"/>
        </w:rPr>
        <w:t>3</w:t>
      </w:r>
      <w:r>
        <w:rPr>
          <w:rFonts w:hint="eastAsia"/>
          <w:color w:val="000000" w:themeColor="text1"/>
          <w:highlight w:val="none"/>
        </w:rPr>
        <w:t>，考虑堆放边坡稳定性的提前下，地面以上堆放高度可达到4m，堆放容量为1.66万m</w:t>
      </w:r>
      <w:r>
        <w:rPr>
          <w:rFonts w:hint="eastAsia"/>
          <w:color w:val="000000" w:themeColor="text1"/>
          <w:highlight w:val="none"/>
          <w:vertAlign w:val="superscript"/>
        </w:rPr>
        <w:t>3</w:t>
      </w:r>
      <w:r>
        <w:rPr>
          <w:rFonts w:hint="eastAsia"/>
          <w:color w:val="000000" w:themeColor="text1"/>
          <w:highlight w:val="none"/>
        </w:rPr>
        <w:t>，总可弃土量为4.56万m</w:t>
      </w:r>
      <w:r>
        <w:rPr>
          <w:rFonts w:hint="eastAsia"/>
          <w:color w:val="000000" w:themeColor="text1"/>
          <w:highlight w:val="none"/>
          <w:vertAlign w:val="superscript"/>
        </w:rPr>
        <w:t>3</w:t>
      </w:r>
      <w:r>
        <w:rPr>
          <w:rFonts w:hint="eastAsia"/>
          <w:color w:val="000000" w:themeColor="text1"/>
          <w:highlight w:val="none"/>
        </w:rPr>
        <w:t>，本工程弃渣量为2.89万m</w:t>
      </w:r>
      <w:r>
        <w:rPr>
          <w:rFonts w:hint="eastAsia"/>
          <w:color w:val="000000" w:themeColor="text1"/>
          <w:highlight w:val="none"/>
          <w:vertAlign w:val="superscript"/>
        </w:rPr>
        <w:t>3</w:t>
      </w:r>
      <w:r>
        <w:rPr>
          <w:rFonts w:hint="eastAsia"/>
          <w:color w:val="000000" w:themeColor="text1"/>
          <w:highlight w:val="none"/>
        </w:rPr>
        <w:t>，地面以下可容纳弃土量满足本项目弃土量需求，弃渣结束后渣顶回覆表土厚度0.17m，边坡采用1:1.5，基本同周边原地貌平稳顺接。弃渣场水土保持责任在本项目范围内，弃渣场选址均不在基本农田、生态保护红线、水源地、国家重点公益林等范围内</w:t>
      </w:r>
      <w:r>
        <w:rPr>
          <w:rFonts w:hint="eastAsia"/>
          <w:color w:val="000000" w:themeColor="text1"/>
          <w:highlight w:val="none"/>
          <w:lang w:eastAsia="zh-CN"/>
        </w:rPr>
        <w:t>。</w:t>
      </w:r>
    </w:p>
    <w:p w14:paraId="3B2968F3">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综上所述，本项目弃渣场选址合理。</w:t>
      </w:r>
    </w:p>
    <w:p w14:paraId="056BC24A">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2.1</w:t>
      </w:r>
      <w:r>
        <w:rPr>
          <w:rFonts w:hint="eastAsia"/>
          <w:color w:val="000000" w:themeColor="text1"/>
          <w:highlight w:val="none"/>
          <w:lang w:val="en-US" w:eastAsia="zh-CN"/>
        </w:rPr>
        <w:t>2.7</w:t>
      </w:r>
      <w:r>
        <w:rPr>
          <w:color w:val="000000" w:themeColor="text1"/>
          <w:highlight w:val="none"/>
        </w:rPr>
        <w:t>结论</w:t>
      </w:r>
      <w:bookmarkEnd w:id="213"/>
      <w:bookmarkEnd w:id="214"/>
      <w:bookmarkEnd w:id="215"/>
    </w:p>
    <w:p w14:paraId="7D166249">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本项目施工道路</w:t>
      </w:r>
      <w:r>
        <w:rPr>
          <w:rFonts w:hint="eastAsia"/>
          <w:color w:val="000000" w:themeColor="text1"/>
          <w:highlight w:val="none"/>
        </w:rPr>
        <w:t>临时用地确实难以避让永久基本农田，</w:t>
      </w:r>
      <w:r>
        <w:rPr>
          <w:rFonts w:hint="eastAsia"/>
          <w:color w:val="000000" w:themeColor="text1"/>
          <w:highlight w:val="none"/>
          <w:lang w:val="en-US" w:eastAsia="zh-CN"/>
        </w:rPr>
        <w:t>本项目在建设过程中临时占地内</w:t>
      </w:r>
      <w:r>
        <w:rPr>
          <w:rFonts w:hint="eastAsia"/>
          <w:color w:val="000000" w:themeColor="text1"/>
          <w:highlight w:val="none"/>
        </w:rPr>
        <w:t>不修建永久性建（构）筑物、经复垦能恢复原种植</w:t>
      </w:r>
      <w:r>
        <w:rPr>
          <w:rFonts w:hint="eastAsia"/>
          <w:color w:val="000000" w:themeColor="text1"/>
          <w:highlight w:val="none"/>
          <w:lang w:eastAsia="zh-CN"/>
        </w:rPr>
        <w:t>。</w:t>
      </w:r>
      <w:r>
        <w:rPr>
          <w:rFonts w:hint="eastAsia"/>
          <w:color w:val="000000" w:themeColor="text1"/>
          <w:highlight w:val="none"/>
          <w:lang w:val="en-US" w:eastAsia="zh-CN"/>
        </w:rPr>
        <w:t>本项目建设单位</w:t>
      </w:r>
      <w:r>
        <w:rPr>
          <w:rFonts w:hint="eastAsia"/>
          <w:color w:val="000000" w:themeColor="text1"/>
          <w:highlight w:val="none"/>
        </w:rPr>
        <w:t>按法定程序申请临时用地并编制土地复垦方案，经县级自然资源主管部门批准可临时占用，并在市级自然资源主管部门备案，同时，通过耕地耕作层土壤剥离再利用等工程技术措施，减少对耕作层的破坏。临时用地到期后</w:t>
      </w:r>
      <w:r>
        <w:rPr>
          <w:rFonts w:hint="eastAsia"/>
          <w:color w:val="000000" w:themeColor="text1"/>
          <w:highlight w:val="none"/>
          <w:lang w:val="en-US" w:eastAsia="zh-CN"/>
        </w:rPr>
        <w:t>建设单位</w:t>
      </w:r>
      <w:r>
        <w:rPr>
          <w:rFonts w:hint="eastAsia"/>
          <w:color w:val="000000" w:themeColor="text1"/>
          <w:highlight w:val="none"/>
        </w:rPr>
        <w:t>及时复垦恢复原种植条件，县级自然资源主管部门会同农业农村等相关主管部门开展土地复垦验收，验收合格的，继续按照永久基本农田保护和管理</w:t>
      </w:r>
      <w:r>
        <w:rPr>
          <w:rFonts w:hint="eastAsia"/>
          <w:color w:val="000000" w:themeColor="text1"/>
          <w:highlight w:val="none"/>
          <w:lang w:val="en-US" w:eastAsia="zh-CN"/>
        </w:rPr>
        <w:t>。</w:t>
      </w:r>
    </w:p>
    <w:p w14:paraId="004779B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本项目</w:t>
      </w:r>
      <w:r>
        <w:rPr>
          <w:rFonts w:hint="eastAsia"/>
          <w:color w:val="000000" w:themeColor="text1"/>
          <w:highlight w:val="none"/>
        </w:rPr>
        <w:t>坚持“用多少、批多少、占多少、恢复多少”，尽量不占或者少占耕地。科学组织施工，节约集约使用临时用地。制梁场、拌合站等难以恢复原种植条件的不占用耕地和永久基本农田。项目在临时用地使用结束后拆除临建设施，并进行土地复垦，临时占地可恢复原有土地功能。因此项目建设符合《自然资源部关于规范临时用地管理的通知》（自然资规〔2021〕2号）文件要求。</w:t>
      </w:r>
    </w:p>
    <w:p w14:paraId="5A03C604">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综上所述，</w:t>
      </w:r>
      <w:r>
        <w:rPr>
          <w:color w:val="000000" w:themeColor="text1"/>
          <w:highlight w:val="none"/>
        </w:rPr>
        <w:t>本项目建设环境合理。</w:t>
      </w:r>
    </w:p>
    <w:p w14:paraId="716DC4BC">
      <w:pPr>
        <w:pStyle w:val="42"/>
        <w:pageBreakBefore w:val="0"/>
        <w:wordWrap/>
        <w:topLinePunct w:val="0"/>
        <w:bidi w:val="0"/>
        <w:spacing w:line="360" w:lineRule="auto"/>
        <w:rPr>
          <w:rFonts w:ascii="Times New Roman" w:eastAsia="宋体"/>
          <w:b/>
          <w:color w:val="000000" w:themeColor="text1"/>
          <w:highlight w:val="none"/>
        </w:rPr>
        <w:sectPr>
          <w:footerReference r:id="rId1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2FA3BD82">
      <w:pPr>
        <w:pStyle w:val="2"/>
        <w:pageBreakBefore w:val="0"/>
        <w:wordWrap/>
        <w:topLinePunct w:val="0"/>
        <w:bidi w:val="0"/>
        <w:spacing w:line="360" w:lineRule="auto"/>
        <w:rPr>
          <w:color w:val="000000" w:themeColor="text1"/>
          <w:highlight w:val="none"/>
        </w:rPr>
      </w:pPr>
      <w:bookmarkStart w:id="216" w:name="_Toc28828"/>
      <w:bookmarkStart w:id="217" w:name="_Toc27902"/>
      <w:bookmarkStart w:id="218" w:name="_Toc7807"/>
      <w:bookmarkStart w:id="219" w:name="_Toc3944"/>
      <w:bookmarkStart w:id="220" w:name="_Toc518574365"/>
      <w:r>
        <w:rPr>
          <w:rFonts w:hint="eastAsia"/>
          <w:color w:val="000000" w:themeColor="text1"/>
          <w:highlight w:val="none"/>
        </w:rPr>
        <w:t>3</w:t>
      </w:r>
      <w:r>
        <w:rPr>
          <w:color w:val="000000" w:themeColor="text1"/>
          <w:highlight w:val="none"/>
        </w:rPr>
        <w:t>建设项目工程分析</w:t>
      </w:r>
      <w:bookmarkEnd w:id="216"/>
      <w:bookmarkEnd w:id="217"/>
      <w:bookmarkEnd w:id="218"/>
      <w:bookmarkEnd w:id="219"/>
      <w:bookmarkEnd w:id="220"/>
    </w:p>
    <w:p w14:paraId="24F486CA">
      <w:pPr>
        <w:pStyle w:val="3"/>
        <w:pageBreakBefore w:val="0"/>
        <w:wordWrap/>
        <w:topLinePunct w:val="0"/>
        <w:bidi w:val="0"/>
        <w:spacing w:line="360" w:lineRule="auto"/>
        <w:rPr>
          <w:color w:val="000000" w:themeColor="text1"/>
          <w:highlight w:val="none"/>
        </w:rPr>
      </w:pPr>
      <w:bookmarkStart w:id="221" w:name="_Toc518574366"/>
      <w:bookmarkStart w:id="222" w:name="_Toc23378"/>
      <w:bookmarkStart w:id="223" w:name="_Toc6519"/>
      <w:bookmarkStart w:id="224" w:name="_Toc4874"/>
      <w:bookmarkStart w:id="225" w:name="_Toc27290"/>
      <w:r>
        <w:rPr>
          <w:rFonts w:hint="eastAsia"/>
          <w:color w:val="000000" w:themeColor="text1"/>
          <w:highlight w:val="none"/>
        </w:rPr>
        <w:t>3.1</w:t>
      </w:r>
      <w:r>
        <w:rPr>
          <w:color w:val="000000" w:themeColor="text1"/>
          <w:highlight w:val="none"/>
        </w:rPr>
        <w:t>建设项目概况</w:t>
      </w:r>
      <w:bookmarkEnd w:id="221"/>
      <w:bookmarkEnd w:id="222"/>
      <w:bookmarkEnd w:id="223"/>
      <w:bookmarkEnd w:id="224"/>
      <w:bookmarkEnd w:id="225"/>
    </w:p>
    <w:p w14:paraId="27CD8727">
      <w:pPr>
        <w:pStyle w:val="4"/>
        <w:pageBreakBefore w:val="0"/>
        <w:wordWrap/>
        <w:topLinePunct w:val="0"/>
        <w:bidi w:val="0"/>
        <w:spacing w:before="156" w:line="360" w:lineRule="auto"/>
        <w:rPr>
          <w:color w:val="000000" w:themeColor="text1"/>
          <w:highlight w:val="none"/>
        </w:rPr>
      </w:pPr>
      <w:bookmarkStart w:id="226" w:name="_Toc7986"/>
      <w:bookmarkStart w:id="227" w:name="_Toc32739"/>
      <w:r>
        <w:rPr>
          <w:rFonts w:hint="eastAsia"/>
          <w:color w:val="000000" w:themeColor="text1"/>
          <w:highlight w:val="none"/>
        </w:rPr>
        <w:t>3.1.1</w:t>
      </w:r>
      <w:r>
        <w:rPr>
          <w:color w:val="000000" w:themeColor="text1"/>
          <w:highlight w:val="none"/>
        </w:rPr>
        <w:t>基本情况</w:t>
      </w:r>
      <w:bookmarkEnd w:id="226"/>
      <w:bookmarkEnd w:id="227"/>
    </w:p>
    <w:p w14:paraId="7BC520B6">
      <w:pPr>
        <w:pageBreakBefore w:val="0"/>
        <w:wordWrap/>
        <w:topLinePunct w:val="0"/>
        <w:bidi w:val="0"/>
        <w:spacing w:line="360" w:lineRule="auto"/>
        <w:rPr>
          <w:rFonts w:hint="default"/>
          <w:color w:val="000000" w:themeColor="text1"/>
          <w:highlight w:val="none"/>
          <w:lang w:val="en-US"/>
        </w:rPr>
      </w:pPr>
      <w:r>
        <w:rPr>
          <w:color w:val="000000" w:themeColor="text1"/>
          <w:highlight w:val="none"/>
        </w:rPr>
        <w:t>（1）项目名称：</w:t>
      </w:r>
      <w:bookmarkStart w:id="228" w:name="_Hlk84850651"/>
      <w:r>
        <w:rPr>
          <w:rFonts w:hint="eastAsia"/>
          <w:color w:val="000000" w:themeColor="text1"/>
          <w:sz w:val="24"/>
          <w:szCs w:val="24"/>
          <w:highlight w:val="none"/>
          <w:lang w:val="en-US" w:eastAsia="zh-CN"/>
        </w:rPr>
        <w:t>新建黑龙江鹤岗机场场外配套工程（机场进场路建设工程）项目</w:t>
      </w:r>
    </w:p>
    <w:bookmarkEnd w:id="228"/>
    <w:p w14:paraId="4552F971">
      <w:pPr>
        <w:pageBreakBefore w:val="0"/>
        <w:wordWrap/>
        <w:topLinePunct w:val="0"/>
        <w:bidi w:val="0"/>
        <w:spacing w:line="360" w:lineRule="auto"/>
        <w:rPr>
          <w:color w:val="000000" w:themeColor="text1"/>
          <w:highlight w:val="none"/>
        </w:rPr>
      </w:pPr>
      <w:bookmarkStart w:id="229" w:name="_Toc139700827"/>
      <w:bookmarkStart w:id="230" w:name="_Toc208218261"/>
      <w:r>
        <w:rPr>
          <w:color w:val="000000" w:themeColor="text1"/>
          <w:highlight w:val="none"/>
        </w:rPr>
        <w:t>（2）建设性质：新建</w:t>
      </w:r>
    </w:p>
    <w:p w14:paraId="3D9B274D">
      <w:pPr>
        <w:pageBreakBefore w:val="0"/>
        <w:wordWrap/>
        <w:topLinePunct w:val="0"/>
        <w:bidi w:val="0"/>
        <w:spacing w:line="360" w:lineRule="auto"/>
        <w:rPr>
          <w:color w:val="000000" w:themeColor="text1"/>
          <w:highlight w:val="none"/>
        </w:rPr>
      </w:pPr>
      <w:r>
        <w:rPr>
          <w:color w:val="000000" w:themeColor="text1"/>
          <w:highlight w:val="none"/>
        </w:rPr>
        <w:t>（3）建设单位：</w:t>
      </w:r>
      <w:bookmarkStart w:id="231" w:name="_Hlk70674003"/>
      <w:r>
        <w:rPr>
          <w:rFonts w:hint="eastAsia"/>
          <w:color w:val="000000" w:themeColor="text1"/>
          <w:highlight w:val="none"/>
          <w:lang w:val="en-US" w:eastAsia="zh-CN"/>
        </w:rPr>
        <w:t>鹤岗宝泉机场建设有限公司</w:t>
      </w:r>
      <w:bookmarkEnd w:id="231"/>
    </w:p>
    <w:p w14:paraId="4FD66A52">
      <w:pPr>
        <w:pageBreakBefore w:val="0"/>
        <w:wordWrap/>
        <w:topLinePunct w:val="0"/>
        <w:bidi w:val="0"/>
        <w:spacing w:line="360" w:lineRule="auto"/>
        <w:rPr>
          <w:color w:val="000000" w:themeColor="text1"/>
          <w:highlight w:val="none"/>
        </w:rPr>
      </w:pPr>
      <w:r>
        <w:rPr>
          <w:color w:val="000000" w:themeColor="text1"/>
          <w:highlight w:val="none"/>
        </w:rPr>
        <w:t>（4）总投资：</w:t>
      </w:r>
      <w:r>
        <w:rPr>
          <w:rFonts w:hint="eastAsia"/>
          <w:color w:val="000000" w:themeColor="text1"/>
          <w:highlight w:val="none"/>
          <w:lang w:val="en-US" w:eastAsia="zh-CN"/>
        </w:rPr>
        <w:t>12509.47</w:t>
      </w:r>
      <w:r>
        <w:rPr>
          <w:rFonts w:hint="eastAsia"/>
          <w:color w:val="000000" w:themeColor="text1"/>
          <w:highlight w:val="none"/>
        </w:rPr>
        <w:t>万</w:t>
      </w:r>
      <w:r>
        <w:rPr>
          <w:color w:val="000000" w:themeColor="text1"/>
          <w:highlight w:val="none"/>
        </w:rPr>
        <w:t>元</w:t>
      </w:r>
    </w:p>
    <w:p w14:paraId="660BF66C">
      <w:pPr>
        <w:pageBreakBefore w:val="0"/>
        <w:wordWrap/>
        <w:topLinePunct w:val="0"/>
        <w:bidi w:val="0"/>
        <w:spacing w:line="360" w:lineRule="auto"/>
        <w:rPr>
          <w:color w:val="000000" w:themeColor="text1"/>
          <w:highlight w:val="none"/>
        </w:rPr>
      </w:pPr>
      <w:r>
        <w:rPr>
          <w:color w:val="000000" w:themeColor="text1"/>
          <w:highlight w:val="none"/>
        </w:rPr>
        <w:t>（5）施工期：20</w:t>
      </w:r>
      <w:r>
        <w:rPr>
          <w:rFonts w:hint="eastAsia"/>
          <w:color w:val="000000" w:themeColor="text1"/>
          <w:highlight w:val="none"/>
        </w:rPr>
        <w:t>2</w:t>
      </w:r>
      <w:r>
        <w:rPr>
          <w:rFonts w:hint="eastAsia"/>
          <w:color w:val="000000" w:themeColor="text1"/>
          <w:highlight w:val="none"/>
          <w:lang w:val="en-US" w:eastAsia="zh-CN"/>
        </w:rPr>
        <w:t>5</w:t>
      </w:r>
      <w:r>
        <w:rPr>
          <w:color w:val="000000" w:themeColor="text1"/>
          <w:highlight w:val="none"/>
        </w:rPr>
        <w:t>年</w:t>
      </w:r>
      <w:r>
        <w:rPr>
          <w:rFonts w:hint="eastAsia"/>
          <w:color w:val="000000" w:themeColor="text1"/>
          <w:highlight w:val="none"/>
          <w:lang w:val="en-US" w:eastAsia="zh-CN"/>
        </w:rPr>
        <w:t>11</w:t>
      </w:r>
      <w:r>
        <w:rPr>
          <w:color w:val="000000" w:themeColor="text1"/>
          <w:highlight w:val="none"/>
        </w:rPr>
        <w:t>月至202</w:t>
      </w:r>
      <w:r>
        <w:rPr>
          <w:rFonts w:hint="eastAsia"/>
          <w:color w:val="000000" w:themeColor="text1"/>
          <w:highlight w:val="none"/>
          <w:lang w:val="en-US" w:eastAsia="zh-CN"/>
        </w:rPr>
        <w:t>6</w:t>
      </w:r>
      <w:r>
        <w:rPr>
          <w:color w:val="000000" w:themeColor="text1"/>
          <w:highlight w:val="none"/>
        </w:rPr>
        <w:t>年</w:t>
      </w:r>
      <w:r>
        <w:rPr>
          <w:rFonts w:hint="eastAsia"/>
          <w:color w:val="000000" w:themeColor="text1"/>
          <w:highlight w:val="none"/>
          <w:lang w:val="en-US" w:eastAsia="zh-CN"/>
        </w:rPr>
        <w:t>10</w:t>
      </w:r>
      <w:r>
        <w:rPr>
          <w:color w:val="000000" w:themeColor="text1"/>
          <w:highlight w:val="none"/>
        </w:rPr>
        <w:t>月，工期</w:t>
      </w:r>
      <w:r>
        <w:rPr>
          <w:rFonts w:hint="eastAsia"/>
          <w:color w:val="000000" w:themeColor="text1"/>
          <w:highlight w:val="none"/>
          <w:lang w:val="en-US" w:eastAsia="zh-CN"/>
        </w:rPr>
        <w:t>1</w:t>
      </w:r>
      <w:r>
        <w:rPr>
          <w:color w:val="000000" w:themeColor="text1"/>
          <w:highlight w:val="none"/>
        </w:rPr>
        <w:t>年</w:t>
      </w:r>
    </w:p>
    <w:p w14:paraId="093A55A5">
      <w:pPr>
        <w:pageBreakBefore w:val="0"/>
        <w:wordWrap/>
        <w:topLinePunct w:val="0"/>
        <w:bidi w:val="0"/>
        <w:spacing w:line="360" w:lineRule="auto"/>
        <w:rPr>
          <w:rFonts w:hint="eastAsia"/>
          <w:color w:val="000000" w:themeColor="text1"/>
          <w:highlight w:val="none"/>
          <w:lang w:val="en-US" w:eastAsia="zh-CN"/>
        </w:rPr>
      </w:pPr>
      <w:r>
        <w:rPr>
          <w:color w:val="000000" w:themeColor="text1"/>
          <w:highlight w:val="none"/>
        </w:rPr>
        <w:t>（6）</w:t>
      </w:r>
      <w:r>
        <w:rPr>
          <w:rFonts w:hint="eastAsia"/>
          <w:color w:val="000000" w:themeColor="text1"/>
          <w:highlight w:val="none"/>
          <w:lang w:val="en-US" w:eastAsia="zh-CN"/>
        </w:rPr>
        <w:t>建设内容和规模：</w:t>
      </w:r>
      <w:r>
        <w:rPr>
          <w:rFonts w:hint="eastAsia" w:ascii="Times New Roman" w:hAnsi="宋体"/>
          <w:color w:val="000000" w:themeColor="text1"/>
          <w:sz w:val="24"/>
          <w:szCs w:val="24"/>
          <w:highlight w:val="none"/>
          <w:lang w:val="en-US" w:eastAsia="zh-CN"/>
        </w:rPr>
        <w:t>新建机场</w:t>
      </w:r>
      <w:r>
        <w:rPr>
          <w:rFonts w:hint="eastAsia"/>
          <w:color w:val="000000" w:themeColor="text1"/>
          <w:highlight w:val="none"/>
          <w:lang w:val="en-US" w:eastAsia="zh-CN"/>
        </w:rPr>
        <w:t>进场路道路长度约6.541km，其中新建机场进场路主线长度6.323km，新建连接线0.218km，为二级公路标准。</w:t>
      </w:r>
    </w:p>
    <w:p w14:paraId="004186C6">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7）</w:t>
      </w:r>
      <w:r>
        <w:rPr>
          <w:color w:val="000000" w:themeColor="text1"/>
          <w:highlight w:val="none"/>
        </w:rPr>
        <w:t>项目路线位置、走向及主要控制点：</w:t>
      </w:r>
      <w:bookmarkEnd w:id="229"/>
      <w:bookmarkEnd w:id="230"/>
    </w:p>
    <w:p w14:paraId="1A04A3A1">
      <w:pPr>
        <w:pageBreakBefore w:val="0"/>
        <w:wordWrap/>
        <w:topLinePunct w:val="0"/>
        <w:bidi w:val="0"/>
        <w:spacing w:line="360" w:lineRule="auto"/>
        <w:rPr>
          <w:rFonts w:hint="eastAsia"/>
          <w:color w:val="000000" w:themeColor="text1"/>
          <w:highlight w:val="none"/>
          <w:lang w:val="en-US" w:eastAsia="zh-CN"/>
        </w:rPr>
      </w:pPr>
      <w:bookmarkStart w:id="232" w:name="_Hlk84850932"/>
      <w:r>
        <w:rPr>
          <w:rFonts w:hint="eastAsia"/>
          <w:color w:val="000000" w:themeColor="text1"/>
          <w:highlight w:val="none"/>
          <w:lang w:val="en-US" w:eastAsia="zh-CN"/>
        </w:rPr>
        <w:t>本项目起点位于G332国道鹤名公路（桩号K87+167）与现状土路交口处，沿现有土路路线向北布线至K2+523.5与现状路北一支渠相交，新建一座跨沟渠桥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，过河后至K3+768路线与鹤北铁路相交，新建一座跨铁路大桥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7×30m小箱梁桥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，过铁路后向北行进至K3+971与朝鲜河相交，新建一座跨朝鲜河桥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，终点接至机场主入口，路线全长6.323km。</w:t>
      </w:r>
    </w:p>
    <w:p w14:paraId="0CF6A86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设置连接线一条，起点位于进场路K6+220.802处，终点与机场规划消防建筑场坪入口相接，全长0.218km。</w:t>
      </w:r>
    </w:p>
    <w:bookmarkEnd w:id="232"/>
    <w:p w14:paraId="141CDFB8">
      <w:pPr>
        <w:pageBreakBefore w:val="0"/>
        <w:wordWrap/>
        <w:topLinePunct w:val="0"/>
        <w:bidi w:val="0"/>
        <w:spacing w:line="360" w:lineRule="auto"/>
        <w:rPr>
          <w:rFonts w:hint="eastAsia"/>
          <w:color w:val="000000" w:themeColor="text1"/>
          <w:highlight w:val="none"/>
          <w:lang w:eastAsia="zh-CN"/>
        </w:rPr>
      </w:pPr>
      <w:r>
        <w:rPr>
          <w:color w:val="000000" w:themeColor="text1"/>
          <w:highlight w:val="none"/>
        </w:rPr>
        <w:t>主要控制点</w:t>
      </w:r>
      <w:r>
        <w:rPr>
          <w:rFonts w:hint="eastAsia"/>
          <w:color w:val="000000" w:themeColor="text1"/>
          <w:highlight w:val="none"/>
          <w:lang w:eastAsia="zh-CN"/>
        </w:rPr>
        <w:t>：</w:t>
      </w:r>
      <w:bookmarkStart w:id="233" w:name="_Toc10848"/>
      <w:bookmarkStart w:id="234" w:name="_Toc27411"/>
      <w:r>
        <w:rPr>
          <w:rFonts w:hint="eastAsia"/>
          <w:color w:val="000000" w:themeColor="text1"/>
          <w:highlight w:val="none"/>
          <w:lang w:val="en-US" w:eastAsia="zh-CN"/>
        </w:rPr>
        <w:t>鹤名公路、鹤北铁路、朝鲜河、新建鹤岗机场。</w:t>
      </w:r>
    </w:p>
    <w:bookmarkEnd w:id="233"/>
    <w:bookmarkEnd w:id="234"/>
    <w:p w14:paraId="72708503">
      <w:pPr>
        <w:pageBreakBefore w:val="0"/>
        <w:wordWrap/>
        <w:topLinePunct w:val="0"/>
        <w:bidi w:val="0"/>
        <w:spacing w:line="360" w:lineRule="auto"/>
        <w:rPr>
          <w:rFonts w:hint="default" w:eastAsia="宋体"/>
          <w:color w:val="000000" w:themeColor="text1"/>
          <w:highlight w:val="none"/>
          <w:lang w:val="en-US" w:eastAsia="zh-CN"/>
        </w:rPr>
      </w:pPr>
      <w:bookmarkStart w:id="235" w:name="_Toc28113"/>
      <w:bookmarkStart w:id="236" w:name="_Toc5721"/>
      <w:r>
        <w:rPr>
          <w:rFonts w:hint="eastAsia"/>
          <w:color w:val="000000" w:themeColor="text1"/>
          <w:highlight w:val="none"/>
          <w:lang w:val="en-US" w:eastAsia="zh-CN"/>
        </w:rPr>
        <w:t>既有乡村道路：本项目起点段利用既有乡村道路扩建，现状土路长约1200米，宽约7米，属于田间道。本项目建设沿现有土路路线向北布线，不会对既有道路产生负面影响。</w:t>
      </w:r>
    </w:p>
    <w:p w14:paraId="7300A4EE">
      <w:pPr>
        <w:pageBreakBefore w:val="0"/>
        <w:wordWrap/>
        <w:topLinePunct w:val="0"/>
        <w:bidi w:val="0"/>
        <w:spacing w:line="360" w:lineRule="auto"/>
        <w:rPr>
          <w:color w:val="000000" w:themeColor="text1"/>
          <w:highlight w:val="none"/>
        </w:rPr>
        <w:sectPr>
          <w:footnotePr>
            <w:numFmt w:val="decimalEnclosedCircle"/>
          </w:footnotePr>
          <w:pgSz w:w="11906" w:h="16838"/>
          <w:pgMar w:top="1440" w:right="1797" w:bottom="1440" w:left="1797" w:header="1021" w:footer="1021" w:gutter="0"/>
          <w:pgBorders>
            <w:top w:val="none" w:sz="0" w:space="0"/>
            <w:left w:val="none" w:sz="0" w:space="0"/>
            <w:bottom w:val="none" w:sz="0" w:space="0"/>
            <w:right w:val="none" w:sz="0" w:space="0"/>
          </w:pgBorders>
          <w:pgNumType w:fmt="decimal"/>
          <w:cols w:space="720" w:num="1"/>
          <w:docGrid w:linePitch="326" w:charSpace="0"/>
        </w:sectPr>
      </w:pPr>
      <w:r>
        <w:rPr>
          <w:color w:val="000000" w:themeColor="text1"/>
          <w:highlight w:val="none"/>
        </w:rPr>
        <w:t>本项目主要工程内容见表3.1-1。</w:t>
      </w:r>
    </w:p>
    <w:p w14:paraId="6F517690">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表3.1-1  工程组成一览表</w:t>
      </w:r>
    </w:p>
    <w:tbl>
      <w:tblPr>
        <w:tblStyle w:val="33"/>
        <w:tblW w:w="500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330"/>
        <w:gridCol w:w="347"/>
        <w:gridCol w:w="403"/>
        <w:gridCol w:w="1431"/>
        <w:gridCol w:w="749"/>
        <w:gridCol w:w="4540"/>
        <w:gridCol w:w="4699"/>
        <w:gridCol w:w="1479"/>
      </w:tblGrid>
      <w:tr w14:paraId="557B80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242" w:type="pct"/>
            <w:gridSpan w:val="2"/>
            <w:vMerge w:val="restart"/>
            <w:vAlign w:val="center"/>
          </w:tcPr>
          <w:p w14:paraId="219F039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项目</w:t>
            </w:r>
          </w:p>
        </w:tc>
        <w:tc>
          <w:tcPr>
            <w:tcW w:w="656" w:type="pct"/>
            <w:gridSpan w:val="2"/>
            <w:vMerge w:val="restart"/>
            <w:vAlign w:val="center"/>
          </w:tcPr>
          <w:p w14:paraId="6218F3A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工程内容</w:t>
            </w:r>
          </w:p>
        </w:tc>
        <w:tc>
          <w:tcPr>
            <w:tcW w:w="267" w:type="pct"/>
            <w:vMerge w:val="restart"/>
            <w:vAlign w:val="center"/>
          </w:tcPr>
          <w:p w14:paraId="64397A79">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单位</w:t>
            </w:r>
          </w:p>
        </w:tc>
        <w:tc>
          <w:tcPr>
            <w:tcW w:w="3305" w:type="pct"/>
            <w:gridSpan w:val="2"/>
            <w:vAlign w:val="center"/>
          </w:tcPr>
          <w:p w14:paraId="47574BEA">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新建黑龙江鹤岗机场场外配套工程（机场进场路建设工程）项目</w:t>
            </w:r>
          </w:p>
        </w:tc>
        <w:tc>
          <w:tcPr>
            <w:tcW w:w="528" w:type="pct"/>
            <w:vMerge w:val="restart"/>
            <w:vAlign w:val="center"/>
          </w:tcPr>
          <w:p w14:paraId="46556A5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备注</w:t>
            </w:r>
          </w:p>
        </w:tc>
      </w:tr>
      <w:tr w14:paraId="2C1DD9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242" w:type="pct"/>
            <w:gridSpan w:val="2"/>
            <w:vMerge w:val="continue"/>
            <w:vAlign w:val="center"/>
          </w:tcPr>
          <w:p w14:paraId="75823C71">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656" w:type="pct"/>
            <w:gridSpan w:val="2"/>
            <w:vMerge w:val="continue"/>
            <w:vAlign w:val="center"/>
          </w:tcPr>
          <w:p w14:paraId="5951CBDD">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267" w:type="pct"/>
            <w:vMerge w:val="continue"/>
            <w:vAlign w:val="center"/>
          </w:tcPr>
          <w:p w14:paraId="71215085">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624" w:type="pct"/>
            <w:vAlign w:val="center"/>
          </w:tcPr>
          <w:p w14:paraId="2AD48EAC">
            <w:pPr>
              <w:pageBreakBefore w:val="0"/>
              <w:wordWrap/>
              <w:topLinePunct w:val="0"/>
              <w:bidi w:val="0"/>
              <w:spacing w:line="240" w:lineRule="auto"/>
              <w:ind w:firstLine="0" w:firstLineChars="0"/>
              <w:jc w:val="center"/>
              <w:rPr>
                <w:color w:val="000000" w:themeColor="text1"/>
                <w:sz w:val="21"/>
                <w:szCs w:val="21"/>
                <w:highlight w:val="none"/>
              </w:rPr>
            </w:pPr>
            <w:r>
              <w:rPr>
                <w:snapToGrid w:val="0"/>
                <w:color w:val="000000" w:themeColor="text1"/>
                <w:sz w:val="21"/>
                <w:szCs w:val="21"/>
                <w:highlight w:val="none"/>
              </w:rPr>
              <w:t>主线</w:t>
            </w:r>
          </w:p>
        </w:tc>
        <w:tc>
          <w:tcPr>
            <w:tcW w:w="1680" w:type="pct"/>
            <w:vAlign w:val="center"/>
          </w:tcPr>
          <w:p w14:paraId="3F34BEAA">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连接线</w:t>
            </w:r>
          </w:p>
        </w:tc>
        <w:tc>
          <w:tcPr>
            <w:tcW w:w="528" w:type="pct"/>
            <w:vMerge w:val="continue"/>
            <w:vAlign w:val="center"/>
          </w:tcPr>
          <w:p w14:paraId="6CCFCC7B">
            <w:pPr>
              <w:pageBreakBefore w:val="0"/>
              <w:wordWrap/>
              <w:topLinePunct w:val="0"/>
              <w:bidi w:val="0"/>
              <w:spacing w:line="240" w:lineRule="auto"/>
              <w:ind w:firstLine="0" w:firstLineChars="0"/>
              <w:jc w:val="center"/>
              <w:rPr>
                <w:snapToGrid w:val="0"/>
                <w:color w:val="000000" w:themeColor="text1"/>
                <w:sz w:val="21"/>
                <w:szCs w:val="21"/>
                <w:highlight w:val="none"/>
              </w:rPr>
            </w:pPr>
          </w:p>
        </w:tc>
      </w:tr>
      <w:tr w14:paraId="5CB49C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restart"/>
            <w:vAlign w:val="center"/>
          </w:tcPr>
          <w:p w14:paraId="7EE4CB8A">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主体</w:t>
            </w:r>
          </w:p>
          <w:p w14:paraId="064E635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工程</w:t>
            </w:r>
          </w:p>
        </w:tc>
        <w:tc>
          <w:tcPr>
            <w:tcW w:w="124" w:type="pct"/>
            <w:vMerge w:val="restart"/>
            <w:vAlign w:val="center"/>
          </w:tcPr>
          <w:p w14:paraId="65562D34">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lang w:val="en-US" w:eastAsia="zh-CN"/>
              </w:rPr>
              <w:t>概况</w:t>
            </w:r>
          </w:p>
        </w:tc>
        <w:tc>
          <w:tcPr>
            <w:tcW w:w="656" w:type="pct"/>
            <w:gridSpan w:val="2"/>
            <w:vAlign w:val="center"/>
          </w:tcPr>
          <w:p w14:paraId="7192D22E">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桩号</w:t>
            </w:r>
          </w:p>
        </w:tc>
        <w:tc>
          <w:tcPr>
            <w:tcW w:w="267" w:type="pct"/>
            <w:vAlign w:val="center"/>
          </w:tcPr>
          <w:p w14:paraId="172475EB">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c>
          <w:tcPr>
            <w:tcW w:w="1624" w:type="pct"/>
            <w:vAlign w:val="center"/>
          </w:tcPr>
          <w:p w14:paraId="6BAA4ADE">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rPr>
            </w:pPr>
            <w:r>
              <w:rPr>
                <w:rFonts w:hint="eastAsia"/>
                <w:snapToGrid w:val="0"/>
                <w:color w:val="000000" w:themeColor="text1"/>
                <w:sz w:val="21"/>
                <w:szCs w:val="21"/>
                <w:highlight w:val="none"/>
                <w:lang w:val="en-US" w:eastAsia="zh-CN"/>
              </w:rPr>
              <w:t>K0+000~K6+323.021</w:t>
            </w:r>
          </w:p>
        </w:tc>
        <w:tc>
          <w:tcPr>
            <w:tcW w:w="1680" w:type="pct"/>
            <w:vAlign w:val="center"/>
          </w:tcPr>
          <w:p w14:paraId="28E25611">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K6+220.802~机场规划消防建筑场坪入口</w:t>
            </w:r>
          </w:p>
        </w:tc>
        <w:tc>
          <w:tcPr>
            <w:tcW w:w="528" w:type="pct"/>
            <w:vAlign w:val="center"/>
          </w:tcPr>
          <w:p w14:paraId="5A32FD13">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w:t>
            </w:r>
          </w:p>
        </w:tc>
      </w:tr>
      <w:tr w14:paraId="39AC0A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7E654C7D">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1AC692D1">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656" w:type="pct"/>
            <w:gridSpan w:val="2"/>
            <w:vAlign w:val="center"/>
          </w:tcPr>
          <w:p w14:paraId="49A0348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性质</w:t>
            </w:r>
          </w:p>
        </w:tc>
        <w:tc>
          <w:tcPr>
            <w:tcW w:w="267" w:type="pct"/>
            <w:vAlign w:val="center"/>
          </w:tcPr>
          <w:p w14:paraId="71DFE3BB">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c>
          <w:tcPr>
            <w:tcW w:w="1624" w:type="pct"/>
            <w:vAlign w:val="center"/>
          </w:tcPr>
          <w:p w14:paraId="7E574C9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新建</w:t>
            </w:r>
          </w:p>
        </w:tc>
        <w:tc>
          <w:tcPr>
            <w:tcW w:w="1680" w:type="pct"/>
            <w:vAlign w:val="center"/>
          </w:tcPr>
          <w:p w14:paraId="5FE18A9C">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新建</w:t>
            </w:r>
          </w:p>
        </w:tc>
        <w:tc>
          <w:tcPr>
            <w:tcW w:w="528" w:type="pct"/>
            <w:vAlign w:val="center"/>
          </w:tcPr>
          <w:p w14:paraId="33F3AD09">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rPr>
              <w:t>/</w:t>
            </w:r>
          </w:p>
        </w:tc>
      </w:tr>
      <w:tr w14:paraId="1A912A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4CACF8D">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764469A5">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656" w:type="pct"/>
            <w:gridSpan w:val="2"/>
            <w:vAlign w:val="center"/>
          </w:tcPr>
          <w:p w14:paraId="31552097">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路线长度</w:t>
            </w:r>
          </w:p>
        </w:tc>
        <w:tc>
          <w:tcPr>
            <w:tcW w:w="267" w:type="pct"/>
            <w:vAlign w:val="center"/>
          </w:tcPr>
          <w:p w14:paraId="509CA4F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km</w:t>
            </w:r>
          </w:p>
        </w:tc>
        <w:tc>
          <w:tcPr>
            <w:tcW w:w="1624" w:type="pct"/>
            <w:vAlign w:val="center"/>
          </w:tcPr>
          <w:p w14:paraId="4099303F">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6.323</w:t>
            </w:r>
          </w:p>
        </w:tc>
        <w:tc>
          <w:tcPr>
            <w:tcW w:w="1680" w:type="pct"/>
            <w:vAlign w:val="center"/>
          </w:tcPr>
          <w:p w14:paraId="02217F97">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0.218</w:t>
            </w:r>
          </w:p>
        </w:tc>
        <w:tc>
          <w:tcPr>
            <w:tcW w:w="528" w:type="pct"/>
            <w:vAlign w:val="center"/>
          </w:tcPr>
          <w:p w14:paraId="0CF78979">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6.541</w:t>
            </w:r>
          </w:p>
        </w:tc>
      </w:tr>
      <w:tr w14:paraId="1008B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6A4E3406">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391DA1C0">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656" w:type="pct"/>
            <w:gridSpan w:val="2"/>
            <w:vAlign w:val="center"/>
          </w:tcPr>
          <w:p w14:paraId="0EE4BCE1">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公路等级</w:t>
            </w:r>
          </w:p>
        </w:tc>
        <w:tc>
          <w:tcPr>
            <w:tcW w:w="267" w:type="pct"/>
            <w:vAlign w:val="center"/>
          </w:tcPr>
          <w:p w14:paraId="62382BC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级</w:t>
            </w:r>
          </w:p>
        </w:tc>
        <w:tc>
          <w:tcPr>
            <w:tcW w:w="1624" w:type="pct"/>
            <w:vAlign w:val="center"/>
          </w:tcPr>
          <w:p w14:paraId="0237BD8D">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二级</w:t>
            </w:r>
          </w:p>
        </w:tc>
        <w:tc>
          <w:tcPr>
            <w:tcW w:w="1680" w:type="pct"/>
            <w:vAlign w:val="center"/>
          </w:tcPr>
          <w:p w14:paraId="781BAEC7">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二级</w:t>
            </w:r>
          </w:p>
        </w:tc>
        <w:tc>
          <w:tcPr>
            <w:tcW w:w="528" w:type="pct"/>
            <w:vAlign w:val="center"/>
          </w:tcPr>
          <w:p w14:paraId="6A3EAE6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r>
      <w:tr w14:paraId="219C9A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118" w:type="pct"/>
            <w:vMerge w:val="continue"/>
            <w:vAlign w:val="center"/>
          </w:tcPr>
          <w:p w14:paraId="2C352310">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restart"/>
            <w:vAlign w:val="center"/>
          </w:tcPr>
          <w:p w14:paraId="6C3F8D88">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路基工程</w:t>
            </w:r>
          </w:p>
        </w:tc>
        <w:tc>
          <w:tcPr>
            <w:tcW w:w="656" w:type="pct"/>
            <w:gridSpan w:val="2"/>
            <w:vAlign w:val="center"/>
          </w:tcPr>
          <w:p w14:paraId="44D73B3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路基宽度</w:t>
            </w:r>
          </w:p>
        </w:tc>
        <w:tc>
          <w:tcPr>
            <w:tcW w:w="267" w:type="pct"/>
            <w:vAlign w:val="center"/>
          </w:tcPr>
          <w:p w14:paraId="79665DE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m</w:t>
            </w:r>
          </w:p>
        </w:tc>
        <w:tc>
          <w:tcPr>
            <w:tcW w:w="1624" w:type="pct"/>
            <w:vAlign w:val="center"/>
          </w:tcPr>
          <w:p w14:paraId="66F942F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12</w:t>
            </w:r>
          </w:p>
        </w:tc>
        <w:tc>
          <w:tcPr>
            <w:tcW w:w="1680" w:type="pct"/>
            <w:vAlign w:val="center"/>
          </w:tcPr>
          <w:p w14:paraId="4904EEC7">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12</w:t>
            </w:r>
          </w:p>
        </w:tc>
        <w:tc>
          <w:tcPr>
            <w:tcW w:w="528" w:type="pct"/>
            <w:vAlign w:val="center"/>
          </w:tcPr>
          <w:p w14:paraId="7D972E5E">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r>
      <w:tr w14:paraId="0A8C19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118" w:type="pct"/>
            <w:vMerge w:val="continue"/>
            <w:vAlign w:val="center"/>
          </w:tcPr>
          <w:p w14:paraId="47FCFD07">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68CDC8C8">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shd w:val="clear" w:color="auto" w:fill="auto"/>
            <w:vAlign w:val="center"/>
          </w:tcPr>
          <w:p w14:paraId="571F7330">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rPr>
              <w:t>道路边界线宽度</w:t>
            </w:r>
          </w:p>
        </w:tc>
        <w:tc>
          <w:tcPr>
            <w:tcW w:w="267" w:type="pct"/>
            <w:shd w:val="clear" w:color="auto" w:fill="auto"/>
            <w:vAlign w:val="center"/>
          </w:tcPr>
          <w:p w14:paraId="664AF61E">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m</w:t>
            </w:r>
          </w:p>
        </w:tc>
        <w:tc>
          <w:tcPr>
            <w:tcW w:w="1624" w:type="pct"/>
            <w:vAlign w:val="center"/>
          </w:tcPr>
          <w:p w14:paraId="2520F94C">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18~55</w:t>
            </w:r>
          </w:p>
        </w:tc>
        <w:tc>
          <w:tcPr>
            <w:tcW w:w="1680" w:type="pct"/>
            <w:vAlign w:val="center"/>
          </w:tcPr>
          <w:p w14:paraId="546CA1A6">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18~55</w:t>
            </w:r>
          </w:p>
        </w:tc>
        <w:tc>
          <w:tcPr>
            <w:tcW w:w="528" w:type="pct"/>
            <w:vAlign w:val="center"/>
          </w:tcPr>
          <w:p w14:paraId="313C33A7">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r>
      <w:tr w14:paraId="2D926F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118" w:type="pct"/>
            <w:vMerge w:val="continue"/>
            <w:vAlign w:val="center"/>
          </w:tcPr>
          <w:p w14:paraId="056EC6AE">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658F8BE7">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center"/>
          </w:tcPr>
          <w:p w14:paraId="7BCAE57D">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土石方数量</w:t>
            </w:r>
          </w:p>
        </w:tc>
        <w:tc>
          <w:tcPr>
            <w:tcW w:w="267" w:type="pct"/>
            <w:vAlign w:val="center"/>
          </w:tcPr>
          <w:p w14:paraId="489F44D6">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1000m</w:t>
            </w:r>
            <w:r>
              <w:rPr>
                <w:rFonts w:hint="eastAsia"/>
                <w:snapToGrid w:val="0"/>
                <w:color w:val="000000" w:themeColor="text1"/>
                <w:sz w:val="21"/>
                <w:szCs w:val="21"/>
                <w:highlight w:val="none"/>
                <w:vertAlign w:val="superscript"/>
                <w:lang w:val="en-US" w:eastAsia="zh-CN"/>
              </w:rPr>
              <w:t>3</w:t>
            </w:r>
          </w:p>
        </w:tc>
        <w:tc>
          <w:tcPr>
            <w:tcW w:w="1624" w:type="pct"/>
            <w:vAlign w:val="center"/>
          </w:tcPr>
          <w:p w14:paraId="5497528E">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color w:val="000000" w:themeColor="text1"/>
                <w:sz w:val="21"/>
                <w:szCs w:val="21"/>
                <w:highlight w:val="none"/>
                <w:lang w:val="en-US" w:eastAsia="zh-CN"/>
              </w:rPr>
              <w:t>277.7</w:t>
            </w:r>
          </w:p>
        </w:tc>
        <w:tc>
          <w:tcPr>
            <w:tcW w:w="1680" w:type="pct"/>
            <w:vAlign w:val="center"/>
          </w:tcPr>
          <w:p w14:paraId="19A21115">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9.4</w:t>
            </w:r>
          </w:p>
        </w:tc>
        <w:tc>
          <w:tcPr>
            <w:tcW w:w="528" w:type="pct"/>
            <w:shd w:val="clear" w:color="auto" w:fill="auto"/>
            <w:vAlign w:val="center"/>
          </w:tcPr>
          <w:p w14:paraId="2162AFC8">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287.1</w:t>
            </w:r>
          </w:p>
        </w:tc>
      </w:tr>
      <w:tr w14:paraId="4D09BB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AEF8D18">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4D3C47BE">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center"/>
          </w:tcPr>
          <w:p w14:paraId="5567B114">
            <w:pPr>
              <w:pageBreakBefore w:val="0"/>
              <w:wordWrap/>
              <w:topLinePunct w:val="0"/>
              <w:bidi w:val="0"/>
              <w:spacing w:line="240" w:lineRule="auto"/>
              <w:ind w:firstLine="0" w:firstLineChars="0"/>
              <w:jc w:val="right"/>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其中：填土方</w:t>
            </w:r>
          </w:p>
        </w:tc>
        <w:tc>
          <w:tcPr>
            <w:tcW w:w="267" w:type="pct"/>
            <w:vAlign w:val="center"/>
          </w:tcPr>
          <w:p w14:paraId="1A48BAC0">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1000m</w:t>
            </w:r>
            <w:r>
              <w:rPr>
                <w:rFonts w:hint="eastAsia"/>
                <w:snapToGrid w:val="0"/>
                <w:color w:val="000000" w:themeColor="text1"/>
                <w:sz w:val="21"/>
                <w:szCs w:val="21"/>
                <w:highlight w:val="none"/>
                <w:vertAlign w:val="superscript"/>
                <w:lang w:val="en-US" w:eastAsia="zh-CN"/>
              </w:rPr>
              <w:t>3</w:t>
            </w:r>
          </w:p>
        </w:tc>
        <w:tc>
          <w:tcPr>
            <w:tcW w:w="1624" w:type="pct"/>
            <w:vAlign w:val="center"/>
          </w:tcPr>
          <w:p w14:paraId="2B1C0AA5">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color w:val="000000" w:themeColor="text1"/>
                <w:sz w:val="21"/>
                <w:szCs w:val="21"/>
                <w:highlight w:val="none"/>
                <w:lang w:val="en-US" w:eastAsia="zh-CN"/>
              </w:rPr>
              <w:t>173.5</w:t>
            </w:r>
          </w:p>
        </w:tc>
        <w:tc>
          <w:tcPr>
            <w:tcW w:w="1680" w:type="pct"/>
            <w:vAlign w:val="center"/>
          </w:tcPr>
          <w:p w14:paraId="651EB901">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5.9</w:t>
            </w:r>
          </w:p>
        </w:tc>
        <w:tc>
          <w:tcPr>
            <w:tcW w:w="528" w:type="pct"/>
            <w:shd w:val="clear" w:color="auto" w:fill="auto"/>
            <w:vAlign w:val="center"/>
          </w:tcPr>
          <w:p w14:paraId="1EF8ADB8">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179.4</w:t>
            </w:r>
          </w:p>
        </w:tc>
      </w:tr>
      <w:tr w14:paraId="0BB00D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9557BB9">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146ADF8D">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center"/>
          </w:tcPr>
          <w:p w14:paraId="512B7487">
            <w:pPr>
              <w:pageBreakBefore w:val="0"/>
              <w:wordWrap/>
              <w:topLinePunct w:val="0"/>
              <w:bidi w:val="0"/>
              <w:spacing w:line="240" w:lineRule="auto"/>
              <w:ind w:firstLine="0" w:firstLineChars="0"/>
              <w:jc w:val="right"/>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挖土方</w:t>
            </w:r>
          </w:p>
        </w:tc>
        <w:tc>
          <w:tcPr>
            <w:tcW w:w="267" w:type="pct"/>
            <w:vAlign w:val="center"/>
          </w:tcPr>
          <w:p w14:paraId="4035BA2E">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1000m</w:t>
            </w:r>
            <w:r>
              <w:rPr>
                <w:rFonts w:hint="eastAsia"/>
                <w:snapToGrid w:val="0"/>
                <w:color w:val="000000" w:themeColor="text1"/>
                <w:sz w:val="21"/>
                <w:szCs w:val="21"/>
                <w:highlight w:val="none"/>
                <w:vertAlign w:val="superscript"/>
                <w:lang w:val="en-US" w:eastAsia="zh-CN"/>
              </w:rPr>
              <w:t>3</w:t>
            </w:r>
          </w:p>
        </w:tc>
        <w:tc>
          <w:tcPr>
            <w:tcW w:w="1624" w:type="pct"/>
            <w:vAlign w:val="center"/>
          </w:tcPr>
          <w:p w14:paraId="4814435F">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color w:val="000000" w:themeColor="text1"/>
                <w:sz w:val="21"/>
                <w:szCs w:val="21"/>
                <w:highlight w:val="none"/>
                <w:lang w:val="en-US" w:eastAsia="zh-CN"/>
              </w:rPr>
              <w:t>104.2</w:t>
            </w:r>
          </w:p>
        </w:tc>
        <w:tc>
          <w:tcPr>
            <w:tcW w:w="1680" w:type="pct"/>
            <w:vAlign w:val="center"/>
          </w:tcPr>
          <w:p w14:paraId="3E403524">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3.5</w:t>
            </w:r>
          </w:p>
        </w:tc>
        <w:tc>
          <w:tcPr>
            <w:tcW w:w="528" w:type="pct"/>
            <w:shd w:val="clear" w:color="auto" w:fill="auto"/>
            <w:vAlign w:val="center"/>
          </w:tcPr>
          <w:p w14:paraId="313E7832">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107.7</w:t>
            </w:r>
          </w:p>
        </w:tc>
      </w:tr>
      <w:tr w14:paraId="6C5C14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70816C06">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23386B0A">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center"/>
          </w:tcPr>
          <w:p w14:paraId="011191BE">
            <w:pPr>
              <w:pageBreakBefore w:val="0"/>
              <w:wordWrap/>
              <w:topLinePunct w:val="0"/>
              <w:bidi w:val="0"/>
              <w:spacing w:line="240" w:lineRule="auto"/>
              <w:ind w:firstLine="0" w:firstLineChars="0"/>
              <w:jc w:val="right"/>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借土方</w:t>
            </w:r>
          </w:p>
        </w:tc>
        <w:tc>
          <w:tcPr>
            <w:tcW w:w="267" w:type="pct"/>
            <w:shd w:val="clear" w:color="auto" w:fill="auto"/>
            <w:vAlign w:val="center"/>
          </w:tcPr>
          <w:p w14:paraId="10AC0ACD">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1000m</w:t>
            </w:r>
            <w:r>
              <w:rPr>
                <w:rFonts w:hint="eastAsia"/>
                <w:snapToGrid w:val="0"/>
                <w:color w:val="000000" w:themeColor="text1"/>
                <w:sz w:val="21"/>
                <w:szCs w:val="21"/>
                <w:highlight w:val="none"/>
                <w:vertAlign w:val="superscript"/>
                <w:lang w:val="en-US" w:eastAsia="zh-CN"/>
              </w:rPr>
              <w:t>3</w:t>
            </w:r>
          </w:p>
        </w:tc>
        <w:tc>
          <w:tcPr>
            <w:tcW w:w="1624" w:type="pct"/>
            <w:vAlign w:val="center"/>
          </w:tcPr>
          <w:p w14:paraId="1B54B20B">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eastAsia="zh-CN"/>
              </w:rPr>
            </w:pPr>
            <w:r>
              <w:rPr>
                <w:rFonts w:hint="eastAsia"/>
                <w:color w:val="000000" w:themeColor="text1"/>
                <w:sz w:val="21"/>
                <w:szCs w:val="21"/>
                <w:highlight w:val="none"/>
                <w:lang w:val="en-US" w:eastAsia="zh-CN"/>
              </w:rPr>
              <w:t>129.3</w:t>
            </w:r>
          </w:p>
        </w:tc>
        <w:tc>
          <w:tcPr>
            <w:tcW w:w="1680" w:type="pct"/>
            <w:vAlign w:val="center"/>
          </w:tcPr>
          <w:p w14:paraId="5A2B3D97">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4.4</w:t>
            </w:r>
          </w:p>
        </w:tc>
        <w:tc>
          <w:tcPr>
            <w:tcW w:w="528" w:type="pct"/>
            <w:shd w:val="clear" w:color="auto" w:fill="auto"/>
            <w:vAlign w:val="center"/>
          </w:tcPr>
          <w:p w14:paraId="3497F429">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133.7</w:t>
            </w:r>
          </w:p>
        </w:tc>
      </w:tr>
      <w:tr w14:paraId="684875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DB0A587">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1FCE5B6C">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center"/>
          </w:tcPr>
          <w:p w14:paraId="0BD08324">
            <w:pPr>
              <w:pageBreakBefore w:val="0"/>
              <w:wordWrap/>
              <w:topLinePunct w:val="0"/>
              <w:bidi w:val="0"/>
              <w:spacing w:line="240" w:lineRule="auto"/>
              <w:ind w:firstLine="0" w:firstLineChars="0"/>
              <w:jc w:val="right"/>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余土方</w:t>
            </w:r>
          </w:p>
        </w:tc>
        <w:tc>
          <w:tcPr>
            <w:tcW w:w="267" w:type="pct"/>
            <w:shd w:val="clear" w:color="auto" w:fill="auto"/>
            <w:vAlign w:val="center"/>
          </w:tcPr>
          <w:p w14:paraId="18071F85">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1000m</w:t>
            </w:r>
            <w:r>
              <w:rPr>
                <w:rFonts w:hint="eastAsia"/>
                <w:snapToGrid w:val="0"/>
                <w:color w:val="000000" w:themeColor="text1"/>
                <w:sz w:val="21"/>
                <w:szCs w:val="21"/>
                <w:highlight w:val="none"/>
                <w:vertAlign w:val="superscript"/>
                <w:lang w:val="en-US" w:eastAsia="zh-CN"/>
              </w:rPr>
              <w:t>3</w:t>
            </w:r>
          </w:p>
        </w:tc>
        <w:tc>
          <w:tcPr>
            <w:tcW w:w="1624" w:type="pct"/>
            <w:vAlign w:val="center"/>
          </w:tcPr>
          <w:p w14:paraId="6272D4CD">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eastAsia="zh-CN"/>
              </w:rPr>
            </w:pPr>
            <w:r>
              <w:rPr>
                <w:rFonts w:hint="eastAsia"/>
                <w:color w:val="000000" w:themeColor="text1"/>
                <w:sz w:val="21"/>
                <w:szCs w:val="21"/>
                <w:highlight w:val="none"/>
                <w:lang w:val="en-US" w:eastAsia="zh-CN"/>
              </w:rPr>
              <w:t>60.0</w:t>
            </w:r>
          </w:p>
        </w:tc>
        <w:tc>
          <w:tcPr>
            <w:tcW w:w="1680" w:type="pct"/>
            <w:vAlign w:val="center"/>
          </w:tcPr>
          <w:p w14:paraId="6FE3BB5E">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2.0</w:t>
            </w:r>
          </w:p>
        </w:tc>
        <w:tc>
          <w:tcPr>
            <w:tcW w:w="528" w:type="pct"/>
            <w:shd w:val="clear" w:color="auto" w:fill="auto"/>
            <w:vAlign w:val="center"/>
          </w:tcPr>
          <w:p w14:paraId="27FA29EB">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62.0</w:t>
            </w:r>
          </w:p>
        </w:tc>
      </w:tr>
      <w:tr w14:paraId="00CC1C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E1F2349">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44753DC3">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top"/>
          </w:tcPr>
          <w:p w14:paraId="401091AF">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平均每公里土石方</w:t>
            </w:r>
          </w:p>
        </w:tc>
        <w:tc>
          <w:tcPr>
            <w:tcW w:w="267" w:type="pct"/>
            <w:vAlign w:val="top"/>
          </w:tcPr>
          <w:p w14:paraId="0355B782">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default" w:ascii="Times New Roman" w:hAnsi="Times New Roman" w:eastAsia="宋体" w:cs="Times New Roman"/>
                <w:color w:val="000000" w:themeColor="text1"/>
                <w:spacing w:val="0"/>
                <w:position w:val="0"/>
                <w:sz w:val="21"/>
                <w:szCs w:val="21"/>
                <w:highlight w:val="none"/>
              </w:rPr>
              <w:t>1</w:t>
            </w:r>
            <w:r>
              <w:rPr>
                <w:rFonts w:hint="eastAsia" w:cs="Times New Roman"/>
                <w:color w:val="000000" w:themeColor="text1"/>
                <w:spacing w:val="0"/>
                <w:position w:val="0"/>
                <w:sz w:val="21"/>
                <w:szCs w:val="21"/>
                <w:highlight w:val="none"/>
                <w:lang w:val="en-US" w:eastAsia="zh-CN"/>
              </w:rPr>
              <w:t>0</w:t>
            </w:r>
            <w:r>
              <w:rPr>
                <w:rFonts w:hint="default" w:ascii="Times New Roman" w:hAnsi="Times New Roman" w:eastAsia="宋体" w:cs="Times New Roman"/>
                <w:color w:val="000000" w:themeColor="text1"/>
                <w:spacing w:val="0"/>
                <w:position w:val="0"/>
                <w:sz w:val="21"/>
                <w:szCs w:val="21"/>
                <w:highlight w:val="none"/>
              </w:rPr>
              <w:t>00</w:t>
            </w:r>
            <w:r>
              <w:rPr>
                <w:rFonts w:hint="eastAsia"/>
                <w:snapToGrid w:val="0"/>
                <w:color w:val="000000" w:themeColor="text1"/>
                <w:sz w:val="21"/>
                <w:szCs w:val="21"/>
                <w:highlight w:val="none"/>
                <w:lang w:val="en-US" w:eastAsia="zh-CN"/>
              </w:rPr>
              <w:t>m</w:t>
            </w:r>
            <w:r>
              <w:rPr>
                <w:rFonts w:hint="eastAsia"/>
                <w:snapToGrid w:val="0"/>
                <w:color w:val="000000" w:themeColor="text1"/>
                <w:sz w:val="21"/>
                <w:szCs w:val="21"/>
                <w:highlight w:val="none"/>
                <w:vertAlign w:val="superscript"/>
                <w:lang w:val="en-US" w:eastAsia="zh-CN"/>
              </w:rPr>
              <w:t>3</w:t>
            </w:r>
          </w:p>
        </w:tc>
        <w:tc>
          <w:tcPr>
            <w:tcW w:w="1624" w:type="pct"/>
            <w:vAlign w:val="center"/>
          </w:tcPr>
          <w:p w14:paraId="3A66389F">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43.89</w:t>
            </w:r>
          </w:p>
        </w:tc>
        <w:tc>
          <w:tcPr>
            <w:tcW w:w="1680" w:type="pct"/>
            <w:vAlign w:val="center"/>
          </w:tcPr>
          <w:p w14:paraId="0C8C079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cs="Times New Roman"/>
                <w:color w:val="000000" w:themeColor="text1"/>
                <w:spacing w:val="0"/>
                <w:position w:val="0"/>
                <w:sz w:val="21"/>
                <w:szCs w:val="21"/>
                <w:highlight w:val="none"/>
                <w:lang w:val="en-US" w:eastAsia="zh-CN"/>
              </w:rPr>
            </w:pPr>
            <w:r>
              <w:rPr>
                <w:rFonts w:hint="eastAsia" w:cs="Times New Roman"/>
                <w:color w:val="000000" w:themeColor="text1"/>
                <w:spacing w:val="0"/>
                <w:position w:val="0"/>
                <w:sz w:val="21"/>
                <w:szCs w:val="21"/>
                <w:highlight w:val="none"/>
                <w:lang w:val="en-US" w:eastAsia="zh-CN"/>
              </w:rPr>
              <w:t>43.89</w:t>
            </w:r>
          </w:p>
        </w:tc>
        <w:tc>
          <w:tcPr>
            <w:tcW w:w="528" w:type="pct"/>
            <w:shd w:val="clear" w:color="auto" w:fill="auto"/>
            <w:vAlign w:val="center"/>
          </w:tcPr>
          <w:p w14:paraId="1C1D2F5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w:t>
            </w:r>
          </w:p>
        </w:tc>
      </w:tr>
      <w:tr w14:paraId="4952C9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1BB3EC00">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5BEBDD9C">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top"/>
          </w:tcPr>
          <w:p w14:paraId="669A07B4">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路基防护</w:t>
            </w:r>
          </w:p>
        </w:tc>
        <w:tc>
          <w:tcPr>
            <w:tcW w:w="267" w:type="pct"/>
            <w:vAlign w:val="top"/>
          </w:tcPr>
          <w:p w14:paraId="7B2D0A0D">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default" w:ascii="Times New Roman" w:hAnsi="Times New Roman" w:eastAsia="宋体" w:cs="Times New Roman"/>
                <w:color w:val="000000" w:themeColor="text1"/>
                <w:spacing w:val="0"/>
                <w:position w:val="0"/>
                <w:sz w:val="21"/>
                <w:szCs w:val="21"/>
                <w:highlight w:val="none"/>
              </w:rPr>
              <w:t>100</w:t>
            </w:r>
            <w:r>
              <w:rPr>
                <w:rFonts w:hint="eastAsia"/>
                <w:snapToGrid w:val="0"/>
                <w:color w:val="000000" w:themeColor="text1"/>
                <w:sz w:val="21"/>
                <w:szCs w:val="21"/>
                <w:highlight w:val="none"/>
                <w:lang w:val="en-US" w:eastAsia="zh-CN"/>
              </w:rPr>
              <w:t>m</w:t>
            </w:r>
            <w:r>
              <w:rPr>
                <w:rFonts w:hint="eastAsia"/>
                <w:snapToGrid w:val="0"/>
                <w:color w:val="000000" w:themeColor="text1"/>
                <w:sz w:val="21"/>
                <w:szCs w:val="21"/>
                <w:highlight w:val="none"/>
                <w:vertAlign w:val="superscript"/>
                <w:lang w:val="en-US" w:eastAsia="zh-CN"/>
              </w:rPr>
              <w:t>3</w:t>
            </w:r>
          </w:p>
        </w:tc>
        <w:tc>
          <w:tcPr>
            <w:tcW w:w="1624" w:type="pct"/>
            <w:vAlign w:val="center"/>
          </w:tcPr>
          <w:p w14:paraId="433E5BD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27.342</w:t>
            </w:r>
          </w:p>
        </w:tc>
        <w:tc>
          <w:tcPr>
            <w:tcW w:w="1680" w:type="pct"/>
            <w:shd w:val="clear" w:color="auto" w:fill="auto"/>
            <w:vAlign w:val="center"/>
          </w:tcPr>
          <w:p w14:paraId="0BF4230B">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kern w:val="2"/>
                <w:sz w:val="21"/>
                <w:szCs w:val="21"/>
                <w:highlight w:val="none"/>
                <w:lang w:val="en-US" w:eastAsia="zh-CN" w:bidi="ar-SA"/>
              </w:rPr>
              <w:t>/</w:t>
            </w:r>
          </w:p>
        </w:tc>
        <w:tc>
          <w:tcPr>
            <w:tcW w:w="528" w:type="pct"/>
            <w:shd w:val="clear" w:color="auto" w:fill="auto"/>
            <w:vAlign w:val="center"/>
          </w:tcPr>
          <w:p w14:paraId="133BCA28">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27.342</w:t>
            </w:r>
          </w:p>
        </w:tc>
      </w:tr>
      <w:tr w14:paraId="078418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523958E">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7AB14CD0">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top"/>
          </w:tcPr>
          <w:p w14:paraId="28EB049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路基路面排水</w:t>
            </w:r>
          </w:p>
        </w:tc>
        <w:tc>
          <w:tcPr>
            <w:tcW w:w="267" w:type="pct"/>
            <w:vAlign w:val="top"/>
          </w:tcPr>
          <w:p w14:paraId="237704C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default" w:ascii="Times New Roman" w:hAnsi="Times New Roman" w:eastAsia="宋体" w:cs="Times New Roman"/>
                <w:color w:val="000000" w:themeColor="text1"/>
                <w:spacing w:val="0"/>
                <w:position w:val="0"/>
                <w:sz w:val="21"/>
                <w:szCs w:val="21"/>
                <w:highlight w:val="none"/>
              </w:rPr>
              <w:t>100</w:t>
            </w:r>
            <w:r>
              <w:rPr>
                <w:rFonts w:hint="eastAsia"/>
                <w:snapToGrid w:val="0"/>
                <w:color w:val="000000" w:themeColor="text1"/>
                <w:sz w:val="21"/>
                <w:szCs w:val="21"/>
                <w:highlight w:val="none"/>
                <w:lang w:val="en-US" w:eastAsia="zh-CN"/>
              </w:rPr>
              <w:t>m</w:t>
            </w:r>
            <w:r>
              <w:rPr>
                <w:rFonts w:hint="eastAsia"/>
                <w:snapToGrid w:val="0"/>
                <w:color w:val="000000" w:themeColor="text1"/>
                <w:sz w:val="21"/>
                <w:szCs w:val="21"/>
                <w:highlight w:val="none"/>
                <w:vertAlign w:val="superscript"/>
                <w:lang w:val="en-US" w:eastAsia="zh-CN"/>
              </w:rPr>
              <w:t>3</w:t>
            </w:r>
          </w:p>
        </w:tc>
        <w:tc>
          <w:tcPr>
            <w:tcW w:w="1624" w:type="pct"/>
            <w:vAlign w:val="center"/>
          </w:tcPr>
          <w:p w14:paraId="5463CAC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16.336</w:t>
            </w:r>
          </w:p>
        </w:tc>
        <w:tc>
          <w:tcPr>
            <w:tcW w:w="1680" w:type="pct"/>
            <w:shd w:val="clear" w:color="auto" w:fill="auto"/>
            <w:vAlign w:val="center"/>
          </w:tcPr>
          <w:p w14:paraId="42EAF9F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w:t>
            </w:r>
          </w:p>
        </w:tc>
        <w:tc>
          <w:tcPr>
            <w:tcW w:w="528" w:type="pct"/>
            <w:shd w:val="clear" w:color="auto" w:fill="auto"/>
            <w:vAlign w:val="center"/>
          </w:tcPr>
          <w:p w14:paraId="16B82C75">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16.336</w:t>
            </w:r>
          </w:p>
        </w:tc>
      </w:tr>
      <w:tr w14:paraId="202CC1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15" w:hRule="atLeast"/>
          <w:jc w:val="center"/>
        </w:trPr>
        <w:tc>
          <w:tcPr>
            <w:tcW w:w="118" w:type="pct"/>
            <w:vMerge w:val="continue"/>
            <w:vAlign w:val="center"/>
          </w:tcPr>
          <w:p w14:paraId="3AC2EFD4">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21E8DD5D">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p>
        </w:tc>
        <w:tc>
          <w:tcPr>
            <w:tcW w:w="656" w:type="pct"/>
            <w:gridSpan w:val="2"/>
            <w:vAlign w:val="top"/>
          </w:tcPr>
          <w:p w14:paraId="6F115195">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right"/>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特殊路基处理</w:t>
            </w:r>
          </w:p>
        </w:tc>
        <w:tc>
          <w:tcPr>
            <w:tcW w:w="267" w:type="pct"/>
            <w:vAlign w:val="top"/>
          </w:tcPr>
          <w:p w14:paraId="1F201E4B">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default" w:ascii="Times New Roman" w:hAnsi="Times New Roman" w:eastAsia="宋体" w:cs="Times New Roman"/>
                <w:color w:val="000000" w:themeColor="text1"/>
                <w:spacing w:val="0"/>
                <w:position w:val="0"/>
                <w:sz w:val="21"/>
                <w:szCs w:val="21"/>
                <w:highlight w:val="none"/>
              </w:rPr>
              <w:t>km</w:t>
            </w:r>
          </w:p>
        </w:tc>
        <w:tc>
          <w:tcPr>
            <w:tcW w:w="1624" w:type="pct"/>
            <w:vAlign w:val="center"/>
          </w:tcPr>
          <w:p w14:paraId="4564B97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1.065</w:t>
            </w:r>
          </w:p>
        </w:tc>
        <w:tc>
          <w:tcPr>
            <w:tcW w:w="1680" w:type="pct"/>
            <w:vAlign w:val="center"/>
          </w:tcPr>
          <w:p w14:paraId="01FF30C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cs="Times New Roman"/>
                <w:color w:val="000000" w:themeColor="text1"/>
                <w:spacing w:val="0"/>
                <w:position w:val="0"/>
                <w:sz w:val="21"/>
                <w:szCs w:val="21"/>
                <w:highlight w:val="none"/>
                <w:lang w:val="en-US" w:eastAsia="zh-CN"/>
              </w:rPr>
            </w:pPr>
            <w:r>
              <w:rPr>
                <w:rFonts w:hint="eastAsia" w:cs="Times New Roman"/>
                <w:color w:val="000000" w:themeColor="text1"/>
                <w:spacing w:val="0"/>
                <w:position w:val="0"/>
                <w:sz w:val="21"/>
                <w:szCs w:val="21"/>
                <w:highlight w:val="none"/>
                <w:lang w:val="en-US" w:eastAsia="zh-CN"/>
              </w:rPr>
              <w:t>/</w:t>
            </w:r>
          </w:p>
        </w:tc>
        <w:tc>
          <w:tcPr>
            <w:tcW w:w="528" w:type="pct"/>
            <w:shd w:val="clear" w:color="auto" w:fill="auto"/>
            <w:vAlign w:val="center"/>
          </w:tcPr>
          <w:p w14:paraId="25CA465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1.065</w:t>
            </w:r>
          </w:p>
        </w:tc>
      </w:tr>
      <w:tr w14:paraId="60B776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5F9FC5C9">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restart"/>
            <w:vAlign w:val="center"/>
          </w:tcPr>
          <w:p w14:paraId="15D571FE">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路面工程</w:t>
            </w:r>
          </w:p>
        </w:tc>
        <w:tc>
          <w:tcPr>
            <w:tcW w:w="656" w:type="pct"/>
            <w:gridSpan w:val="2"/>
            <w:vAlign w:val="center"/>
          </w:tcPr>
          <w:p w14:paraId="26E166B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路面宽度</w:t>
            </w:r>
          </w:p>
        </w:tc>
        <w:tc>
          <w:tcPr>
            <w:tcW w:w="267" w:type="pct"/>
            <w:vAlign w:val="center"/>
          </w:tcPr>
          <w:p w14:paraId="3AD28EB3">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m</w:t>
            </w:r>
          </w:p>
        </w:tc>
        <w:tc>
          <w:tcPr>
            <w:tcW w:w="1624" w:type="pct"/>
            <w:vAlign w:val="center"/>
          </w:tcPr>
          <w:p w14:paraId="59E51AE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10.5</w:t>
            </w:r>
          </w:p>
        </w:tc>
        <w:tc>
          <w:tcPr>
            <w:tcW w:w="1680" w:type="pct"/>
            <w:vAlign w:val="center"/>
          </w:tcPr>
          <w:p w14:paraId="320F20C8">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10.5</w:t>
            </w:r>
          </w:p>
        </w:tc>
        <w:tc>
          <w:tcPr>
            <w:tcW w:w="528" w:type="pct"/>
            <w:shd w:val="clear" w:color="auto" w:fill="auto"/>
            <w:vAlign w:val="center"/>
          </w:tcPr>
          <w:p w14:paraId="7B2493DE">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w:t>
            </w:r>
          </w:p>
        </w:tc>
      </w:tr>
      <w:tr w14:paraId="6207C0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779C7ECB">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24" w:type="pct"/>
            <w:vMerge w:val="continue"/>
            <w:vAlign w:val="center"/>
          </w:tcPr>
          <w:p w14:paraId="2583A32D">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656" w:type="pct"/>
            <w:gridSpan w:val="2"/>
            <w:vAlign w:val="center"/>
          </w:tcPr>
          <w:p w14:paraId="51911AA3">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沥青混凝土路面</w:t>
            </w:r>
          </w:p>
        </w:tc>
        <w:tc>
          <w:tcPr>
            <w:tcW w:w="267" w:type="pct"/>
            <w:vAlign w:val="center"/>
          </w:tcPr>
          <w:p w14:paraId="513F43FD">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default" w:ascii="Times New Roman" w:hAnsi="Times New Roman" w:eastAsia="宋体" w:cs="Times New Roman"/>
                <w:color w:val="000000" w:themeColor="text1"/>
                <w:spacing w:val="0"/>
                <w:position w:val="0"/>
                <w:sz w:val="21"/>
                <w:szCs w:val="21"/>
                <w:highlight w:val="none"/>
              </w:rPr>
              <w:t>1000m</w:t>
            </w:r>
            <w:r>
              <w:rPr>
                <w:rFonts w:hint="default" w:ascii="Times New Roman" w:hAnsi="Times New Roman" w:eastAsia="宋体" w:cs="Times New Roman"/>
                <w:color w:val="000000" w:themeColor="text1"/>
                <w:spacing w:val="0"/>
                <w:position w:val="0"/>
                <w:sz w:val="21"/>
                <w:szCs w:val="21"/>
                <w:highlight w:val="none"/>
                <w:vertAlign w:val="superscript"/>
              </w:rPr>
              <w:t>2</w:t>
            </w:r>
          </w:p>
        </w:tc>
        <w:tc>
          <w:tcPr>
            <w:tcW w:w="1624" w:type="pct"/>
            <w:vAlign w:val="center"/>
          </w:tcPr>
          <w:p w14:paraId="5856135B">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63.536</w:t>
            </w:r>
          </w:p>
        </w:tc>
        <w:tc>
          <w:tcPr>
            <w:tcW w:w="1680" w:type="pct"/>
            <w:vAlign w:val="center"/>
          </w:tcPr>
          <w:p w14:paraId="5A509C3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cs="Times New Roman"/>
                <w:color w:val="000000" w:themeColor="text1"/>
                <w:spacing w:val="0"/>
                <w:position w:val="0"/>
                <w:sz w:val="21"/>
                <w:szCs w:val="21"/>
                <w:highlight w:val="none"/>
                <w:lang w:val="en-US" w:eastAsia="zh-CN"/>
              </w:rPr>
            </w:pPr>
            <w:r>
              <w:rPr>
                <w:rFonts w:hint="eastAsia" w:cs="Times New Roman"/>
                <w:color w:val="000000" w:themeColor="text1"/>
                <w:spacing w:val="0"/>
                <w:position w:val="0"/>
                <w:sz w:val="21"/>
                <w:szCs w:val="21"/>
                <w:highlight w:val="none"/>
                <w:lang w:val="en-US" w:eastAsia="zh-CN"/>
              </w:rPr>
              <w:t>2.191</w:t>
            </w:r>
          </w:p>
        </w:tc>
        <w:tc>
          <w:tcPr>
            <w:tcW w:w="528" w:type="pct"/>
            <w:shd w:val="clear" w:color="auto" w:fill="auto"/>
            <w:vAlign w:val="center"/>
          </w:tcPr>
          <w:p w14:paraId="306CA9F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position w:val="0"/>
                <w:sz w:val="21"/>
                <w:szCs w:val="21"/>
                <w:highlight w:val="none"/>
                <w:lang w:val="en-US" w:eastAsia="zh-CN" w:bidi="ar-SA"/>
              </w:rPr>
            </w:pPr>
            <w:r>
              <w:rPr>
                <w:rFonts w:hint="eastAsia" w:cs="Times New Roman"/>
                <w:color w:val="000000" w:themeColor="text1"/>
                <w:spacing w:val="0"/>
                <w:position w:val="0"/>
                <w:sz w:val="21"/>
                <w:szCs w:val="21"/>
                <w:highlight w:val="none"/>
                <w:lang w:val="en-US" w:eastAsia="zh-CN"/>
              </w:rPr>
              <w:t>65.727</w:t>
            </w:r>
          </w:p>
        </w:tc>
      </w:tr>
      <w:tr w14:paraId="50CA43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0E33678">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restart"/>
            <w:vAlign w:val="center"/>
          </w:tcPr>
          <w:p w14:paraId="7416A506">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snapToGrid w:val="0"/>
                <w:color w:val="000000" w:themeColor="text1"/>
                <w:sz w:val="21"/>
                <w:szCs w:val="21"/>
                <w:highlight w:val="none"/>
              </w:rPr>
              <w:t>桥涵</w:t>
            </w:r>
            <w:r>
              <w:rPr>
                <w:rFonts w:hint="eastAsia"/>
                <w:snapToGrid w:val="0"/>
                <w:color w:val="000000" w:themeColor="text1"/>
                <w:sz w:val="21"/>
                <w:szCs w:val="21"/>
                <w:highlight w:val="none"/>
                <w:lang w:val="en-US" w:eastAsia="zh-CN"/>
              </w:rPr>
              <w:t>工程</w:t>
            </w:r>
          </w:p>
        </w:tc>
        <w:tc>
          <w:tcPr>
            <w:tcW w:w="656" w:type="pct"/>
            <w:gridSpan w:val="2"/>
            <w:shd w:val="clear" w:color="auto" w:fill="auto"/>
            <w:vAlign w:val="center"/>
          </w:tcPr>
          <w:p w14:paraId="6BF8830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大</w:t>
            </w:r>
            <w:r>
              <w:rPr>
                <w:snapToGrid w:val="0"/>
                <w:color w:val="000000" w:themeColor="text1"/>
                <w:sz w:val="21"/>
                <w:szCs w:val="21"/>
                <w:highlight w:val="none"/>
              </w:rPr>
              <w:t>桥</w:t>
            </w:r>
          </w:p>
        </w:tc>
        <w:tc>
          <w:tcPr>
            <w:tcW w:w="267" w:type="pct"/>
            <w:shd w:val="clear" w:color="auto" w:fill="auto"/>
            <w:vAlign w:val="center"/>
          </w:tcPr>
          <w:p w14:paraId="24BF316A">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m/座</w:t>
            </w:r>
          </w:p>
        </w:tc>
        <w:tc>
          <w:tcPr>
            <w:tcW w:w="1624" w:type="pct"/>
            <w:shd w:val="clear" w:color="auto" w:fill="auto"/>
            <w:vAlign w:val="center"/>
          </w:tcPr>
          <w:p w14:paraId="7D7B5D1E">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210</w:t>
            </w:r>
            <w:r>
              <w:rPr>
                <w:snapToGrid w:val="0"/>
                <w:color w:val="000000" w:themeColor="text1"/>
                <w:sz w:val="21"/>
                <w:szCs w:val="21"/>
                <w:highlight w:val="none"/>
              </w:rPr>
              <w:t>/1，</w:t>
            </w:r>
            <w:r>
              <w:rPr>
                <w:rFonts w:hint="eastAsia"/>
                <w:snapToGrid w:val="0"/>
                <w:color w:val="000000" w:themeColor="text1"/>
                <w:sz w:val="21"/>
                <w:szCs w:val="21"/>
                <w:highlight w:val="none"/>
              </w:rPr>
              <w:t>跨越</w:t>
            </w:r>
            <w:r>
              <w:rPr>
                <w:rFonts w:hint="eastAsia"/>
                <w:snapToGrid w:val="0"/>
                <w:color w:val="000000" w:themeColor="text1"/>
                <w:sz w:val="21"/>
                <w:szCs w:val="21"/>
                <w:highlight w:val="none"/>
                <w:lang w:val="en-US" w:eastAsia="zh-CN"/>
              </w:rPr>
              <w:t>铁路</w:t>
            </w:r>
          </w:p>
        </w:tc>
        <w:tc>
          <w:tcPr>
            <w:tcW w:w="1680" w:type="pct"/>
            <w:shd w:val="clear" w:color="auto" w:fill="auto"/>
            <w:vAlign w:val="center"/>
          </w:tcPr>
          <w:p w14:paraId="77133E14">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w:t>
            </w:r>
          </w:p>
        </w:tc>
        <w:tc>
          <w:tcPr>
            <w:tcW w:w="528" w:type="pct"/>
            <w:shd w:val="clear" w:color="auto" w:fill="auto"/>
            <w:vAlign w:val="center"/>
          </w:tcPr>
          <w:p w14:paraId="79216E78">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210</w:t>
            </w:r>
            <w:r>
              <w:rPr>
                <w:snapToGrid w:val="0"/>
                <w:color w:val="000000" w:themeColor="text1"/>
                <w:sz w:val="21"/>
                <w:szCs w:val="21"/>
                <w:highlight w:val="none"/>
              </w:rPr>
              <w:t>/1</w:t>
            </w:r>
          </w:p>
        </w:tc>
      </w:tr>
      <w:tr w14:paraId="4DE88F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5EC62EA6">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continue"/>
            <w:vAlign w:val="center"/>
          </w:tcPr>
          <w:p w14:paraId="57B793BD">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656" w:type="pct"/>
            <w:gridSpan w:val="2"/>
            <w:shd w:val="clear" w:color="auto" w:fill="auto"/>
            <w:vAlign w:val="center"/>
          </w:tcPr>
          <w:p w14:paraId="38F7317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中桥</w:t>
            </w:r>
          </w:p>
        </w:tc>
        <w:tc>
          <w:tcPr>
            <w:tcW w:w="267" w:type="pct"/>
            <w:shd w:val="clear" w:color="auto" w:fill="auto"/>
            <w:vAlign w:val="center"/>
          </w:tcPr>
          <w:p w14:paraId="263B3CAE">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m/座</w:t>
            </w:r>
          </w:p>
        </w:tc>
        <w:tc>
          <w:tcPr>
            <w:tcW w:w="1624" w:type="pct"/>
            <w:shd w:val="clear" w:color="auto" w:fill="auto"/>
            <w:vAlign w:val="center"/>
          </w:tcPr>
          <w:p w14:paraId="00FA0EA8">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65.26</w:t>
            </w:r>
            <w:r>
              <w:rPr>
                <w:snapToGrid w:val="0"/>
                <w:color w:val="000000" w:themeColor="text1"/>
                <w:sz w:val="21"/>
                <w:szCs w:val="21"/>
                <w:highlight w:val="none"/>
              </w:rPr>
              <w:t>/1，</w:t>
            </w:r>
            <w:r>
              <w:rPr>
                <w:rFonts w:hint="eastAsia"/>
                <w:snapToGrid w:val="0"/>
                <w:color w:val="000000" w:themeColor="text1"/>
                <w:sz w:val="21"/>
                <w:szCs w:val="21"/>
                <w:highlight w:val="none"/>
              </w:rPr>
              <w:t>跨越</w:t>
            </w:r>
            <w:r>
              <w:rPr>
                <w:rFonts w:hint="eastAsia"/>
                <w:snapToGrid w:val="0"/>
                <w:color w:val="000000" w:themeColor="text1"/>
                <w:sz w:val="21"/>
                <w:szCs w:val="21"/>
                <w:highlight w:val="none"/>
                <w:lang w:val="en-US" w:eastAsia="zh-CN"/>
              </w:rPr>
              <w:t>朝鲜河</w:t>
            </w:r>
          </w:p>
        </w:tc>
        <w:tc>
          <w:tcPr>
            <w:tcW w:w="1680" w:type="pct"/>
            <w:shd w:val="clear" w:color="auto" w:fill="auto"/>
            <w:vAlign w:val="center"/>
          </w:tcPr>
          <w:p w14:paraId="2056E0C8">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w:t>
            </w:r>
          </w:p>
        </w:tc>
        <w:tc>
          <w:tcPr>
            <w:tcW w:w="528" w:type="pct"/>
            <w:shd w:val="clear" w:color="auto" w:fill="auto"/>
            <w:vAlign w:val="center"/>
          </w:tcPr>
          <w:p w14:paraId="15CFC625">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65.26</w:t>
            </w:r>
            <w:r>
              <w:rPr>
                <w:snapToGrid w:val="0"/>
                <w:color w:val="000000" w:themeColor="text1"/>
                <w:sz w:val="21"/>
                <w:szCs w:val="21"/>
                <w:highlight w:val="none"/>
              </w:rPr>
              <w:t>/1</w:t>
            </w:r>
          </w:p>
        </w:tc>
      </w:tr>
      <w:tr w14:paraId="6E5475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55F05B01">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continue"/>
            <w:vAlign w:val="center"/>
          </w:tcPr>
          <w:p w14:paraId="30E9998F">
            <w:pPr>
              <w:pageBreakBefore w:val="0"/>
              <w:wordWrap/>
              <w:topLinePunct w:val="0"/>
              <w:bidi w:val="0"/>
              <w:spacing w:line="240" w:lineRule="auto"/>
              <w:ind w:firstLine="0" w:firstLineChars="0"/>
              <w:jc w:val="center"/>
              <w:rPr>
                <w:color w:val="000000" w:themeColor="text1"/>
                <w:sz w:val="21"/>
                <w:szCs w:val="21"/>
                <w:highlight w:val="none"/>
              </w:rPr>
            </w:pPr>
          </w:p>
        </w:tc>
        <w:tc>
          <w:tcPr>
            <w:tcW w:w="656" w:type="pct"/>
            <w:gridSpan w:val="2"/>
            <w:shd w:val="clear" w:color="auto" w:fill="auto"/>
            <w:vAlign w:val="center"/>
          </w:tcPr>
          <w:p w14:paraId="5243265F">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小桥</w:t>
            </w:r>
          </w:p>
        </w:tc>
        <w:tc>
          <w:tcPr>
            <w:tcW w:w="267" w:type="pct"/>
            <w:shd w:val="clear" w:color="auto" w:fill="auto"/>
            <w:vAlign w:val="center"/>
          </w:tcPr>
          <w:p w14:paraId="3E90FCDC">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m/座</w:t>
            </w:r>
          </w:p>
        </w:tc>
        <w:tc>
          <w:tcPr>
            <w:tcW w:w="1624" w:type="pct"/>
            <w:shd w:val="clear" w:color="auto" w:fill="auto"/>
            <w:vAlign w:val="center"/>
          </w:tcPr>
          <w:p w14:paraId="30E3072C">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30.54</w:t>
            </w:r>
            <w:r>
              <w:rPr>
                <w:snapToGrid w:val="0"/>
                <w:color w:val="000000" w:themeColor="text1"/>
                <w:sz w:val="21"/>
                <w:szCs w:val="21"/>
                <w:highlight w:val="none"/>
              </w:rPr>
              <w:t>/1，</w:t>
            </w:r>
            <w:r>
              <w:rPr>
                <w:rFonts w:hint="eastAsia"/>
                <w:snapToGrid w:val="0"/>
                <w:color w:val="000000" w:themeColor="text1"/>
                <w:sz w:val="21"/>
                <w:szCs w:val="21"/>
                <w:highlight w:val="none"/>
                <w:lang w:val="en-US" w:eastAsia="zh-CN"/>
              </w:rPr>
              <w:t>跨越季节性沟渠</w:t>
            </w:r>
          </w:p>
        </w:tc>
        <w:tc>
          <w:tcPr>
            <w:tcW w:w="1680" w:type="pct"/>
            <w:shd w:val="clear" w:color="auto" w:fill="auto"/>
            <w:vAlign w:val="center"/>
          </w:tcPr>
          <w:p w14:paraId="57315D6A">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w:t>
            </w:r>
          </w:p>
        </w:tc>
        <w:tc>
          <w:tcPr>
            <w:tcW w:w="528" w:type="pct"/>
            <w:shd w:val="clear" w:color="auto" w:fill="auto"/>
            <w:vAlign w:val="center"/>
          </w:tcPr>
          <w:p w14:paraId="6B0C524C">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30.54</w:t>
            </w:r>
            <w:r>
              <w:rPr>
                <w:snapToGrid w:val="0"/>
                <w:color w:val="000000" w:themeColor="text1"/>
                <w:sz w:val="21"/>
                <w:szCs w:val="21"/>
                <w:highlight w:val="none"/>
              </w:rPr>
              <w:t>/1</w:t>
            </w:r>
          </w:p>
        </w:tc>
      </w:tr>
      <w:tr w14:paraId="3277CE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63F53003">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continue"/>
            <w:vAlign w:val="center"/>
          </w:tcPr>
          <w:p w14:paraId="41714E9D">
            <w:pPr>
              <w:pageBreakBefore w:val="0"/>
              <w:wordWrap/>
              <w:topLinePunct w:val="0"/>
              <w:bidi w:val="0"/>
              <w:spacing w:line="240" w:lineRule="auto"/>
              <w:ind w:firstLine="0" w:firstLineChars="0"/>
              <w:jc w:val="center"/>
              <w:rPr>
                <w:color w:val="000000" w:themeColor="text1"/>
                <w:sz w:val="21"/>
                <w:szCs w:val="21"/>
                <w:highlight w:val="none"/>
              </w:rPr>
            </w:pPr>
          </w:p>
        </w:tc>
        <w:tc>
          <w:tcPr>
            <w:tcW w:w="656" w:type="pct"/>
            <w:gridSpan w:val="2"/>
            <w:vAlign w:val="center"/>
          </w:tcPr>
          <w:p w14:paraId="738590F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涵洞</w:t>
            </w:r>
          </w:p>
        </w:tc>
        <w:tc>
          <w:tcPr>
            <w:tcW w:w="267" w:type="pct"/>
            <w:vAlign w:val="center"/>
          </w:tcPr>
          <w:p w14:paraId="0C9D33C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道</w:t>
            </w:r>
          </w:p>
        </w:tc>
        <w:tc>
          <w:tcPr>
            <w:tcW w:w="1624" w:type="pct"/>
            <w:vAlign w:val="center"/>
          </w:tcPr>
          <w:p w14:paraId="02BA1716">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12</w:t>
            </w:r>
          </w:p>
        </w:tc>
        <w:tc>
          <w:tcPr>
            <w:tcW w:w="1680" w:type="pct"/>
            <w:vAlign w:val="center"/>
          </w:tcPr>
          <w:p w14:paraId="726DC313">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w:t>
            </w:r>
          </w:p>
        </w:tc>
        <w:tc>
          <w:tcPr>
            <w:tcW w:w="528" w:type="pct"/>
            <w:vAlign w:val="center"/>
          </w:tcPr>
          <w:p w14:paraId="3F51F50E">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12</w:t>
            </w:r>
          </w:p>
        </w:tc>
      </w:tr>
      <w:tr w14:paraId="75829D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25952384">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continue"/>
            <w:vAlign w:val="center"/>
          </w:tcPr>
          <w:p w14:paraId="4C1611D6">
            <w:pPr>
              <w:pageBreakBefore w:val="0"/>
              <w:wordWrap/>
              <w:topLinePunct w:val="0"/>
              <w:bidi w:val="0"/>
              <w:spacing w:line="240" w:lineRule="auto"/>
              <w:ind w:firstLine="0" w:firstLineChars="0"/>
              <w:jc w:val="center"/>
              <w:rPr>
                <w:color w:val="000000" w:themeColor="text1"/>
                <w:sz w:val="21"/>
                <w:szCs w:val="21"/>
                <w:highlight w:val="none"/>
              </w:rPr>
            </w:pPr>
          </w:p>
        </w:tc>
        <w:tc>
          <w:tcPr>
            <w:tcW w:w="656" w:type="pct"/>
            <w:gridSpan w:val="2"/>
            <w:vAlign w:val="center"/>
          </w:tcPr>
          <w:p w14:paraId="18490DA5">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平均每公里涵洞数</w:t>
            </w:r>
          </w:p>
        </w:tc>
        <w:tc>
          <w:tcPr>
            <w:tcW w:w="267" w:type="pct"/>
            <w:vAlign w:val="center"/>
          </w:tcPr>
          <w:p w14:paraId="2AA49249">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lang w:val="en-US" w:eastAsia="zh-CN"/>
              </w:rPr>
              <w:t>道</w:t>
            </w:r>
          </w:p>
        </w:tc>
        <w:tc>
          <w:tcPr>
            <w:tcW w:w="1624" w:type="pct"/>
            <w:vAlign w:val="center"/>
          </w:tcPr>
          <w:p w14:paraId="64205DFE">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s="Times New Roman"/>
                <w:snapToGrid w:val="0"/>
                <w:color w:val="000000" w:themeColor="text1"/>
                <w:kern w:val="2"/>
                <w:sz w:val="21"/>
                <w:szCs w:val="21"/>
                <w:highlight w:val="none"/>
                <w:lang w:val="en-US" w:eastAsia="zh-CN" w:bidi="ar-SA"/>
              </w:rPr>
              <w:t>1.898</w:t>
            </w:r>
          </w:p>
        </w:tc>
        <w:tc>
          <w:tcPr>
            <w:tcW w:w="1680" w:type="pct"/>
            <w:vAlign w:val="center"/>
          </w:tcPr>
          <w:p w14:paraId="4059AED5">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s="Times New Roman"/>
                <w:snapToGrid w:val="0"/>
                <w:color w:val="000000" w:themeColor="text1"/>
                <w:kern w:val="2"/>
                <w:sz w:val="21"/>
                <w:szCs w:val="21"/>
                <w:highlight w:val="none"/>
                <w:lang w:val="en-US" w:eastAsia="zh-CN" w:bidi="ar-SA"/>
              </w:rPr>
              <w:t>/</w:t>
            </w:r>
          </w:p>
        </w:tc>
        <w:tc>
          <w:tcPr>
            <w:tcW w:w="528" w:type="pct"/>
            <w:shd w:val="clear" w:color="auto" w:fill="auto"/>
            <w:vAlign w:val="center"/>
          </w:tcPr>
          <w:p w14:paraId="7C4FDF80">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s="Times New Roman"/>
                <w:snapToGrid w:val="0"/>
                <w:color w:val="000000" w:themeColor="text1"/>
                <w:kern w:val="2"/>
                <w:sz w:val="21"/>
                <w:szCs w:val="21"/>
                <w:highlight w:val="none"/>
                <w:lang w:val="en-US" w:eastAsia="zh-CN" w:bidi="ar-SA"/>
              </w:rPr>
              <w:t>1.898</w:t>
            </w:r>
          </w:p>
        </w:tc>
      </w:tr>
      <w:tr w14:paraId="6434B8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72F28021">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continue"/>
            <w:vAlign w:val="center"/>
          </w:tcPr>
          <w:p w14:paraId="19C77D52">
            <w:pPr>
              <w:pageBreakBefore w:val="0"/>
              <w:wordWrap/>
              <w:topLinePunct w:val="0"/>
              <w:bidi w:val="0"/>
              <w:spacing w:line="240" w:lineRule="auto"/>
              <w:ind w:firstLine="0" w:firstLineChars="0"/>
              <w:jc w:val="center"/>
              <w:rPr>
                <w:color w:val="000000" w:themeColor="text1"/>
                <w:sz w:val="21"/>
                <w:szCs w:val="21"/>
                <w:highlight w:val="none"/>
              </w:rPr>
            </w:pPr>
          </w:p>
        </w:tc>
        <w:tc>
          <w:tcPr>
            <w:tcW w:w="656" w:type="pct"/>
            <w:gridSpan w:val="2"/>
            <w:vAlign w:val="center"/>
          </w:tcPr>
          <w:p w14:paraId="044C1878">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平均每公里桥长</w:t>
            </w:r>
          </w:p>
        </w:tc>
        <w:tc>
          <w:tcPr>
            <w:tcW w:w="267" w:type="pct"/>
            <w:vAlign w:val="center"/>
          </w:tcPr>
          <w:p w14:paraId="6A676DE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m</w:t>
            </w:r>
          </w:p>
        </w:tc>
        <w:tc>
          <w:tcPr>
            <w:tcW w:w="1624" w:type="pct"/>
            <w:vAlign w:val="center"/>
          </w:tcPr>
          <w:p w14:paraId="6EDD4E71">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s="Times New Roman"/>
                <w:snapToGrid w:val="0"/>
                <w:color w:val="000000" w:themeColor="text1"/>
                <w:kern w:val="2"/>
                <w:sz w:val="21"/>
                <w:szCs w:val="21"/>
                <w:highlight w:val="none"/>
                <w:lang w:val="en-US" w:eastAsia="zh-CN" w:bidi="ar-SA"/>
              </w:rPr>
              <w:t>15.151</w:t>
            </w:r>
          </w:p>
        </w:tc>
        <w:tc>
          <w:tcPr>
            <w:tcW w:w="1680" w:type="pct"/>
            <w:vAlign w:val="center"/>
          </w:tcPr>
          <w:p w14:paraId="25C62CD6">
            <w:pPr>
              <w:pageBreakBefore w:val="0"/>
              <w:wordWrap/>
              <w:topLinePunct w:val="0"/>
              <w:bidi w:val="0"/>
              <w:spacing w:line="240" w:lineRule="auto"/>
              <w:ind w:firstLine="0" w:firstLineChars="0"/>
              <w:jc w:val="center"/>
              <w:rPr>
                <w:rFonts w:hint="eastAsia" w:cs="Times New Roman"/>
                <w:snapToGrid w:val="0"/>
                <w:color w:val="000000" w:themeColor="text1"/>
                <w:kern w:val="2"/>
                <w:sz w:val="21"/>
                <w:szCs w:val="21"/>
                <w:highlight w:val="none"/>
                <w:lang w:val="en-US" w:eastAsia="zh-CN" w:bidi="ar-SA"/>
              </w:rPr>
            </w:pPr>
            <w:r>
              <w:rPr>
                <w:rFonts w:hint="eastAsia" w:cs="Times New Roman"/>
                <w:snapToGrid w:val="0"/>
                <w:color w:val="000000" w:themeColor="text1"/>
                <w:kern w:val="2"/>
                <w:sz w:val="21"/>
                <w:szCs w:val="21"/>
                <w:highlight w:val="none"/>
                <w:lang w:val="en-US" w:eastAsia="zh-CN" w:bidi="ar-SA"/>
              </w:rPr>
              <w:t>/</w:t>
            </w:r>
          </w:p>
        </w:tc>
        <w:tc>
          <w:tcPr>
            <w:tcW w:w="528" w:type="pct"/>
            <w:shd w:val="clear" w:color="auto" w:fill="auto"/>
            <w:vAlign w:val="center"/>
          </w:tcPr>
          <w:p w14:paraId="6117D99D">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rFonts w:hint="eastAsia" w:cs="Times New Roman"/>
                <w:snapToGrid w:val="0"/>
                <w:color w:val="000000" w:themeColor="text1"/>
                <w:kern w:val="2"/>
                <w:sz w:val="21"/>
                <w:szCs w:val="21"/>
                <w:highlight w:val="none"/>
                <w:lang w:val="en-US" w:eastAsia="zh-CN" w:bidi="ar-SA"/>
              </w:rPr>
              <w:t>15.151</w:t>
            </w:r>
          </w:p>
        </w:tc>
      </w:tr>
      <w:tr w14:paraId="56B76A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136CD970">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restart"/>
            <w:vAlign w:val="center"/>
          </w:tcPr>
          <w:p w14:paraId="7F5E2545">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color w:val="000000" w:themeColor="text1"/>
                <w:sz w:val="21"/>
                <w:szCs w:val="21"/>
                <w:highlight w:val="none"/>
              </w:rPr>
              <w:t>交叉</w:t>
            </w:r>
            <w:r>
              <w:rPr>
                <w:rFonts w:hint="eastAsia"/>
                <w:color w:val="000000" w:themeColor="text1"/>
                <w:sz w:val="21"/>
                <w:szCs w:val="21"/>
                <w:highlight w:val="none"/>
                <w:lang w:val="en-US" w:eastAsia="zh-CN"/>
              </w:rPr>
              <w:t>工程</w:t>
            </w:r>
          </w:p>
        </w:tc>
        <w:tc>
          <w:tcPr>
            <w:tcW w:w="656" w:type="pct"/>
            <w:gridSpan w:val="2"/>
            <w:shd w:val="clear" w:color="auto" w:fill="auto"/>
            <w:vAlign w:val="center"/>
          </w:tcPr>
          <w:p w14:paraId="16CB3F7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snapToGrid w:val="0"/>
                <w:color w:val="000000" w:themeColor="text1"/>
                <w:sz w:val="21"/>
                <w:szCs w:val="21"/>
                <w:highlight w:val="none"/>
              </w:rPr>
              <w:t>平面交叉</w:t>
            </w:r>
          </w:p>
        </w:tc>
        <w:tc>
          <w:tcPr>
            <w:tcW w:w="267" w:type="pct"/>
            <w:shd w:val="clear" w:color="auto" w:fill="auto"/>
            <w:vAlign w:val="center"/>
          </w:tcPr>
          <w:p w14:paraId="05010C0B">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处</w:t>
            </w:r>
          </w:p>
        </w:tc>
        <w:tc>
          <w:tcPr>
            <w:tcW w:w="1624" w:type="pct"/>
            <w:shd w:val="clear" w:color="auto" w:fill="auto"/>
            <w:vAlign w:val="center"/>
          </w:tcPr>
          <w:p w14:paraId="37005DE6">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本项目共设置平交道口10处，其中：本次设计十字交叉8处，T型交叉2处。</w:t>
            </w:r>
          </w:p>
        </w:tc>
        <w:tc>
          <w:tcPr>
            <w:tcW w:w="1680" w:type="pct"/>
            <w:shd w:val="clear" w:color="auto" w:fill="auto"/>
            <w:vAlign w:val="center"/>
          </w:tcPr>
          <w:p w14:paraId="47940672">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rPr>
              <w:t>/</w:t>
            </w:r>
          </w:p>
        </w:tc>
        <w:tc>
          <w:tcPr>
            <w:tcW w:w="528" w:type="pct"/>
            <w:shd w:val="clear" w:color="auto" w:fill="auto"/>
            <w:vAlign w:val="center"/>
          </w:tcPr>
          <w:p w14:paraId="44DF1333">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2"/>
                <w:sz w:val="21"/>
                <w:szCs w:val="21"/>
                <w:highlight w:val="none"/>
                <w:lang w:val="en-US" w:eastAsia="zh-CN" w:bidi="ar-SA"/>
              </w:rPr>
            </w:pPr>
            <w:r>
              <w:rPr>
                <w:rFonts w:hint="eastAsia"/>
                <w:snapToGrid w:val="0"/>
                <w:color w:val="000000" w:themeColor="text1"/>
                <w:sz w:val="21"/>
                <w:szCs w:val="21"/>
                <w:highlight w:val="none"/>
                <w:lang w:val="en-US" w:eastAsia="zh-CN"/>
              </w:rPr>
              <w:t>10</w:t>
            </w:r>
          </w:p>
        </w:tc>
      </w:tr>
      <w:tr w14:paraId="71BB29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D66F2F6">
            <w:pPr>
              <w:pageBreakBefore w:val="0"/>
              <w:wordWrap/>
              <w:topLinePunct w:val="0"/>
              <w:bidi w:val="0"/>
              <w:spacing w:line="240" w:lineRule="auto"/>
              <w:ind w:firstLine="0" w:firstLineChars="0"/>
              <w:jc w:val="center"/>
              <w:rPr>
                <w:color w:val="000000" w:themeColor="text1"/>
                <w:sz w:val="21"/>
                <w:szCs w:val="21"/>
                <w:highlight w:val="none"/>
              </w:rPr>
            </w:pPr>
          </w:p>
        </w:tc>
        <w:tc>
          <w:tcPr>
            <w:tcW w:w="124" w:type="pct"/>
            <w:vMerge w:val="continue"/>
            <w:vAlign w:val="center"/>
          </w:tcPr>
          <w:p w14:paraId="5F3CD39C">
            <w:pPr>
              <w:pageBreakBefore w:val="0"/>
              <w:wordWrap/>
              <w:topLinePunct w:val="0"/>
              <w:bidi w:val="0"/>
              <w:spacing w:line="240" w:lineRule="auto"/>
              <w:ind w:firstLine="0" w:firstLineChars="0"/>
              <w:jc w:val="center"/>
              <w:rPr>
                <w:color w:val="000000" w:themeColor="text1"/>
                <w:sz w:val="21"/>
                <w:szCs w:val="21"/>
                <w:highlight w:val="none"/>
              </w:rPr>
            </w:pPr>
          </w:p>
        </w:tc>
        <w:tc>
          <w:tcPr>
            <w:tcW w:w="656" w:type="pct"/>
            <w:gridSpan w:val="2"/>
            <w:shd w:val="clear" w:color="auto" w:fill="auto"/>
            <w:vAlign w:val="center"/>
          </w:tcPr>
          <w:p w14:paraId="4701BEBB">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rPr>
              <w:t>主线上跨式分离立交</w:t>
            </w:r>
          </w:p>
        </w:tc>
        <w:tc>
          <w:tcPr>
            <w:tcW w:w="267" w:type="pct"/>
            <w:shd w:val="clear" w:color="auto" w:fill="auto"/>
            <w:vAlign w:val="center"/>
          </w:tcPr>
          <w:p w14:paraId="35394FDF">
            <w:pPr>
              <w:pageBreakBefore w:val="0"/>
              <w:wordWrap/>
              <w:topLinePunct w:val="0"/>
              <w:bidi w:val="0"/>
              <w:spacing w:line="240" w:lineRule="auto"/>
              <w:ind w:firstLine="0" w:firstLineChars="0"/>
              <w:jc w:val="center"/>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处</w:t>
            </w:r>
          </w:p>
        </w:tc>
        <w:tc>
          <w:tcPr>
            <w:tcW w:w="1624" w:type="pct"/>
            <w:shd w:val="clear" w:color="auto" w:fill="auto"/>
            <w:vAlign w:val="center"/>
          </w:tcPr>
          <w:p w14:paraId="565D21F2">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w:t>
            </w:r>
          </w:p>
        </w:tc>
        <w:tc>
          <w:tcPr>
            <w:tcW w:w="1680" w:type="pct"/>
            <w:shd w:val="clear" w:color="auto" w:fill="auto"/>
            <w:vAlign w:val="center"/>
          </w:tcPr>
          <w:p w14:paraId="72C80C6E">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w:t>
            </w:r>
          </w:p>
        </w:tc>
        <w:tc>
          <w:tcPr>
            <w:tcW w:w="528" w:type="pct"/>
            <w:shd w:val="clear" w:color="auto" w:fill="auto"/>
            <w:vAlign w:val="center"/>
          </w:tcPr>
          <w:p w14:paraId="5656E922">
            <w:pPr>
              <w:pageBreakBefore w:val="0"/>
              <w:wordWrap/>
              <w:topLinePunct w:val="0"/>
              <w:bidi w:val="0"/>
              <w:spacing w:line="240" w:lineRule="auto"/>
              <w:ind w:firstLine="0" w:firstLineChars="0"/>
              <w:jc w:val="center"/>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w:t>
            </w:r>
          </w:p>
        </w:tc>
      </w:tr>
      <w:tr w14:paraId="59B505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118" w:type="pct"/>
            <w:vMerge w:val="continue"/>
            <w:vAlign w:val="center"/>
          </w:tcPr>
          <w:p w14:paraId="74CE1707">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Merge w:val="restart"/>
            <w:vAlign w:val="center"/>
          </w:tcPr>
          <w:p w14:paraId="1B350C8C">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snapToGrid w:val="0"/>
                <w:color w:val="000000" w:themeColor="text1"/>
                <w:sz w:val="21"/>
                <w:szCs w:val="21"/>
                <w:highlight w:val="none"/>
              </w:rPr>
              <w:t>拆迁</w:t>
            </w:r>
            <w:r>
              <w:rPr>
                <w:rFonts w:hint="eastAsia"/>
                <w:snapToGrid w:val="0"/>
                <w:color w:val="000000" w:themeColor="text1"/>
                <w:sz w:val="21"/>
                <w:szCs w:val="21"/>
                <w:highlight w:val="none"/>
                <w:lang w:val="en-US" w:eastAsia="zh-CN"/>
              </w:rPr>
              <w:t>工程</w:t>
            </w:r>
          </w:p>
        </w:tc>
        <w:tc>
          <w:tcPr>
            <w:tcW w:w="267" w:type="pct"/>
            <w:vAlign w:val="center"/>
          </w:tcPr>
          <w:p w14:paraId="13A18A1F">
            <w:pPr>
              <w:pageBreakBefore w:val="0"/>
              <w:wordWrap/>
              <w:topLinePunct w:val="0"/>
              <w:bidi w:val="0"/>
              <w:spacing w:line="240" w:lineRule="auto"/>
              <w:jc w:val="both"/>
              <w:rPr>
                <w:rFonts w:hint="eastAsia" w:eastAsia="宋体"/>
                <w:snapToGrid w:val="0"/>
                <w:color w:val="000000" w:themeColor="text1"/>
                <w:sz w:val="21"/>
                <w:szCs w:val="21"/>
                <w:highlight w:val="none"/>
                <w:lang w:val="en-US" w:eastAsia="zh-CN"/>
              </w:rPr>
            </w:pPr>
            <w:r>
              <w:rPr>
                <w:rFonts w:hint="eastAsia"/>
                <w:color w:val="000000" w:themeColor="text1"/>
                <w:sz w:val="21"/>
                <w:szCs w:val="21"/>
                <w:highlight w:val="none"/>
                <w:lang w:val="en-US" w:eastAsia="zh-CN"/>
              </w:rPr>
              <w:t>m</w:t>
            </w:r>
            <w:r>
              <w:rPr>
                <w:rFonts w:hint="eastAsia"/>
                <w:color w:val="000000" w:themeColor="text1"/>
                <w:sz w:val="21"/>
                <w:szCs w:val="21"/>
                <w:highlight w:val="none"/>
                <w:vertAlign w:val="superscript"/>
                <w:lang w:val="en-US" w:eastAsia="zh-CN"/>
              </w:rPr>
              <w:t>2</w:t>
            </w:r>
          </w:p>
        </w:tc>
        <w:tc>
          <w:tcPr>
            <w:tcW w:w="1624" w:type="pct"/>
            <w:vAlign w:val="center"/>
          </w:tcPr>
          <w:p w14:paraId="5A41CB39">
            <w:pPr>
              <w:pageBreakBefore w:val="0"/>
              <w:wordWrap/>
              <w:topLinePunct w:val="0"/>
              <w:bidi w:val="0"/>
              <w:spacing w:line="240" w:lineRule="auto"/>
              <w:ind w:firstLine="42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拆除建筑物1167</w:t>
            </w:r>
            <w:r>
              <w:rPr>
                <w:rFonts w:hint="eastAsia"/>
                <w:color w:val="000000" w:themeColor="text1"/>
                <w:sz w:val="21"/>
                <w:szCs w:val="21"/>
                <w:highlight w:val="none"/>
                <w:lang w:val="en-US" w:eastAsia="zh-CN"/>
              </w:rPr>
              <w:t>m</w:t>
            </w:r>
            <w:r>
              <w:rPr>
                <w:rFonts w:hint="eastAsia"/>
                <w:color w:val="000000" w:themeColor="text1"/>
                <w:sz w:val="21"/>
                <w:szCs w:val="21"/>
                <w:highlight w:val="none"/>
                <w:vertAlign w:val="superscript"/>
                <w:lang w:val="en-US" w:eastAsia="zh-CN"/>
              </w:rPr>
              <w:t>2</w:t>
            </w:r>
          </w:p>
        </w:tc>
        <w:tc>
          <w:tcPr>
            <w:tcW w:w="1680" w:type="pct"/>
            <w:vAlign w:val="center"/>
          </w:tcPr>
          <w:p w14:paraId="146D6DFF">
            <w:pPr>
              <w:pageBreakBefore w:val="0"/>
              <w:wordWrap/>
              <w:topLinePunct w:val="0"/>
              <w:bidi w:val="0"/>
              <w:spacing w:line="240" w:lineRule="auto"/>
              <w:ind w:left="0" w:leftChars="0"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w:t>
            </w:r>
          </w:p>
        </w:tc>
        <w:tc>
          <w:tcPr>
            <w:tcW w:w="528" w:type="pct"/>
            <w:vAlign w:val="center"/>
          </w:tcPr>
          <w:p w14:paraId="545AA903">
            <w:pPr>
              <w:pageBreakBefore w:val="0"/>
              <w:wordWrap/>
              <w:topLinePunct w:val="0"/>
              <w:bidi w:val="0"/>
              <w:spacing w:line="240" w:lineRule="auto"/>
              <w:ind w:left="0" w:leftChars="0"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1167</w:t>
            </w:r>
          </w:p>
        </w:tc>
      </w:tr>
      <w:tr w14:paraId="3216F7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15D79E5B">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Merge w:val="continue"/>
            <w:vAlign w:val="center"/>
          </w:tcPr>
          <w:p w14:paraId="748C6FDA">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267" w:type="pct"/>
            <w:vAlign w:val="center"/>
          </w:tcPr>
          <w:p w14:paraId="2FE18139">
            <w:pPr>
              <w:pageBreakBefore w:val="0"/>
              <w:wordWrap/>
              <w:topLinePunct w:val="0"/>
              <w:bidi w:val="0"/>
              <w:spacing w:line="240" w:lineRule="auto"/>
              <w:jc w:val="both"/>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处</w:t>
            </w:r>
          </w:p>
        </w:tc>
        <w:tc>
          <w:tcPr>
            <w:tcW w:w="1624" w:type="pct"/>
            <w:vAlign w:val="center"/>
          </w:tcPr>
          <w:p w14:paraId="37510370">
            <w:pPr>
              <w:pageBreakBefore w:val="0"/>
              <w:wordWrap/>
              <w:topLinePunct w:val="0"/>
              <w:bidi w:val="0"/>
              <w:spacing w:line="240" w:lineRule="auto"/>
              <w:ind w:firstLine="420"/>
              <w:jc w:val="center"/>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拆除电力线3处</w:t>
            </w:r>
          </w:p>
        </w:tc>
        <w:tc>
          <w:tcPr>
            <w:tcW w:w="1680" w:type="pct"/>
            <w:vAlign w:val="center"/>
          </w:tcPr>
          <w:p w14:paraId="2DE57555">
            <w:pPr>
              <w:pageBreakBefore w:val="0"/>
              <w:wordWrap/>
              <w:topLinePunct w:val="0"/>
              <w:bidi w:val="0"/>
              <w:spacing w:line="240" w:lineRule="auto"/>
              <w:ind w:left="0" w:leftChars="0" w:firstLine="0" w:firstLineChars="0"/>
              <w:jc w:val="center"/>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w:t>
            </w:r>
          </w:p>
        </w:tc>
        <w:tc>
          <w:tcPr>
            <w:tcW w:w="528" w:type="pct"/>
            <w:vAlign w:val="center"/>
          </w:tcPr>
          <w:p w14:paraId="340EDC98">
            <w:pPr>
              <w:pageBreakBefore w:val="0"/>
              <w:wordWrap/>
              <w:topLinePunct w:val="0"/>
              <w:bidi w:val="0"/>
              <w:spacing w:line="240" w:lineRule="auto"/>
              <w:ind w:left="0" w:leftChars="0" w:firstLine="0" w:firstLineChars="0"/>
              <w:jc w:val="center"/>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3</w:t>
            </w:r>
          </w:p>
        </w:tc>
      </w:tr>
      <w:tr w14:paraId="1A8385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65470C05">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Merge w:val="continue"/>
            <w:vAlign w:val="center"/>
          </w:tcPr>
          <w:p w14:paraId="2066B412">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267" w:type="pct"/>
            <w:vAlign w:val="center"/>
          </w:tcPr>
          <w:p w14:paraId="1A77A00E">
            <w:pPr>
              <w:pageBreakBefore w:val="0"/>
              <w:wordWrap/>
              <w:topLinePunct w:val="0"/>
              <w:bidi w:val="0"/>
              <w:spacing w:line="240" w:lineRule="auto"/>
              <w:jc w:val="both"/>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处</w:t>
            </w:r>
          </w:p>
        </w:tc>
        <w:tc>
          <w:tcPr>
            <w:tcW w:w="1624" w:type="pct"/>
            <w:vAlign w:val="center"/>
          </w:tcPr>
          <w:p w14:paraId="46ECB438">
            <w:pPr>
              <w:pageBreakBefore w:val="0"/>
              <w:wordWrap/>
              <w:topLinePunct w:val="0"/>
              <w:bidi w:val="0"/>
              <w:spacing w:line="240" w:lineRule="auto"/>
              <w:ind w:firstLine="420"/>
              <w:jc w:val="center"/>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拆除电讯线4处</w:t>
            </w:r>
          </w:p>
        </w:tc>
        <w:tc>
          <w:tcPr>
            <w:tcW w:w="1680" w:type="pct"/>
            <w:vAlign w:val="center"/>
          </w:tcPr>
          <w:p w14:paraId="79C6C430">
            <w:pPr>
              <w:pageBreakBefore w:val="0"/>
              <w:wordWrap/>
              <w:topLinePunct w:val="0"/>
              <w:bidi w:val="0"/>
              <w:spacing w:line="240" w:lineRule="auto"/>
              <w:ind w:left="0" w:leftChars="0" w:firstLine="0" w:firstLineChars="0"/>
              <w:jc w:val="center"/>
              <w:rPr>
                <w:rFonts w:hint="eastAsia"/>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w:t>
            </w:r>
          </w:p>
        </w:tc>
        <w:tc>
          <w:tcPr>
            <w:tcW w:w="528" w:type="pct"/>
            <w:vAlign w:val="center"/>
          </w:tcPr>
          <w:p w14:paraId="73A498A5">
            <w:pPr>
              <w:pageBreakBefore w:val="0"/>
              <w:wordWrap/>
              <w:topLinePunct w:val="0"/>
              <w:bidi w:val="0"/>
              <w:spacing w:line="240" w:lineRule="auto"/>
              <w:ind w:left="0" w:leftChars="0" w:firstLine="0" w:firstLineChars="0"/>
              <w:jc w:val="center"/>
              <w:rPr>
                <w:rFonts w:hint="default"/>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4</w:t>
            </w:r>
          </w:p>
        </w:tc>
      </w:tr>
      <w:tr w14:paraId="0C701E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45AAAC8">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Align w:val="center"/>
          </w:tcPr>
          <w:p w14:paraId="011786E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砍伐树木</w:t>
            </w:r>
          </w:p>
        </w:tc>
        <w:tc>
          <w:tcPr>
            <w:tcW w:w="4101" w:type="pct"/>
            <w:gridSpan w:val="4"/>
            <w:vAlign w:val="center"/>
          </w:tcPr>
          <w:p w14:paraId="28EF24E9">
            <w:pPr>
              <w:pageBreakBefore w:val="0"/>
              <w:wordWrap/>
              <w:topLinePunct w:val="0"/>
              <w:bidi w:val="0"/>
              <w:spacing w:line="240" w:lineRule="auto"/>
              <w:ind w:left="0" w:leftChars="0" w:firstLine="0" w:firstLineChars="0"/>
              <w:jc w:val="center"/>
              <w:rPr>
                <w:color w:val="000000" w:themeColor="text1"/>
                <w:sz w:val="21"/>
                <w:szCs w:val="21"/>
                <w:highlight w:val="none"/>
              </w:rPr>
            </w:pPr>
            <w:r>
              <w:rPr>
                <w:color w:val="000000" w:themeColor="text1"/>
                <w:sz w:val="21"/>
                <w:szCs w:val="21"/>
                <w:highlight w:val="none"/>
              </w:rPr>
              <w:t>共计砍伐树木</w:t>
            </w:r>
            <w:r>
              <w:rPr>
                <w:rFonts w:hint="eastAsia"/>
                <w:color w:val="000000" w:themeColor="text1"/>
                <w:sz w:val="21"/>
                <w:szCs w:val="21"/>
                <w:highlight w:val="none"/>
                <w:lang w:val="en-US" w:eastAsia="zh-CN"/>
              </w:rPr>
              <w:t>6938</w:t>
            </w:r>
            <w:r>
              <w:rPr>
                <w:color w:val="000000" w:themeColor="text1"/>
                <w:sz w:val="21"/>
                <w:szCs w:val="21"/>
                <w:highlight w:val="none"/>
              </w:rPr>
              <w:t>棵，包括胸径</w:t>
            </w:r>
            <w:r>
              <w:rPr>
                <w:rFonts w:hint="default" w:ascii="Times New Roman" w:hAnsi="Times New Roman" w:cs="Times New Roman"/>
                <w:color w:val="000000" w:themeColor="text1"/>
                <w:sz w:val="21"/>
                <w:szCs w:val="21"/>
                <w:highlight w:val="none"/>
                <w:lang w:val="en-US" w:eastAsia="zh-CN"/>
              </w:rPr>
              <w:t>&lt;</w:t>
            </w:r>
            <w:r>
              <w:rPr>
                <w:rFonts w:hint="eastAsia"/>
                <w:color w:val="000000" w:themeColor="text1"/>
                <w:sz w:val="21"/>
                <w:szCs w:val="21"/>
                <w:highlight w:val="none"/>
                <w:lang w:val="en-US" w:eastAsia="zh-CN"/>
              </w:rPr>
              <w:t>15</w:t>
            </w:r>
            <w:r>
              <w:rPr>
                <w:color w:val="000000" w:themeColor="text1"/>
                <w:sz w:val="21"/>
                <w:szCs w:val="21"/>
                <w:highlight w:val="none"/>
              </w:rPr>
              <w:t>cm</w:t>
            </w:r>
            <w:r>
              <w:rPr>
                <w:rFonts w:hint="eastAsia"/>
                <w:color w:val="000000" w:themeColor="text1"/>
                <w:sz w:val="21"/>
                <w:szCs w:val="21"/>
                <w:highlight w:val="none"/>
                <w:lang w:val="en-US" w:eastAsia="zh-CN"/>
              </w:rPr>
              <w:t xml:space="preserve"> 2007</w:t>
            </w:r>
            <w:r>
              <w:rPr>
                <w:color w:val="000000" w:themeColor="text1"/>
                <w:sz w:val="21"/>
                <w:szCs w:val="21"/>
                <w:highlight w:val="none"/>
              </w:rPr>
              <w:t>棵、</w:t>
            </w:r>
            <w:r>
              <w:rPr>
                <w:rFonts w:hint="eastAsia" w:ascii="宋体" w:hAnsi="宋体" w:eastAsia="宋体" w:cs="宋体"/>
                <w:color w:val="000000" w:themeColor="text1"/>
                <w:sz w:val="21"/>
                <w:szCs w:val="21"/>
                <w:highlight w:val="none"/>
                <w:lang w:val="en-US" w:eastAsia="zh-CN"/>
              </w:rPr>
              <w:t>≥</w:t>
            </w:r>
            <w:r>
              <w:rPr>
                <w:rFonts w:hint="eastAsia"/>
                <w:color w:val="000000" w:themeColor="text1"/>
                <w:sz w:val="21"/>
                <w:szCs w:val="21"/>
                <w:highlight w:val="none"/>
                <w:lang w:val="en-US" w:eastAsia="zh-CN"/>
              </w:rPr>
              <w:t>15</w:t>
            </w:r>
            <w:r>
              <w:rPr>
                <w:color w:val="000000" w:themeColor="text1"/>
                <w:sz w:val="21"/>
                <w:szCs w:val="21"/>
                <w:highlight w:val="none"/>
              </w:rPr>
              <w:t xml:space="preserve">cm </w:t>
            </w:r>
            <w:r>
              <w:rPr>
                <w:rFonts w:hint="eastAsia"/>
                <w:color w:val="000000" w:themeColor="text1"/>
                <w:sz w:val="21"/>
                <w:szCs w:val="21"/>
                <w:highlight w:val="none"/>
                <w:lang w:val="en-US" w:eastAsia="zh-CN"/>
              </w:rPr>
              <w:t>4931</w:t>
            </w:r>
            <w:r>
              <w:rPr>
                <w:color w:val="000000" w:themeColor="text1"/>
                <w:sz w:val="21"/>
                <w:szCs w:val="21"/>
                <w:highlight w:val="none"/>
              </w:rPr>
              <w:t>棵，树种为</w:t>
            </w:r>
            <w:r>
              <w:rPr>
                <w:rFonts w:hint="eastAsia"/>
                <w:color w:val="000000" w:themeColor="text1"/>
                <w:sz w:val="21"/>
                <w:szCs w:val="21"/>
                <w:highlight w:val="none"/>
              </w:rPr>
              <w:t>柞</w:t>
            </w:r>
            <w:r>
              <w:rPr>
                <w:color w:val="000000" w:themeColor="text1"/>
                <w:sz w:val="21"/>
                <w:szCs w:val="21"/>
                <w:highlight w:val="none"/>
              </w:rPr>
              <w:t>树、</w:t>
            </w:r>
            <w:r>
              <w:rPr>
                <w:rFonts w:hint="eastAsia"/>
                <w:color w:val="000000" w:themeColor="text1"/>
                <w:sz w:val="21"/>
                <w:szCs w:val="21"/>
                <w:highlight w:val="none"/>
              </w:rPr>
              <w:t>桦</w:t>
            </w:r>
            <w:r>
              <w:rPr>
                <w:color w:val="000000" w:themeColor="text1"/>
                <w:sz w:val="21"/>
                <w:szCs w:val="21"/>
                <w:highlight w:val="none"/>
              </w:rPr>
              <w:t>树</w:t>
            </w:r>
            <w:r>
              <w:rPr>
                <w:rFonts w:hint="eastAsia"/>
                <w:color w:val="000000" w:themeColor="text1"/>
                <w:sz w:val="21"/>
                <w:szCs w:val="21"/>
                <w:highlight w:val="none"/>
              </w:rPr>
              <w:t>、山</w:t>
            </w:r>
            <w:r>
              <w:rPr>
                <w:rFonts w:hint="eastAsia"/>
                <w:color w:val="000000" w:themeColor="text1"/>
                <w:sz w:val="21"/>
                <w:szCs w:val="21"/>
                <w:highlight w:val="none"/>
                <w:lang w:val="en-US" w:eastAsia="zh-CN"/>
              </w:rPr>
              <w:t>杨</w:t>
            </w:r>
            <w:r>
              <w:rPr>
                <w:rFonts w:hint="eastAsia"/>
                <w:color w:val="000000" w:themeColor="text1"/>
                <w:sz w:val="21"/>
                <w:szCs w:val="21"/>
                <w:highlight w:val="none"/>
              </w:rPr>
              <w:t>、落叶松</w:t>
            </w:r>
            <w:r>
              <w:rPr>
                <w:color w:val="000000" w:themeColor="text1"/>
                <w:sz w:val="21"/>
                <w:szCs w:val="21"/>
                <w:highlight w:val="none"/>
              </w:rPr>
              <w:t>等</w:t>
            </w:r>
          </w:p>
        </w:tc>
      </w:tr>
      <w:tr w14:paraId="760D36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20F087BB">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Align w:val="center"/>
          </w:tcPr>
          <w:p w14:paraId="1A13C768">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sz w:val="21"/>
                <w:szCs w:val="21"/>
                <w:highlight w:val="none"/>
              </w:rPr>
              <w:t>土石方工程</w:t>
            </w:r>
          </w:p>
        </w:tc>
        <w:tc>
          <w:tcPr>
            <w:tcW w:w="4101" w:type="pct"/>
            <w:gridSpan w:val="4"/>
            <w:vAlign w:val="center"/>
          </w:tcPr>
          <w:p w14:paraId="2F1AD741">
            <w:pPr>
              <w:pageBreakBefore w:val="0"/>
              <w:wordWrap/>
              <w:topLinePunct w:val="0"/>
              <w:bidi w:val="0"/>
              <w:spacing w:line="240" w:lineRule="auto"/>
              <w:ind w:left="0" w:leftChars="0"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本项目土石方总量为28.71万m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，其中挖方10.77万m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（其中剥离表土4.24万m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），利用方4.47万m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，填方17.94万m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（其中表土回覆0.93万m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），借方13.37万m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，主要为路基填筑碎石及砂石等，由萝北县大平石材加工有限公司提供，表土余方3.31万m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全部运至志成村弃渣场，用于对弃渣场内废弃坑塘进行填筑、平整。</w:t>
            </w:r>
          </w:p>
        </w:tc>
      </w:tr>
      <w:tr w14:paraId="57367B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0CDEEFB">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restart"/>
            <w:vAlign w:val="center"/>
          </w:tcPr>
          <w:p w14:paraId="147053F9">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kern w:val="0"/>
                <w:sz w:val="21"/>
                <w:szCs w:val="21"/>
                <w:highlight w:val="none"/>
              </w:rPr>
              <w:t>征地</w:t>
            </w:r>
          </w:p>
        </w:tc>
        <w:tc>
          <w:tcPr>
            <w:tcW w:w="511" w:type="pct"/>
            <w:vAlign w:val="center"/>
          </w:tcPr>
          <w:p w14:paraId="0851F7C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kern w:val="0"/>
                <w:sz w:val="21"/>
                <w:szCs w:val="21"/>
                <w:highlight w:val="none"/>
              </w:rPr>
              <w:t>永久占地</w:t>
            </w:r>
          </w:p>
        </w:tc>
        <w:tc>
          <w:tcPr>
            <w:tcW w:w="4101" w:type="pct"/>
            <w:gridSpan w:val="4"/>
            <w:vAlign w:val="center"/>
          </w:tcPr>
          <w:p w14:paraId="4DE22E3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rFonts w:hint="eastAsia"/>
                <w:color w:val="000000" w:themeColor="text1"/>
                <w:sz w:val="21"/>
                <w:szCs w:val="21"/>
                <w:highlight w:val="none"/>
                <w:lang w:val="en-US" w:eastAsia="zh-CN"/>
              </w:rPr>
              <w:t>本项目永久占地共19.1083hm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，其中水田0.6573hm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vertAlign w:val="baseline"/>
                <w:lang w:val="en-US" w:eastAsia="zh-CN"/>
              </w:rPr>
              <w:t>，</w:t>
            </w:r>
            <w:r>
              <w:rPr>
                <w:rFonts w:hint="eastAsia"/>
                <w:color w:val="000000" w:themeColor="text1"/>
                <w:sz w:val="21"/>
                <w:szCs w:val="21"/>
                <w:highlight w:val="none"/>
                <w:lang w:val="en-US" w:eastAsia="zh-CN"/>
              </w:rPr>
              <w:t>旱田11.3640hm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（所占耕地均为永久基本农田，合计12.0213hm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），林地4.611hm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（占用林地均为一般商品林，不占用公益林），农村道路1.1899hm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，沟渠0.8197hm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，草地0.208hm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，池塘0.1645hm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，水域0.0939hm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w:t>
            </w:r>
          </w:p>
        </w:tc>
      </w:tr>
      <w:tr w14:paraId="68DDFF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274C58BC">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continue"/>
            <w:vAlign w:val="center"/>
          </w:tcPr>
          <w:p w14:paraId="4D5B3390">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511" w:type="pct"/>
            <w:vAlign w:val="center"/>
          </w:tcPr>
          <w:p w14:paraId="678B01F6">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临时占地</w:t>
            </w:r>
          </w:p>
        </w:tc>
        <w:tc>
          <w:tcPr>
            <w:tcW w:w="4101" w:type="pct"/>
            <w:gridSpan w:val="4"/>
            <w:vAlign w:val="center"/>
          </w:tcPr>
          <w:p w14:paraId="55B6BB3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r>
              <w:rPr>
                <w:color w:val="000000" w:themeColor="text1"/>
                <w:sz w:val="21"/>
                <w:szCs w:val="21"/>
                <w:highlight w:val="none"/>
              </w:rPr>
              <w:t>本项目临时占地包括</w:t>
            </w:r>
            <w:r>
              <w:rPr>
                <w:rFonts w:hint="eastAsia"/>
                <w:color w:val="000000" w:themeColor="text1"/>
                <w:sz w:val="21"/>
                <w:szCs w:val="21"/>
                <w:highlight w:val="none"/>
                <w:lang w:val="en-US" w:eastAsia="zh-CN"/>
              </w:rPr>
              <w:t>综合站场、施工便道、表土临时堆土场及弃渣场等，临时占地4.37hm</w:t>
            </w:r>
            <w:r>
              <w:rPr>
                <w:rFonts w:hint="eastAsia"/>
                <w:color w:val="000000" w:themeColor="text1"/>
                <w:sz w:val="21"/>
                <w:szCs w:val="21"/>
                <w:highlight w:val="none"/>
                <w:vertAlign w:val="superscript"/>
                <w:lang w:val="en-US" w:eastAsia="zh-CN"/>
              </w:rPr>
              <w:t>2</w:t>
            </w:r>
            <w:r>
              <w:rPr>
                <w:rFonts w:hint="eastAsia"/>
                <w:color w:val="000000" w:themeColor="text1"/>
                <w:sz w:val="21"/>
                <w:szCs w:val="2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sz w:val="21"/>
                <w:szCs w:val="21"/>
                <w:highlight w:val="none"/>
              </w:rPr>
              <w:t>。</w:t>
            </w:r>
          </w:p>
        </w:tc>
      </w:tr>
      <w:tr w14:paraId="5D0AF2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restart"/>
            <w:vAlign w:val="center"/>
          </w:tcPr>
          <w:p w14:paraId="28D393C9">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辅助</w:t>
            </w:r>
          </w:p>
          <w:p w14:paraId="5C336F3C">
            <w:pPr>
              <w:pageBreakBefore w:val="0"/>
              <w:wordWrap/>
              <w:topLinePunct w:val="0"/>
              <w:bidi w:val="0"/>
              <w:spacing w:line="240" w:lineRule="auto"/>
              <w:ind w:firstLine="0" w:firstLineChars="0"/>
              <w:jc w:val="center"/>
              <w:rPr>
                <w:color w:val="000000" w:themeColor="text1"/>
                <w:sz w:val="21"/>
                <w:szCs w:val="21"/>
                <w:highlight w:val="none"/>
              </w:rPr>
            </w:pPr>
            <w:r>
              <w:rPr>
                <w:snapToGrid w:val="0"/>
                <w:color w:val="000000" w:themeColor="text1"/>
                <w:kern w:val="0"/>
                <w:sz w:val="21"/>
                <w:szCs w:val="21"/>
                <w:highlight w:val="none"/>
              </w:rPr>
              <w:t>工程</w:t>
            </w:r>
          </w:p>
        </w:tc>
        <w:tc>
          <w:tcPr>
            <w:tcW w:w="780" w:type="pct"/>
            <w:gridSpan w:val="3"/>
            <w:vAlign w:val="center"/>
          </w:tcPr>
          <w:p w14:paraId="40DF511C">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各类标志牌</w:t>
            </w:r>
          </w:p>
        </w:tc>
        <w:tc>
          <w:tcPr>
            <w:tcW w:w="267" w:type="pct"/>
            <w:vAlign w:val="center"/>
          </w:tcPr>
          <w:p w14:paraId="4154CE17">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块</w:t>
            </w:r>
          </w:p>
        </w:tc>
        <w:tc>
          <w:tcPr>
            <w:tcW w:w="1624" w:type="pct"/>
            <w:vAlign w:val="center"/>
          </w:tcPr>
          <w:p w14:paraId="405CB29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66</w:t>
            </w:r>
          </w:p>
        </w:tc>
        <w:tc>
          <w:tcPr>
            <w:tcW w:w="1680" w:type="pct"/>
            <w:vAlign w:val="center"/>
          </w:tcPr>
          <w:p w14:paraId="207CB91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kern w:val="2"/>
                <w:sz w:val="21"/>
                <w:szCs w:val="21"/>
                <w:highlight w:val="none"/>
                <w:lang w:val="en-US" w:eastAsia="zh-CN" w:bidi="ar-SA"/>
              </w:rPr>
              <w:t>/</w:t>
            </w:r>
          </w:p>
        </w:tc>
        <w:tc>
          <w:tcPr>
            <w:tcW w:w="528" w:type="pct"/>
            <w:shd w:val="clear" w:color="auto" w:fill="auto"/>
            <w:vAlign w:val="center"/>
          </w:tcPr>
          <w:p w14:paraId="39E434F4">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66</w:t>
            </w:r>
          </w:p>
        </w:tc>
      </w:tr>
      <w:tr w14:paraId="14545E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1D329417">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Align w:val="center"/>
          </w:tcPr>
          <w:p w14:paraId="2203C849">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标线</w:t>
            </w:r>
          </w:p>
        </w:tc>
        <w:tc>
          <w:tcPr>
            <w:tcW w:w="267" w:type="pct"/>
            <w:vAlign w:val="center"/>
          </w:tcPr>
          <w:p w14:paraId="27AB0C0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olor w:val="000000" w:themeColor="text1"/>
                <w:sz w:val="21"/>
                <w:szCs w:val="21"/>
                <w:highlight w:val="none"/>
                <w:lang w:val="en-US" w:eastAsia="zh-CN"/>
              </w:rPr>
              <w:t>m</w:t>
            </w:r>
            <w:r>
              <w:rPr>
                <w:rFonts w:hint="eastAsia"/>
                <w:color w:val="000000" w:themeColor="text1"/>
                <w:sz w:val="21"/>
                <w:szCs w:val="21"/>
                <w:highlight w:val="none"/>
                <w:vertAlign w:val="superscript"/>
                <w:lang w:val="en-US" w:eastAsia="zh-CN"/>
              </w:rPr>
              <w:t>2</w:t>
            </w:r>
          </w:p>
        </w:tc>
        <w:tc>
          <w:tcPr>
            <w:tcW w:w="1624" w:type="pct"/>
            <w:vAlign w:val="center"/>
          </w:tcPr>
          <w:p w14:paraId="0C97F70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2808</w:t>
            </w:r>
          </w:p>
        </w:tc>
        <w:tc>
          <w:tcPr>
            <w:tcW w:w="1680" w:type="pct"/>
            <w:vAlign w:val="center"/>
          </w:tcPr>
          <w:p w14:paraId="19663B9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kern w:val="2"/>
                <w:sz w:val="21"/>
                <w:szCs w:val="21"/>
                <w:highlight w:val="none"/>
                <w:lang w:val="en-US" w:eastAsia="zh-CN" w:bidi="ar-SA"/>
              </w:rPr>
              <w:t>/</w:t>
            </w:r>
          </w:p>
        </w:tc>
        <w:tc>
          <w:tcPr>
            <w:tcW w:w="528" w:type="pct"/>
            <w:shd w:val="clear" w:color="auto" w:fill="auto"/>
            <w:vAlign w:val="center"/>
          </w:tcPr>
          <w:p w14:paraId="01E3778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2808</w:t>
            </w:r>
          </w:p>
        </w:tc>
      </w:tr>
      <w:tr w14:paraId="1E492E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69223EAA">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Align w:val="center"/>
          </w:tcPr>
          <w:p w14:paraId="319874EB">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护栏</w:t>
            </w:r>
          </w:p>
        </w:tc>
        <w:tc>
          <w:tcPr>
            <w:tcW w:w="267" w:type="pct"/>
            <w:vAlign w:val="center"/>
          </w:tcPr>
          <w:p w14:paraId="2243368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color w:val="000000" w:themeColor="text1"/>
                <w:highlight w:val="none"/>
                <w:lang w:val="en-US" w:eastAsia="zh-CN"/>
              </w:rPr>
            </w:pPr>
            <w:r>
              <w:rPr>
                <w:rFonts w:hint="eastAsia" w:cs="Times New Roman"/>
                <w:color w:val="000000" w:themeColor="text1"/>
                <w:spacing w:val="0"/>
                <w:sz w:val="21"/>
                <w:szCs w:val="21"/>
                <w:highlight w:val="none"/>
                <w:lang w:val="en-US" w:eastAsia="zh-CN"/>
              </w:rPr>
              <w:t>m</w:t>
            </w:r>
          </w:p>
        </w:tc>
        <w:tc>
          <w:tcPr>
            <w:tcW w:w="1624" w:type="pct"/>
            <w:vAlign w:val="center"/>
          </w:tcPr>
          <w:p w14:paraId="21BE6DF5">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1384</w:t>
            </w:r>
          </w:p>
        </w:tc>
        <w:tc>
          <w:tcPr>
            <w:tcW w:w="1680" w:type="pct"/>
            <w:vAlign w:val="center"/>
          </w:tcPr>
          <w:p w14:paraId="133DC63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kern w:val="2"/>
                <w:sz w:val="21"/>
                <w:szCs w:val="21"/>
                <w:highlight w:val="none"/>
                <w:lang w:val="en-US" w:eastAsia="zh-CN" w:bidi="ar-SA"/>
              </w:rPr>
              <w:t>/</w:t>
            </w:r>
          </w:p>
        </w:tc>
        <w:tc>
          <w:tcPr>
            <w:tcW w:w="528" w:type="pct"/>
            <w:shd w:val="clear" w:color="auto" w:fill="auto"/>
            <w:vAlign w:val="center"/>
          </w:tcPr>
          <w:p w14:paraId="2DF53797">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1384</w:t>
            </w:r>
          </w:p>
        </w:tc>
      </w:tr>
      <w:tr w14:paraId="3FDD0F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53DB2A4E">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Align w:val="center"/>
          </w:tcPr>
          <w:p w14:paraId="5E6D65E6">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轮廓标</w:t>
            </w:r>
          </w:p>
        </w:tc>
        <w:tc>
          <w:tcPr>
            <w:tcW w:w="267" w:type="pct"/>
            <w:vAlign w:val="center"/>
          </w:tcPr>
          <w:p w14:paraId="7B8836FA">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块</w:t>
            </w:r>
          </w:p>
        </w:tc>
        <w:tc>
          <w:tcPr>
            <w:tcW w:w="1624" w:type="pct"/>
            <w:vAlign w:val="center"/>
          </w:tcPr>
          <w:p w14:paraId="18B046C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333</w:t>
            </w:r>
          </w:p>
        </w:tc>
        <w:tc>
          <w:tcPr>
            <w:tcW w:w="1680" w:type="pct"/>
            <w:vAlign w:val="center"/>
          </w:tcPr>
          <w:p w14:paraId="2853FE6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kern w:val="2"/>
                <w:sz w:val="21"/>
                <w:szCs w:val="21"/>
                <w:highlight w:val="none"/>
                <w:lang w:val="en-US" w:eastAsia="zh-CN" w:bidi="ar-SA"/>
              </w:rPr>
              <w:t>/</w:t>
            </w:r>
          </w:p>
        </w:tc>
        <w:tc>
          <w:tcPr>
            <w:tcW w:w="528" w:type="pct"/>
            <w:shd w:val="clear" w:color="auto" w:fill="auto"/>
            <w:vAlign w:val="center"/>
          </w:tcPr>
          <w:p w14:paraId="662D510C">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333</w:t>
            </w:r>
          </w:p>
        </w:tc>
      </w:tr>
      <w:tr w14:paraId="7ACBD1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1E184676">
            <w:pPr>
              <w:pageBreakBefore w:val="0"/>
              <w:wordWrap/>
              <w:topLinePunct w:val="0"/>
              <w:bidi w:val="0"/>
              <w:spacing w:line="240" w:lineRule="auto"/>
              <w:ind w:firstLine="0" w:firstLineChars="0"/>
              <w:jc w:val="center"/>
              <w:rPr>
                <w:color w:val="000000" w:themeColor="text1"/>
                <w:sz w:val="21"/>
                <w:szCs w:val="21"/>
                <w:highlight w:val="none"/>
              </w:rPr>
            </w:pPr>
          </w:p>
        </w:tc>
        <w:tc>
          <w:tcPr>
            <w:tcW w:w="780" w:type="pct"/>
            <w:gridSpan w:val="3"/>
            <w:vAlign w:val="center"/>
          </w:tcPr>
          <w:p w14:paraId="33E611D0">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道口标注</w:t>
            </w:r>
          </w:p>
        </w:tc>
        <w:tc>
          <w:tcPr>
            <w:tcW w:w="267" w:type="pct"/>
            <w:vAlign w:val="center"/>
          </w:tcPr>
          <w:p w14:paraId="2F22E2A0">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sz w:val="21"/>
                <w:szCs w:val="21"/>
                <w:highlight w:val="none"/>
                <w:lang w:val="en-US" w:eastAsia="zh-CN"/>
              </w:rPr>
              <w:t>个</w:t>
            </w:r>
          </w:p>
        </w:tc>
        <w:tc>
          <w:tcPr>
            <w:tcW w:w="1624" w:type="pct"/>
            <w:vAlign w:val="center"/>
          </w:tcPr>
          <w:p w14:paraId="65181543">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72</w:t>
            </w:r>
          </w:p>
        </w:tc>
        <w:tc>
          <w:tcPr>
            <w:tcW w:w="1680" w:type="pct"/>
            <w:vAlign w:val="center"/>
          </w:tcPr>
          <w:p w14:paraId="423E647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kern w:val="2"/>
                <w:sz w:val="21"/>
                <w:szCs w:val="21"/>
                <w:highlight w:val="none"/>
                <w:lang w:val="en-US" w:eastAsia="zh-CN" w:bidi="ar-SA"/>
              </w:rPr>
              <w:t>/</w:t>
            </w:r>
          </w:p>
        </w:tc>
        <w:tc>
          <w:tcPr>
            <w:tcW w:w="528" w:type="pct"/>
            <w:shd w:val="clear" w:color="auto" w:fill="auto"/>
            <w:vAlign w:val="center"/>
          </w:tcPr>
          <w:p w14:paraId="6C16F4C7">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cs="Times New Roman"/>
                <w:color w:val="000000" w:themeColor="text1"/>
                <w:spacing w:val="0"/>
                <w:kern w:val="2"/>
                <w:sz w:val="21"/>
                <w:szCs w:val="21"/>
                <w:highlight w:val="none"/>
                <w:lang w:val="en-US" w:eastAsia="zh-CN" w:bidi="ar-SA"/>
              </w:rPr>
              <w:t>72</w:t>
            </w:r>
          </w:p>
        </w:tc>
      </w:tr>
      <w:tr w14:paraId="3FA8EF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restart"/>
            <w:vAlign w:val="center"/>
          </w:tcPr>
          <w:p w14:paraId="05140262">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临时</w:t>
            </w:r>
          </w:p>
          <w:p w14:paraId="61ACCE9C">
            <w:pPr>
              <w:pageBreakBefore w:val="0"/>
              <w:wordWrap/>
              <w:topLinePunct w:val="0"/>
              <w:bidi w:val="0"/>
              <w:spacing w:line="240" w:lineRule="auto"/>
              <w:ind w:firstLine="0" w:firstLineChars="0"/>
              <w:jc w:val="center"/>
              <w:rPr>
                <w:color w:val="000000" w:themeColor="text1"/>
                <w:sz w:val="21"/>
                <w:szCs w:val="21"/>
                <w:highlight w:val="none"/>
              </w:rPr>
            </w:pPr>
            <w:r>
              <w:rPr>
                <w:snapToGrid w:val="0"/>
                <w:color w:val="000000" w:themeColor="text1"/>
                <w:kern w:val="0"/>
                <w:sz w:val="21"/>
                <w:szCs w:val="21"/>
                <w:highlight w:val="none"/>
              </w:rPr>
              <w:t>工程</w:t>
            </w:r>
          </w:p>
        </w:tc>
        <w:tc>
          <w:tcPr>
            <w:tcW w:w="1048" w:type="pct"/>
            <w:gridSpan w:val="4"/>
            <w:vAlign w:val="center"/>
          </w:tcPr>
          <w:p w14:paraId="0614371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取土场</w:t>
            </w:r>
          </w:p>
        </w:tc>
        <w:tc>
          <w:tcPr>
            <w:tcW w:w="3833" w:type="pct"/>
            <w:gridSpan w:val="3"/>
            <w:vAlign w:val="center"/>
          </w:tcPr>
          <w:p w14:paraId="14595A4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lang w:val="en-US"/>
              </w:rPr>
            </w:pPr>
            <w:r>
              <w:rPr>
                <w:rFonts w:hint="eastAsia"/>
                <w:color w:val="000000" w:themeColor="text1"/>
                <w:sz w:val="21"/>
                <w:szCs w:val="21"/>
                <w:highlight w:val="none"/>
                <w:lang w:val="en-US" w:eastAsia="zh-CN"/>
              </w:rPr>
              <w:t>本项目借方13.37万m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主要为路基填筑碎石及砂石等，均为外购，由萝北县大平石材加工有限公司提供，本项目不设取土场。萝北县大平石材加工有限公司，距场址距离37.4km，外购材料意向书及公司资质见附件8，该公司可生产各种规格碎石，石质强度高，可用于路面面层，满足本项目需求。</w:t>
            </w:r>
          </w:p>
        </w:tc>
      </w:tr>
      <w:tr w14:paraId="4C5BB0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7DF30C05">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1048" w:type="pct"/>
            <w:gridSpan w:val="4"/>
            <w:vAlign w:val="center"/>
          </w:tcPr>
          <w:p w14:paraId="18568E59">
            <w:pPr>
              <w:pageBreakBefore w:val="0"/>
              <w:wordWrap/>
              <w:topLinePunct w:val="0"/>
              <w:bidi w:val="0"/>
              <w:spacing w:line="240" w:lineRule="auto"/>
              <w:ind w:firstLine="0" w:firstLineChars="0"/>
              <w:jc w:val="center"/>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弃土场</w:t>
            </w:r>
          </w:p>
        </w:tc>
        <w:tc>
          <w:tcPr>
            <w:tcW w:w="3833" w:type="pct"/>
            <w:gridSpan w:val="3"/>
            <w:vAlign w:val="center"/>
          </w:tcPr>
          <w:p w14:paraId="4903BD3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lang w:val="en-US" w:eastAsia="zh-CN"/>
              </w:rPr>
            </w:pPr>
            <w:r>
              <w:rPr>
                <w:rFonts w:hint="eastAsia"/>
                <w:color w:val="000000" w:themeColor="text1"/>
                <w:sz w:val="21"/>
                <w:szCs w:val="21"/>
                <w:highlight w:val="none"/>
              </w:rPr>
              <w:t>共布设1处弃渣场，弃渣场总占地面积0.61hm</w:t>
            </w:r>
            <w:r>
              <w:rPr>
                <w:rFonts w:hint="eastAsia"/>
                <w:color w:val="000000" w:themeColor="text1"/>
                <w:sz w:val="21"/>
                <w:szCs w:val="21"/>
                <w:highlight w:val="none"/>
                <w:vertAlign w:val="superscript"/>
              </w:rPr>
              <w:t>2</w:t>
            </w:r>
            <w:r>
              <w:rPr>
                <w:rFonts w:hint="eastAsia"/>
                <w:color w:val="000000" w:themeColor="text1"/>
                <w:sz w:val="21"/>
                <w:szCs w:val="21"/>
                <w:highlight w:val="none"/>
              </w:rPr>
              <w:t>，其中排水工程占地面积0.11hm</w:t>
            </w:r>
            <w:r>
              <w:rPr>
                <w:rFonts w:hint="eastAsia"/>
                <w:color w:val="000000" w:themeColor="text1"/>
                <w:sz w:val="21"/>
                <w:szCs w:val="21"/>
                <w:highlight w:val="none"/>
                <w:vertAlign w:val="superscript"/>
              </w:rPr>
              <w:t>2</w:t>
            </w:r>
            <w:r>
              <w:rPr>
                <w:rFonts w:hint="eastAsia"/>
                <w:color w:val="000000" w:themeColor="text1"/>
                <w:sz w:val="21"/>
                <w:szCs w:val="21"/>
                <w:highlight w:val="none"/>
              </w:rPr>
              <w:t>，弃渣场场内占地面积0.50hm</w:t>
            </w:r>
            <w:r>
              <w:rPr>
                <w:rFonts w:hint="eastAsia"/>
                <w:color w:val="000000" w:themeColor="text1"/>
                <w:sz w:val="21"/>
                <w:szCs w:val="21"/>
                <w:highlight w:val="none"/>
                <w:vertAlign w:val="superscript"/>
              </w:rPr>
              <w:t>2</w:t>
            </w:r>
            <w:r>
              <w:rPr>
                <w:rFonts w:hint="eastAsia"/>
                <w:color w:val="000000" w:themeColor="text1"/>
                <w:sz w:val="21"/>
                <w:szCs w:val="21"/>
                <w:highlight w:val="none"/>
              </w:rPr>
              <w:t>，现状为废弃坑塘，长度78m，宽度64m，平均深度5.8m，汇水面积0.86hm</w:t>
            </w:r>
            <w:r>
              <w:rPr>
                <w:rFonts w:hint="eastAsia"/>
                <w:color w:val="000000" w:themeColor="text1"/>
                <w:sz w:val="21"/>
                <w:szCs w:val="21"/>
                <w:highlight w:val="none"/>
                <w:vertAlign w:val="superscript"/>
              </w:rPr>
              <w:t>2</w:t>
            </w:r>
            <w:r>
              <w:rPr>
                <w:rFonts w:hint="eastAsia"/>
                <w:color w:val="000000" w:themeColor="text1"/>
                <w:sz w:val="21"/>
                <w:szCs w:val="21"/>
                <w:highlight w:val="none"/>
              </w:rPr>
              <w:t>，地面以下最大回填深度为5.8m，可弃土容量为2.90万m</w:t>
            </w:r>
            <w:r>
              <w:rPr>
                <w:rFonts w:hint="eastAsia"/>
                <w:color w:val="000000" w:themeColor="text1"/>
                <w:sz w:val="21"/>
                <w:szCs w:val="21"/>
                <w:highlight w:val="none"/>
                <w:vertAlign w:val="superscript"/>
              </w:rPr>
              <w:t>3</w:t>
            </w:r>
            <w:r>
              <w:rPr>
                <w:rFonts w:hint="eastAsia"/>
                <w:color w:val="000000" w:themeColor="text1"/>
                <w:sz w:val="21"/>
                <w:szCs w:val="21"/>
                <w:highlight w:val="none"/>
              </w:rPr>
              <w:t>，考虑堆放边坡稳定性的提前下，地面以上堆放高度可达到4m，堆放容量为1.66万m</w:t>
            </w:r>
            <w:r>
              <w:rPr>
                <w:rFonts w:hint="eastAsia"/>
                <w:color w:val="000000" w:themeColor="text1"/>
                <w:sz w:val="21"/>
                <w:szCs w:val="21"/>
                <w:highlight w:val="none"/>
                <w:vertAlign w:val="superscript"/>
              </w:rPr>
              <w:t>3</w:t>
            </w:r>
            <w:r>
              <w:rPr>
                <w:rFonts w:hint="eastAsia"/>
                <w:color w:val="000000" w:themeColor="text1"/>
                <w:sz w:val="21"/>
                <w:szCs w:val="21"/>
                <w:highlight w:val="none"/>
              </w:rPr>
              <w:t>，总可弃土量为4.56万m</w:t>
            </w:r>
            <w:r>
              <w:rPr>
                <w:rFonts w:hint="eastAsia"/>
                <w:color w:val="000000" w:themeColor="text1"/>
                <w:sz w:val="21"/>
                <w:szCs w:val="21"/>
                <w:highlight w:val="none"/>
                <w:vertAlign w:val="superscript"/>
              </w:rPr>
              <w:t>3</w:t>
            </w:r>
            <w:r>
              <w:rPr>
                <w:rFonts w:hint="eastAsia"/>
                <w:color w:val="000000" w:themeColor="text1"/>
                <w:sz w:val="21"/>
                <w:szCs w:val="21"/>
                <w:highlight w:val="none"/>
              </w:rPr>
              <w:t>，本工程弃渣量为2.89万m</w:t>
            </w:r>
            <w:r>
              <w:rPr>
                <w:rFonts w:hint="eastAsia"/>
                <w:color w:val="000000" w:themeColor="text1"/>
                <w:sz w:val="21"/>
                <w:szCs w:val="21"/>
                <w:highlight w:val="none"/>
                <w:vertAlign w:val="superscript"/>
              </w:rPr>
              <w:t>3</w:t>
            </w:r>
            <w:r>
              <w:rPr>
                <w:rFonts w:hint="eastAsia"/>
                <w:color w:val="000000" w:themeColor="text1"/>
                <w:sz w:val="21"/>
                <w:szCs w:val="21"/>
                <w:highlight w:val="none"/>
              </w:rPr>
              <w:t>，地面以下可容纳弃土量满足本项目弃土量需求，弃渣结束后渣顶回覆表土厚度0.17m，边坡采用1:1.5，基本同周边原地貌平稳顺接。</w:t>
            </w:r>
          </w:p>
        </w:tc>
      </w:tr>
      <w:tr w14:paraId="0752C9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1934273">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4D89D768">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rFonts w:hint="eastAsia"/>
                <w:snapToGrid w:val="0"/>
                <w:color w:val="000000" w:themeColor="text1"/>
                <w:kern w:val="0"/>
                <w:sz w:val="21"/>
                <w:szCs w:val="21"/>
                <w:highlight w:val="none"/>
              </w:rPr>
              <w:t>临时</w:t>
            </w:r>
            <w:r>
              <w:rPr>
                <w:rFonts w:hint="eastAsia"/>
                <w:snapToGrid w:val="0"/>
                <w:color w:val="000000" w:themeColor="text1"/>
                <w:kern w:val="0"/>
                <w:sz w:val="21"/>
                <w:szCs w:val="21"/>
                <w:highlight w:val="none"/>
                <w:lang w:val="en-US" w:eastAsia="zh-CN"/>
              </w:rPr>
              <w:t>堆</w:t>
            </w:r>
            <w:r>
              <w:rPr>
                <w:rFonts w:hint="eastAsia"/>
                <w:snapToGrid w:val="0"/>
                <w:color w:val="000000" w:themeColor="text1"/>
                <w:kern w:val="0"/>
                <w:sz w:val="21"/>
                <w:szCs w:val="21"/>
                <w:highlight w:val="none"/>
              </w:rPr>
              <w:t>土场</w:t>
            </w:r>
          </w:p>
        </w:tc>
        <w:tc>
          <w:tcPr>
            <w:tcW w:w="3833" w:type="pct"/>
            <w:gridSpan w:val="3"/>
            <w:tcBorders>
              <w:bottom w:val="single" w:color="auto" w:sz="4" w:space="0"/>
            </w:tcBorders>
            <w:vAlign w:val="center"/>
          </w:tcPr>
          <w:p w14:paraId="09E0021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r>
              <w:rPr>
                <w:rFonts w:hint="eastAsia"/>
                <w:color w:val="000000" w:themeColor="text1"/>
                <w:sz w:val="21"/>
                <w:szCs w:val="21"/>
                <w:highlight w:val="none"/>
              </w:rPr>
              <w:t>布置1个表土临时堆土场，新增临时占地面积0.80hm</w:t>
            </w:r>
            <w:r>
              <w:rPr>
                <w:rFonts w:hint="eastAsia"/>
                <w:color w:val="000000" w:themeColor="text1"/>
                <w:sz w:val="21"/>
                <w:szCs w:val="21"/>
                <w:highlight w:val="none"/>
                <w:vertAlign w:val="superscript"/>
              </w:rPr>
              <w:t>2</w:t>
            </w:r>
            <w:r>
              <w:rPr>
                <w:rFonts w:hint="eastAsia"/>
                <w:color w:val="000000" w:themeColor="text1"/>
                <w:sz w:val="21"/>
                <w:szCs w:val="21"/>
                <w:highlight w:val="none"/>
              </w:rPr>
              <w:t>，总堆方量4.24万m</w:t>
            </w:r>
            <w:r>
              <w:rPr>
                <w:rFonts w:hint="eastAsia"/>
                <w:color w:val="000000" w:themeColor="text1"/>
                <w:sz w:val="21"/>
                <w:szCs w:val="21"/>
                <w:highlight w:val="none"/>
                <w:vertAlign w:val="superscript"/>
              </w:rPr>
              <w:t>3</w:t>
            </w:r>
            <w:r>
              <w:rPr>
                <w:rFonts w:hint="eastAsia"/>
                <w:color w:val="000000" w:themeColor="text1"/>
                <w:sz w:val="21"/>
                <w:szCs w:val="21"/>
                <w:highlight w:val="none"/>
              </w:rPr>
              <w:t>，用于临时堆存施工期间进场路工程区、施工便道区剥离表土，剥离的表土部分回覆于进场路工程区、施工便道区和弃渣场，用于土地整治和绿化覆土，剩余表土依据《新建黑龙江鹤岗机场项目耕地耕作层土壤剥离利用方案》全部外运用于改良中低产和被污染耕地的治理；</w:t>
            </w:r>
          </w:p>
          <w:p w14:paraId="6D5F895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sz w:val="21"/>
                <w:szCs w:val="21"/>
                <w:highlight w:val="none"/>
                <w:lang w:eastAsia="zh-CN"/>
              </w:rPr>
            </w:pPr>
            <w:r>
              <w:rPr>
                <w:rFonts w:hint="eastAsia"/>
                <w:color w:val="000000" w:themeColor="text1"/>
                <w:sz w:val="21"/>
                <w:szCs w:val="21"/>
                <w:highlight w:val="none"/>
              </w:rPr>
              <w:t>在道路工程区内布置1个挖方临时堆土场，带状堆存，堆放长度1800m，堆放总占地面积1.80hm</w:t>
            </w:r>
            <w:r>
              <w:rPr>
                <w:rFonts w:hint="eastAsia"/>
                <w:color w:val="000000" w:themeColor="text1"/>
                <w:sz w:val="21"/>
                <w:szCs w:val="21"/>
                <w:highlight w:val="none"/>
                <w:vertAlign w:val="superscript"/>
              </w:rPr>
              <w:t>2</w:t>
            </w:r>
            <w:r>
              <w:rPr>
                <w:rFonts w:hint="eastAsia"/>
                <w:color w:val="000000" w:themeColor="text1"/>
                <w:sz w:val="21"/>
                <w:szCs w:val="21"/>
                <w:highlight w:val="none"/>
              </w:rPr>
              <w:t>，总堆方量2.58万m</w:t>
            </w:r>
            <w:r>
              <w:rPr>
                <w:rFonts w:hint="eastAsia"/>
                <w:color w:val="000000" w:themeColor="text1"/>
                <w:sz w:val="21"/>
                <w:szCs w:val="21"/>
                <w:highlight w:val="none"/>
                <w:vertAlign w:val="superscript"/>
              </w:rPr>
              <w:t>3</w:t>
            </w:r>
            <w:r>
              <w:rPr>
                <w:rFonts w:hint="eastAsia"/>
                <w:color w:val="000000" w:themeColor="text1"/>
                <w:sz w:val="21"/>
                <w:szCs w:val="21"/>
                <w:highlight w:val="none"/>
              </w:rPr>
              <w:t>，用于临时堆存施工期间进场路工程区基础开挖土方，根据施工时序回填于进场路工程区，用于路基回填用土。</w:t>
            </w:r>
          </w:p>
        </w:tc>
      </w:tr>
      <w:tr w14:paraId="58CF69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0978A242">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3C43EB9A">
            <w:pPr>
              <w:pageBreakBefore w:val="0"/>
              <w:wordWrap/>
              <w:topLinePunct w:val="0"/>
              <w:bidi w:val="0"/>
              <w:spacing w:line="240" w:lineRule="auto"/>
              <w:ind w:firstLine="0" w:firstLineChars="0"/>
              <w:jc w:val="center"/>
              <w:rPr>
                <w:rFonts w:hint="eastAsia" w:eastAsia="宋体"/>
                <w:snapToGrid w:val="0"/>
                <w:color w:val="000000" w:themeColor="text1"/>
                <w:kern w:val="0"/>
                <w:sz w:val="21"/>
                <w:szCs w:val="21"/>
                <w:highlight w:val="none"/>
                <w:lang w:eastAsia="zh-CN"/>
              </w:rPr>
            </w:pPr>
            <w:r>
              <w:rPr>
                <w:snapToGrid w:val="0"/>
                <w:color w:val="000000" w:themeColor="text1"/>
                <w:kern w:val="0"/>
                <w:sz w:val="21"/>
                <w:szCs w:val="21"/>
                <w:highlight w:val="none"/>
              </w:rPr>
              <w:t>施工驻地</w:t>
            </w:r>
            <w:r>
              <w:rPr>
                <w:rFonts w:hint="eastAsia"/>
                <w:snapToGrid w:val="0"/>
                <w:color w:val="000000" w:themeColor="text1"/>
                <w:kern w:val="0"/>
                <w:sz w:val="21"/>
                <w:szCs w:val="21"/>
                <w:highlight w:val="none"/>
              </w:rPr>
              <w:t>、</w:t>
            </w:r>
            <w:r>
              <w:rPr>
                <w:snapToGrid w:val="0"/>
                <w:color w:val="000000" w:themeColor="text1"/>
                <w:kern w:val="0"/>
                <w:sz w:val="21"/>
                <w:szCs w:val="21"/>
                <w:highlight w:val="none"/>
              </w:rPr>
              <w:t>拌合站</w:t>
            </w:r>
            <w:r>
              <w:rPr>
                <w:rFonts w:hint="eastAsia"/>
                <w:snapToGrid w:val="0"/>
                <w:color w:val="000000" w:themeColor="text1"/>
                <w:kern w:val="0"/>
                <w:sz w:val="21"/>
                <w:szCs w:val="21"/>
                <w:highlight w:val="none"/>
              </w:rPr>
              <w:t>、预制场</w:t>
            </w:r>
          </w:p>
        </w:tc>
        <w:tc>
          <w:tcPr>
            <w:tcW w:w="3833" w:type="pct"/>
            <w:gridSpan w:val="3"/>
            <w:vAlign w:val="center"/>
          </w:tcPr>
          <w:p w14:paraId="2CC513B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eastAsia="zh-CN"/>
              </w:rPr>
            </w:pPr>
            <w:r>
              <w:rPr>
                <w:rFonts w:hint="eastAsia"/>
                <w:color w:val="000000" w:themeColor="text1"/>
                <w:sz w:val="21"/>
                <w:szCs w:val="21"/>
                <w:highlight w:val="none"/>
                <w:lang w:val="en-US" w:eastAsia="zh-CN"/>
              </w:rPr>
              <w:t>本项目路线相对较短，因此</w:t>
            </w:r>
            <w:r>
              <w:rPr>
                <w:rFonts w:hint="eastAsia"/>
                <w:color w:val="000000" w:themeColor="text1"/>
                <w:sz w:val="21"/>
                <w:szCs w:val="21"/>
                <w:highlight w:val="none"/>
              </w:rPr>
              <w:t>设置</w:t>
            </w:r>
            <w:r>
              <w:rPr>
                <w:rFonts w:hint="eastAsia"/>
                <w:color w:val="000000" w:themeColor="text1"/>
                <w:sz w:val="21"/>
                <w:szCs w:val="21"/>
                <w:highlight w:val="none"/>
                <w:lang w:val="en-US" w:eastAsia="zh-CN"/>
              </w:rPr>
              <w:t>1</w:t>
            </w:r>
            <w:r>
              <w:rPr>
                <w:rFonts w:hint="eastAsia"/>
                <w:color w:val="000000" w:themeColor="text1"/>
                <w:sz w:val="21"/>
                <w:szCs w:val="21"/>
                <w:highlight w:val="none"/>
              </w:rPr>
              <w:t>处综合站场。综合站场内主要含有</w:t>
            </w:r>
            <w:r>
              <w:rPr>
                <w:rFonts w:hint="eastAsia"/>
                <w:color w:val="000000" w:themeColor="text1"/>
                <w:sz w:val="21"/>
                <w:szCs w:val="21"/>
                <w:highlight w:val="none"/>
                <w:lang w:val="en-US" w:eastAsia="zh-CN"/>
              </w:rPr>
              <w:t>施工驻地、</w:t>
            </w:r>
            <w:r>
              <w:rPr>
                <w:rFonts w:hint="eastAsia"/>
                <w:color w:val="000000" w:themeColor="text1"/>
                <w:sz w:val="21"/>
                <w:szCs w:val="21"/>
                <w:highlight w:val="none"/>
              </w:rPr>
              <w:t>基层拌合、沥青面层拌合、混凝土拌合站及桥梁预制场。</w:t>
            </w:r>
            <w:r>
              <w:rPr>
                <w:rFonts w:hint="eastAsia"/>
                <w:snapToGrid w:val="0"/>
                <w:color w:val="000000" w:themeColor="text1"/>
                <w:sz w:val="21"/>
                <w:szCs w:val="21"/>
                <w:highlight w:val="none"/>
              </w:rPr>
              <w:t>占地面积为</w:t>
            </w:r>
            <w:r>
              <w:rPr>
                <w:rFonts w:hint="eastAsia"/>
                <w:snapToGrid w:val="0"/>
                <w:color w:val="000000" w:themeColor="text1"/>
                <w:sz w:val="21"/>
                <w:szCs w:val="21"/>
                <w:highlight w:val="none"/>
                <w:lang w:val="en-US" w:eastAsia="zh-CN"/>
              </w:rPr>
              <w:t>3</w:t>
            </w:r>
            <w:r>
              <w:rPr>
                <w:rFonts w:hint="eastAsia"/>
                <w:snapToGrid w:val="0"/>
                <w:color w:val="000000" w:themeColor="text1"/>
                <w:sz w:val="21"/>
                <w:szCs w:val="21"/>
                <w:highlight w:val="none"/>
              </w:rPr>
              <w:t>hm</w:t>
            </w:r>
            <w:r>
              <w:rPr>
                <w:rFonts w:hint="eastAsia"/>
                <w:snapToGrid w:val="0"/>
                <w:color w:val="000000" w:themeColor="text1"/>
                <w:sz w:val="21"/>
                <w:szCs w:val="21"/>
                <w:highlight w:val="none"/>
                <w:vertAlign w:val="superscript"/>
              </w:rPr>
              <w:t>2</w:t>
            </w:r>
            <w:r>
              <w:rPr>
                <w:rFonts w:hint="eastAsia"/>
                <w:snapToGrid w:val="0"/>
                <w:color w:val="000000" w:themeColor="text1"/>
                <w:sz w:val="21"/>
                <w:szCs w:val="21"/>
                <w:highlight w:val="none"/>
              </w:rPr>
              <w:t>，</w:t>
            </w:r>
            <w:r>
              <w:rPr>
                <w:snapToGrid w:val="0"/>
                <w:color w:val="000000" w:themeColor="text1"/>
                <w:sz w:val="21"/>
                <w:szCs w:val="21"/>
                <w:highlight w:val="none"/>
              </w:rPr>
              <w:t>占地类型为</w:t>
            </w:r>
            <w:r>
              <w:rPr>
                <w:rFonts w:hint="eastAsia"/>
                <w:snapToGrid w:val="0"/>
                <w:color w:val="000000" w:themeColor="text1"/>
                <w:sz w:val="21"/>
                <w:szCs w:val="21"/>
                <w:highlight w:val="none"/>
                <w:lang w:val="en-US" w:eastAsia="zh-CN"/>
              </w:rPr>
              <w:t>工矿仓储用地</w:t>
            </w:r>
          </w:p>
        </w:tc>
      </w:tr>
      <w:tr w14:paraId="77D55A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0B544E67">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0762A9D9">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桥梁施工场地</w:t>
            </w:r>
          </w:p>
        </w:tc>
        <w:tc>
          <w:tcPr>
            <w:tcW w:w="3833" w:type="pct"/>
            <w:gridSpan w:val="3"/>
            <w:vAlign w:val="center"/>
          </w:tcPr>
          <w:p w14:paraId="461430B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val="en-US" w:eastAsia="zh-CN"/>
              </w:rPr>
            </w:pPr>
            <w:r>
              <w:rPr>
                <w:color w:val="000000" w:themeColor="text1"/>
                <w:sz w:val="21"/>
                <w:szCs w:val="21"/>
                <w:highlight w:val="none"/>
              </w:rPr>
              <w:t>本项目共设置</w:t>
            </w:r>
            <w:r>
              <w:rPr>
                <w:rFonts w:hint="eastAsia"/>
                <w:color w:val="000000" w:themeColor="text1"/>
                <w:sz w:val="21"/>
                <w:szCs w:val="21"/>
                <w:highlight w:val="none"/>
                <w:lang w:val="en-US" w:eastAsia="zh-CN"/>
              </w:rPr>
              <w:t>3</w:t>
            </w:r>
            <w:r>
              <w:rPr>
                <w:color w:val="000000" w:themeColor="text1"/>
                <w:sz w:val="21"/>
                <w:szCs w:val="21"/>
                <w:highlight w:val="none"/>
              </w:rPr>
              <w:t>处桥梁施工场地，均位于各桥梁附近</w:t>
            </w:r>
            <w:r>
              <w:rPr>
                <w:rFonts w:hint="eastAsia"/>
                <w:color w:val="000000" w:themeColor="text1"/>
                <w:sz w:val="21"/>
                <w:szCs w:val="21"/>
                <w:highlight w:val="none"/>
                <w:lang w:eastAsia="zh-CN"/>
              </w:rPr>
              <w:t>，</w:t>
            </w:r>
            <w:r>
              <w:rPr>
                <w:color w:val="000000" w:themeColor="text1"/>
                <w:sz w:val="21"/>
                <w:szCs w:val="21"/>
                <w:highlight w:val="none"/>
              </w:rPr>
              <w:t>合计占地面积</w:t>
            </w:r>
            <w:r>
              <w:rPr>
                <w:rFonts w:hint="eastAsia"/>
                <w:color w:val="000000" w:themeColor="text1"/>
                <w:sz w:val="21"/>
                <w:szCs w:val="21"/>
                <w:highlight w:val="none"/>
                <w:lang w:val="en-US" w:eastAsia="zh-CN"/>
              </w:rPr>
              <w:t>0.4</w:t>
            </w:r>
            <w:r>
              <w:rPr>
                <w:color w:val="000000" w:themeColor="text1"/>
                <w:sz w:val="21"/>
                <w:szCs w:val="21"/>
                <w:highlight w:val="none"/>
              </w:rPr>
              <w:t>hm</w:t>
            </w:r>
            <w:r>
              <w:rPr>
                <w:color w:val="000000" w:themeColor="text1"/>
                <w:sz w:val="21"/>
                <w:szCs w:val="21"/>
                <w:highlight w:val="none"/>
                <w:vertAlign w:val="superscript"/>
              </w:rPr>
              <w:t>2</w:t>
            </w:r>
            <w:r>
              <w:rPr>
                <w:color w:val="000000" w:themeColor="text1"/>
                <w:sz w:val="21"/>
                <w:szCs w:val="21"/>
                <w:highlight w:val="none"/>
              </w:rPr>
              <w:t>，</w:t>
            </w:r>
            <w:r>
              <w:rPr>
                <w:rFonts w:hint="eastAsia"/>
                <w:color w:val="000000" w:themeColor="text1"/>
                <w:sz w:val="21"/>
                <w:szCs w:val="21"/>
                <w:highlight w:val="none"/>
                <w:lang w:val="en-US" w:eastAsia="zh-CN"/>
              </w:rPr>
              <w:t>均属于桥梁永久征地范围内，占地类型为耕地和草地</w:t>
            </w:r>
            <w:r>
              <w:rPr>
                <w:color w:val="000000" w:themeColor="text1"/>
                <w:sz w:val="21"/>
                <w:szCs w:val="21"/>
                <w:highlight w:val="none"/>
              </w:rPr>
              <w:t>，</w:t>
            </w:r>
            <w:r>
              <w:rPr>
                <w:rFonts w:hint="eastAsia"/>
                <w:color w:val="000000" w:themeColor="text1"/>
                <w:sz w:val="21"/>
                <w:szCs w:val="21"/>
                <w:highlight w:val="none"/>
              </w:rPr>
              <w:t>不占用生态保护红线，</w:t>
            </w:r>
            <w:r>
              <w:rPr>
                <w:color w:val="000000" w:themeColor="text1"/>
                <w:sz w:val="21"/>
                <w:szCs w:val="21"/>
                <w:highlight w:val="none"/>
              </w:rPr>
              <w:t>场地周边300m范围内无居民分布。</w:t>
            </w:r>
          </w:p>
        </w:tc>
      </w:tr>
      <w:tr w14:paraId="1BB621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5F304030">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69205797">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施工便道</w:t>
            </w:r>
          </w:p>
        </w:tc>
        <w:tc>
          <w:tcPr>
            <w:tcW w:w="3833" w:type="pct"/>
            <w:gridSpan w:val="3"/>
            <w:vAlign w:val="center"/>
          </w:tcPr>
          <w:p w14:paraId="5B2EB52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rPr>
              <w:t>施工道路分为场内道路及场外道路，场外道路除利用G332鹤名公路和乡镇道路运输材料外，新建施工便道长度1.08km，平均宽度7.0m，占地面积为7557m</w:t>
            </w:r>
            <w:r>
              <w:rPr>
                <w:rFonts w:hint="eastAsia"/>
                <w:color w:val="000000" w:themeColor="text1"/>
                <w:sz w:val="21"/>
                <w:szCs w:val="21"/>
                <w:highlight w:val="none"/>
                <w:vertAlign w:val="superscript"/>
              </w:rPr>
              <w:t>2</w:t>
            </w:r>
            <w:r>
              <w:rPr>
                <w:rFonts w:hint="eastAsia"/>
                <w:color w:val="000000" w:themeColor="text1"/>
                <w:sz w:val="21"/>
                <w:szCs w:val="21"/>
                <w:highlight w:val="none"/>
              </w:rPr>
              <w:t>，全部为临时占地。待工程结束后</w:t>
            </w:r>
            <w:r>
              <w:rPr>
                <w:rFonts w:hint="eastAsia"/>
                <w:color w:val="000000" w:themeColor="text1"/>
                <w:sz w:val="21"/>
                <w:szCs w:val="21"/>
                <w:highlight w:val="none"/>
                <w:lang w:val="en-US" w:eastAsia="zh-CN"/>
              </w:rPr>
              <w:t>及时土地整治，恢复耕地</w:t>
            </w:r>
            <w:r>
              <w:rPr>
                <w:rFonts w:hint="eastAsia"/>
                <w:color w:val="000000" w:themeColor="text1"/>
                <w:sz w:val="21"/>
                <w:szCs w:val="21"/>
                <w:highlight w:val="none"/>
              </w:rPr>
              <w:t>。</w:t>
            </w:r>
          </w:p>
        </w:tc>
      </w:tr>
      <w:tr w14:paraId="000043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restart"/>
            <w:vAlign w:val="center"/>
          </w:tcPr>
          <w:p w14:paraId="22FDD29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公用</w:t>
            </w:r>
          </w:p>
          <w:p w14:paraId="79286A97">
            <w:pPr>
              <w:pageBreakBefore w:val="0"/>
              <w:wordWrap/>
              <w:topLinePunct w:val="0"/>
              <w:bidi w:val="0"/>
              <w:spacing w:line="240" w:lineRule="auto"/>
              <w:ind w:firstLine="0" w:firstLineChars="0"/>
              <w:jc w:val="center"/>
              <w:rPr>
                <w:color w:val="000000" w:themeColor="text1"/>
                <w:sz w:val="21"/>
                <w:szCs w:val="21"/>
                <w:highlight w:val="none"/>
              </w:rPr>
            </w:pPr>
            <w:r>
              <w:rPr>
                <w:snapToGrid w:val="0"/>
                <w:color w:val="000000" w:themeColor="text1"/>
                <w:sz w:val="21"/>
                <w:szCs w:val="21"/>
                <w:highlight w:val="none"/>
              </w:rPr>
              <w:t>工程</w:t>
            </w:r>
          </w:p>
        </w:tc>
        <w:tc>
          <w:tcPr>
            <w:tcW w:w="1048" w:type="pct"/>
            <w:gridSpan w:val="4"/>
            <w:vAlign w:val="center"/>
          </w:tcPr>
          <w:p w14:paraId="53B5280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给水</w:t>
            </w:r>
          </w:p>
        </w:tc>
        <w:tc>
          <w:tcPr>
            <w:tcW w:w="3833" w:type="pct"/>
            <w:gridSpan w:val="3"/>
            <w:vAlign w:val="center"/>
          </w:tcPr>
          <w:p w14:paraId="1C4E4A8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rFonts w:hint="eastAsia"/>
                <w:snapToGrid w:val="0"/>
                <w:color w:val="000000" w:themeColor="text1"/>
                <w:sz w:val="21"/>
                <w:szCs w:val="21"/>
                <w:highlight w:val="none"/>
                <w:lang w:val="en-US" w:eastAsia="zh-CN"/>
              </w:rPr>
              <w:t>本项目不设</w:t>
            </w:r>
            <w:r>
              <w:rPr>
                <w:snapToGrid w:val="0"/>
                <w:color w:val="000000" w:themeColor="text1"/>
                <w:sz w:val="21"/>
                <w:szCs w:val="21"/>
                <w:highlight w:val="none"/>
              </w:rPr>
              <w:t>服务区和收费站</w:t>
            </w:r>
            <w:r>
              <w:rPr>
                <w:rFonts w:hint="eastAsia"/>
                <w:snapToGrid w:val="0"/>
                <w:color w:val="000000" w:themeColor="text1"/>
                <w:sz w:val="21"/>
                <w:szCs w:val="21"/>
                <w:highlight w:val="none"/>
                <w:lang w:eastAsia="zh-CN"/>
              </w:rPr>
              <w:t>，</w:t>
            </w:r>
            <w:r>
              <w:rPr>
                <w:rFonts w:hint="eastAsia"/>
                <w:snapToGrid w:val="0"/>
                <w:color w:val="000000" w:themeColor="text1"/>
                <w:sz w:val="21"/>
                <w:szCs w:val="21"/>
                <w:highlight w:val="none"/>
                <w:lang w:val="en-US" w:eastAsia="zh-CN"/>
              </w:rPr>
              <w:t>因此无新鲜用水</w:t>
            </w:r>
          </w:p>
        </w:tc>
      </w:tr>
      <w:tr w14:paraId="7A3AA7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53BD7811">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3928C111">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排水</w:t>
            </w:r>
          </w:p>
        </w:tc>
        <w:tc>
          <w:tcPr>
            <w:tcW w:w="3833" w:type="pct"/>
            <w:gridSpan w:val="3"/>
            <w:vAlign w:val="center"/>
          </w:tcPr>
          <w:p w14:paraId="5A24F42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rFonts w:hint="eastAsia"/>
                <w:color w:val="000000" w:themeColor="text1"/>
                <w:sz w:val="21"/>
                <w:szCs w:val="21"/>
                <w:highlight w:val="none"/>
                <w:lang w:val="en-US" w:eastAsia="zh-CN"/>
              </w:rPr>
              <w:t>运营期无废水产生</w:t>
            </w:r>
          </w:p>
        </w:tc>
      </w:tr>
      <w:tr w14:paraId="48E554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7D0F9E41">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670DCC5B">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供热</w:t>
            </w:r>
          </w:p>
        </w:tc>
        <w:tc>
          <w:tcPr>
            <w:tcW w:w="3833" w:type="pct"/>
            <w:gridSpan w:val="3"/>
            <w:vAlign w:val="center"/>
          </w:tcPr>
          <w:p w14:paraId="7A9790C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lang w:val="en-US" w:eastAsia="zh-CN"/>
              </w:rPr>
              <w:t>/</w:t>
            </w:r>
          </w:p>
        </w:tc>
      </w:tr>
      <w:tr w14:paraId="155C9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2D59F19B">
            <w:pPr>
              <w:pageBreakBefore w:val="0"/>
              <w:wordWrap/>
              <w:topLinePunct w:val="0"/>
              <w:bidi w:val="0"/>
              <w:spacing w:line="240" w:lineRule="auto"/>
              <w:ind w:firstLine="0" w:firstLineChars="0"/>
              <w:jc w:val="center"/>
              <w:rPr>
                <w:color w:val="000000" w:themeColor="text1"/>
                <w:sz w:val="21"/>
                <w:szCs w:val="21"/>
                <w:highlight w:val="none"/>
              </w:rPr>
            </w:pPr>
          </w:p>
        </w:tc>
        <w:tc>
          <w:tcPr>
            <w:tcW w:w="1048" w:type="pct"/>
            <w:gridSpan w:val="4"/>
            <w:vAlign w:val="center"/>
          </w:tcPr>
          <w:p w14:paraId="7CB773A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供电</w:t>
            </w:r>
          </w:p>
        </w:tc>
        <w:tc>
          <w:tcPr>
            <w:tcW w:w="3833" w:type="pct"/>
            <w:gridSpan w:val="3"/>
            <w:vAlign w:val="center"/>
          </w:tcPr>
          <w:p w14:paraId="7C7DEB6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rFonts w:hint="eastAsia"/>
                <w:snapToGrid w:val="0"/>
                <w:color w:val="000000" w:themeColor="text1"/>
                <w:sz w:val="21"/>
                <w:szCs w:val="21"/>
                <w:highlight w:val="none"/>
                <w:lang w:val="en-US" w:eastAsia="zh-CN"/>
              </w:rPr>
              <w:t>照明电源采用箱式变电站，道路全线共设4台50KVA 照明箱变。照明箱变由市电引来一路10kV高压电源</w:t>
            </w:r>
          </w:p>
        </w:tc>
      </w:tr>
      <w:tr w14:paraId="6C1D81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restart"/>
            <w:vAlign w:val="center"/>
          </w:tcPr>
          <w:p w14:paraId="23BCD9D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环保</w:t>
            </w:r>
          </w:p>
          <w:p w14:paraId="35571ED9">
            <w:pPr>
              <w:pageBreakBefore w:val="0"/>
              <w:wordWrap/>
              <w:topLinePunct w:val="0"/>
              <w:bidi w:val="0"/>
              <w:spacing w:line="240" w:lineRule="auto"/>
              <w:ind w:firstLine="0" w:firstLineChars="0"/>
              <w:jc w:val="center"/>
              <w:rPr>
                <w:color w:val="000000" w:themeColor="text1"/>
                <w:sz w:val="21"/>
                <w:szCs w:val="21"/>
                <w:highlight w:val="none"/>
              </w:rPr>
            </w:pPr>
            <w:r>
              <w:rPr>
                <w:snapToGrid w:val="0"/>
                <w:color w:val="000000" w:themeColor="text1"/>
                <w:sz w:val="21"/>
                <w:szCs w:val="21"/>
                <w:highlight w:val="none"/>
              </w:rPr>
              <w:t>工程</w:t>
            </w:r>
          </w:p>
        </w:tc>
        <w:tc>
          <w:tcPr>
            <w:tcW w:w="268" w:type="pct"/>
            <w:gridSpan w:val="2"/>
            <w:vMerge w:val="restart"/>
            <w:vAlign w:val="center"/>
          </w:tcPr>
          <w:p w14:paraId="4386F8A4">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sz w:val="21"/>
                <w:szCs w:val="21"/>
                <w:highlight w:val="none"/>
              </w:rPr>
              <w:t>风险</w:t>
            </w:r>
          </w:p>
        </w:tc>
        <w:tc>
          <w:tcPr>
            <w:tcW w:w="779" w:type="pct"/>
            <w:gridSpan w:val="2"/>
            <w:shd w:val="clear" w:color="auto" w:fill="auto"/>
            <w:vAlign w:val="center"/>
          </w:tcPr>
          <w:p w14:paraId="1A14D60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ascii="Times New Roman" w:hAnsi="Times New Roman" w:eastAsia="宋体" w:cs="Times New Roman"/>
                <w:color w:val="000000" w:themeColor="text1"/>
                <w:spacing w:val="0"/>
                <w:sz w:val="21"/>
                <w:szCs w:val="21"/>
                <w:highlight w:val="none"/>
              </w:rPr>
              <w:t>防撞护栏</w:t>
            </w:r>
            <w:r>
              <w:rPr>
                <w:rFonts w:hint="eastAsia" w:ascii="Times New Roman" w:hAnsi="Times New Roman" w:eastAsia="宋体" w:cs="Times New Roman"/>
                <w:color w:val="000000" w:themeColor="text1"/>
                <w:spacing w:val="0"/>
                <w:sz w:val="21"/>
                <w:szCs w:val="21"/>
                <w:highlight w:val="none"/>
                <w:lang w:val="en-US" w:eastAsia="zh-CN"/>
              </w:rPr>
              <w:t>和警示牌</w:t>
            </w:r>
          </w:p>
        </w:tc>
        <w:tc>
          <w:tcPr>
            <w:tcW w:w="3833" w:type="pct"/>
            <w:gridSpan w:val="3"/>
            <w:shd w:val="clear" w:color="auto" w:fill="auto"/>
            <w:vAlign w:val="center"/>
          </w:tcPr>
          <w:p w14:paraId="71CF589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b w:val="0"/>
                <w:bCs w:val="0"/>
                <w:color w:val="000000" w:themeColor="text1"/>
                <w:sz w:val="21"/>
                <w:szCs w:val="21"/>
                <w:highlight w:val="none"/>
                <w:vertAlign w:val="baseline"/>
                <w:lang w:val="en-US" w:eastAsia="zh-CN"/>
              </w:rPr>
              <w:t>跨越水体的桥梁及跨越铁路桥梁采用钢筋混凝土防撞护栏（护栏高度不低于1.5m），防止车辆翻落；在跨河桥梁路段设置“减速行驶、安全驾驶”的警示牌</w:t>
            </w:r>
          </w:p>
        </w:tc>
      </w:tr>
      <w:tr w14:paraId="030EC0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27566CF2">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268" w:type="pct"/>
            <w:gridSpan w:val="2"/>
            <w:vMerge w:val="continue"/>
            <w:vAlign w:val="center"/>
          </w:tcPr>
          <w:p w14:paraId="170B98D5">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779" w:type="pct"/>
            <w:gridSpan w:val="2"/>
            <w:shd w:val="clear" w:color="auto" w:fill="auto"/>
            <w:vAlign w:val="center"/>
          </w:tcPr>
          <w:p w14:paraId="0B4643C1">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2"/>
                <w:sz w:val="21"/>
                <w:szCs w:val="21"/>
                <w:highlight w:val="none"/>
                <w:lang w:val="en-US" w:eastAsia="zh-CN" w:bidi="ar-SA"/>
              </w:rPr>
            </w:pPr>
            <w:r>
              <w:rPr>
                <w:color w:val="000000" w:themeColor="text1"/>
                <w:sz w:val="21"/>
                <w:szCs w:val="21"/>
                <w:highlight w:val="none"/>
              </w:rPr>
              <w:t>风险应急预案</w:t>
            </w:r>
          </w:p>
        </w:tc>
        <w:tc>
          <w:tcPr>
            <w:tcW w:w="3833" w:type="pct"/>
            <w:gridSpan w:val="3"/>
            <w:shd w:val="clear" w:color="auto" w:fill="auto"/>
            <w:vAlign w:val="center"/>
          </w:tcPr>
          <w:p w14:paraId="14718E7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pacing w:val="4"/>
                <w:kern w:val="2"/>
                <w:sz w:val="21"/>
                <w:szCs w:val="21"/>
                <w:highlight w:val="none"/>
                <w:lang w:val="en-US" w:eastAsia="zh-CN" w:bidi="ar-SA"/>
              </w:rPr>
            </w:pPr>
            <w:r>
              <w:rPr>
                <w:color w:val="000000" w:themeColor="text1"/>
                <w:sz w:val="21"/>
                <w:szCs w:val="21"/>
                <w:highlight w:val="none"/>
              </w:rPr>
              <w:t>建设单位编制突发环境事件应急预案，并与</w:t>
            </w:r>
            <w:r>
              <w:rPr>
                <w:rFonts w:hint="eastAsia"/>
                <w:color w:val="000000" w:themeColor="text1"/>
                <w:sz w:val="21"/>
                <w:szCs w:val="21"/>
                <w:highlight w:val="none"/>
              </w:rPr>
              <w:t>生态</w:t>
            </w:r>
            <w:r>
              <w:rPr>
                <w:rFonts w:hint="eastAsia"/>
                <w:color w:val="000000" w:themeColor="text1"/>
                <w:sz w:val="21"/>
                <w:szCs w:val="21"/>
                <w:highlight w:val="none"/>
                <w:lang w:val="en-US" w:eastAsia="zh-CN"/>
              </w:rPr>
              <w:t>环境</w:t>
            </w:r>
            <w:r>
              <w:rPr>
                <w:color w:val="000000" w:themeColor="text1"/>
                <w:sz w:val="21"/>
                <w:szCs w:val="21"/>
                <w:highlight w:val="none"/>
              </w:rPr>
              <w:t>管理部门建立应急联动机制</w:t>
            </w:r>
          </w:p>
        </w:tc>
      </w:tr>
      <w:tr w14:paraId="4C95ED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D4DAD45">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restart"/>
            <w:vAlign w:val="center"/>
          </w:tcPr>
          <w:p w14:paraId="4FB269E8">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sz w:val="21"/>
                <w:szCs w:val="21"/>
                <w:highlight w:val="none"/>
              </w:rPr>
              <w:t>废水</w:t>
            </w:r>
          </w:p>
        </w:tc>
        <w:tc>
          <w:tcPr>
            <w:tcW w:w="779" w:type="pct"/>
            <w:gridSpan w:val="2"/>
            <w:vAlign w:val="center"/>
          </w:tcPr>
          <w:p w14:paraId="54A0BAE1">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施工期</w:t>
            </w:r>
          </w:p>
        </w:tc>
        <w:tc>
          <w:tcPr>
            <w:tcW w:w="3833" w:type="pct"/>
            <w:gridSpan w:val="3"/>
            <w:vAlign w:val="center"/>
          </w:tcPr>
          <w:p w14:paraId="0E20CC9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rPr>
              <w:t>施工场地设置生产废水沉淀池</w:t>
            </w:r>
            <w:r>
              <w:rPr>
                <w:rFonts w:hint="eastAsia"/>
                <w:snapToGrid w:val="0"/>
                <w:color w:val="000000" w:themeColor="text1"/>
                <w:sz w:val="21"/>
                <w:szCs w:val="21"/>
                <w:highlight w:val="none"/>
                <w:lang w:val="en-US" w:eastAsia="zh-CN"/>
              </w:rPr>
              <w:t>1</w:t>
            </w:r>
            <w:r>
              <w:rPr>
                <w:rFonts w:hint="eastAsia"/>
                <w:snapToGrid w:val="0"/>
                <w:color w:val="000000" w:themeColor="text1"/>
                <w:sz w:val="21"/>
                <w:szCs w:val="21"/>
                <w:highlight w:val="none"/>
              </w:rPr>
              <w:t>个、隔油沉淀池</w:t>
            </w:r>
            <w:r>
              <w:rPr>
                <w:rFonts w:hint="eastAsia"/>
                <w:snapToGrid w:val="0"/>
                <w:color w:val="000000" w:themeColor="text1"/>
                <w:sz w:val="21"/>
                <w:szCs w:val="21"/>
                <w:highlight w:val="none"/>
                <w:lang w:val="en-US" w:eastAsia="zh-CN"/>
              </w:rPr>
              <w:t>1</w:t>
            </w:r>
            <w:r>
              <w:rPr>
                <w:rFonts w:hint="eastAsia"/>
                <w:snapToGrid w:val="0"/>
                <w:color w:val="000000" w:themeColor="text1"/>
                <w:sz w:val="21"/>
                <w:szCs w:val="21"/>
                <w:highlight w:val="none"/>
              </w:rPr>
              <w:t>个、防渗旱厕</w:t>
            </w:r>
            <w:r>
              <w:rPr>
                <w:rFonts w:hint="eastAsia"/>
                <w:snapToGrid w:val="0"/>
                <w:color w:val="000000" w:themeColor="text1"/>
                <w:sz w:val="21"/>
                <w:szCs w:val="21"/>
                <w:highlight w:val="none"/>
                <w:lang w:val="en-US" w:eastAsia="zh-CN"/>
              </w:rPr>
              <w:t>1</w:t>
            </w:r>
            <w:r>
              <w:rPr>
                <w:rFonts w:hint="eastAsia"/>
                <w:snapToGrid w:val="0"/>
                <w:color w:val="000000" w:themeColor="text1"/>
                <w:sz w:val="21"/>
                <w:szCs w:val="21"/>
                <w:highlight w:val="none"/>
              </w:rPr>
              <w:t>座</w:t>
            </w:r>
            <w:r>
              <w:rPr>
                <w:rFonts w:hint="eastAsia"/>
                <w:snapToGrid w:val="0"/>
                <w:color w:val="000000" w:themeColor="text1"/>
                <w:sz w:val="21"/>
                <w:szCs w:val="21"/>
                <w:highlight w:val="none"/>
                <w:lang w:eastAsia="zh-CN"/>
              </w:rPr>
              <w:t>；</w:t>
            </w:r>
            <w:r>
              <w:rPr>
                <w:rFonts w:hint="eastAsia"/>
                <w:color w:val="000000" w:themeColor="text1"/>
                <w:sz w:val="21"/>
                <w:szCs w:val="21"/>
                <w:highlight w:val="none"/>
                <w:lang w:eastAsia="zh-CN"/>
              </w:rPr>
              <w:t>施工人员</w:t>
            </w:r>
            <w:r>
              <w:rPr>
                <w:rFonts w:hint="eastAsia"/>
                <w:color w:val="000000" w:themeColor="text1"/>
                <w:sz w:val="21"/>
                <w:szCs w:val="21"/>
                <w:highlight w:val="none"/>
                <w:lang w:val="en-US" w:eastAsia="zh-CN"/>
              </w:rPr>
              <w:t>生</w:t>
            </w:r>
            <w:r>
              <w:rPr>
                <w:rFonts w:hint="eastAsia"/>
                <w:color w:val="000000" w:themeColor="text1"/>
                <w:sz w:val="21"/>
                <w:szCs w:val="21"/>
                <w:highlight w:val="none"/>
              </w:rPr>
              <w:t>活污水排入临时防渗旱厕</w:t>
            </w:r>
            <w:r>
              <w:rPr>
                <w:color w:val="000000" w:themeColor="text1"/>
                <w:sz w:val="21"/>
                <w:szCs w:val="21"/>
                <w:highlight w:val="none"/>
              </w:rPr>
              <w:t>，</w:t>
            </w:r>
            <w:r>
              <w:rPr>
                <w:rFonts w:hint="eastAsia"/>
                <w:color w:val="000000" w:themeColor="text1"/>
                <w:sz w:val="21"/>
                <w:szCs w:val="21"/>
                <w:highlight w:val="none"/>
              </w:rPr>
              <w:t>定期清掏，不向地表水体排放</w:t>
            </w:r>
            <w:r>
              <w:rPr>
                <w:rFonts w:hint="eastAsia"/>
                <w:color w:val="000000" w:themeColor="text1"/>
                <w:sz w:val="21"/>
                <w:szCs w:val="21"/>
                <w:highlight w:val="none"/>
                <w:lang w:eastAsia="zh-CN"/>
              </w:rPr>
              <w:t>；生产废水经</w:t>
            </w:r>
            <w:r>
              <w:rPr>
                <w:rFonts w:hint="eastAsia"/>
                <w:color w:val="000000" w:themeColor="text1"/>
                <w:sz w:val="21"/>
                <w:szCs w:val="21"/>
                <w:highlight w:val="none"/>
                <w:lang w:val="en-US" w:eastAsia="zh-CN"/>
              </w:rPr>
              <w:t>隔油</w:t>
            </w:r>
            <w:r>
              <w:rPr>
                <w:rFonts w:hint="eastAsia"/>
                <w:color w:val="000000" w:themeColor="text1"/>
                <w:sz w:val="21"/>
                <w:szCs w:val="21"/>
                <w:highlight w:val="none"/>
                <w:lang w:eastAsia="zh-CN"/>
              </w:rPr>
              <w:t>沉淀池沉淀后回用于场地及物料的降尘用水，不外排；泥浆废水经泥浆分离机处理后泥浆重复回用、废水用于降尘。</w:t>
            </w:r>
          </w:p>
        </w:tc>
      </w:tr>
      <w:tr w14:paraId="4F0C79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0D62B247">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continue"/>
            <w:vAlign w:val="center"/>
          </w:tcPr>
          <w:p w14:paraId="34A9779A">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779" w:type="pct"/>
            <w:gridSpan w:val="2"/>
            <w:vAlign w:val="center"/>
          </w:tcPr>
          <w:p w14:paraId="5C09BFF2">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运营期</w:t>
            </w:r>
          </w:p>
        </w:tc>
        <w:tc>
          <w:tcPr>
            <w:tcW w:w="3833" w:type="pct"/>
            <w:gridSpan w:val="3"/>
            <w:vAlign w:val="center"/>
          </w:tcPr>
          <w:p w14:paraId="2645335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snapToGrid w:val="0"/>
                <w:color w:val="000000" w:themeColor="text1"/>
                <w:sz w:val="21"/>
                <w:szCs w:val="21"/>
                <w:highlight w:val="none"/>
                <w:lang w:val="en-US"/>
              </w:rPr>
            </w:pPr>
            <w:r>
              <w:rPr>
                <w:rFonts w:hint="eastAsia"/>
                <w:color w:val="000000" w:themeColor="text1"/>
                <w:sz w:val="21"/>
                <w:szCs w:val="21"/>
                <w:highlight w:val="none"/>
                <w:lang w:val="en-US" w:eastAsia="zh-CN"/>
              </w:rPr>
              <w:t>运营期无废水产生</w:t>
            </w:r>
          </w:p>
        </w:tc>
      </w:tr>
      <w:tr w14:paraId="1AAEF5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53B398B">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restart"/>
            <w:vAlign w:val="center"/>
          </w:tcPr>
          <w:p w14:paraId="01637B52">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sz w:val="21"/>
                <w:szCs w:val="21"/>
                <w:highlight w:val="none"/>
              </w:rPr>
              <w:t>废气</w:t>
            </w:r>
          </w:p>
        </w:tc>
        <w:tc>
          <w:tcPr>
            <w:tcW w:w="779" w:type="pct"/>
            <w:gridSpan w:val="2"/>
            <w:vAlign w:val="center"/>
          </w:tcPr>
          <w:p w14:paraId="54941C9D">
            <w:pPr>
              <w:pageBreakBefore w:val="0"/>
              <w:wordWrap/>
              <w:topLinePunct w:val="0"/>
              <w:bidi w:val="0"/>
              <w:spacing w:line="240" w:lineRule="auto"/>
              <w:ind w:firstLine="0" w:firstLineChars="0"/>
              <w:jc w:val="center"/>
              <w:rPr>
                <w:snapToGrid w:val="0"/>
                <w:color w:val="000000" w:themeColor="text1"/>
                <w:sz w:val="21"/>
                <w:szCs w:val="21"/>
                <w:highlight w:val="none"/>
              </w:rPr>
            </w:pPr>
            <w:r>
              <w:rPr>
                <w:color w:val="000000" w:themeColor="text1"/>
                <w:sz w:val="21"/>
                <w:szCs w:val="21"/>
                <w:highlight w:val="none"/>
              </w:rPr>
              <w:t>施工期</w:t>
            </w:r>
          </w:p>
        </w:tc>
        <w:tc>
          <w:tcPr>
            <w:tcW w:w="3833" w:type="pct"/>
            <w:gridSpan w:val="3"/>
            <w:vAlign w:val="center"/>
          </w:tcPr>
          <w:p w14:paraId="39920E0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eastAsia="zh-CN"/>
              </w:rPr>
            </w:pPr>
            <w:r>
              <w:rPr>
                <w:snapToGrid w:val="0"/>
                <w:color w:val="000000" w:themeColor="text1"/>
                <w:kern w:val="0"/>
                <w:sz w:val="21"/>
                <w:szCs w:val="21"/>
                <w:highlight w:val="none"/>
              </w:rPr>
              <w:t>临时堆场、建筑材料遮盖；租赁洒水车</w:t>
            </w:r>
            <w:r>
              <w:rPr>
                <w:rFonts w:hint="eastAsia"/>
                <w:snapToGrid w:val="0"/>
                <w:color w:val="000000" w:themeColor="text1"/>
                <w:kern w:val="0"/>
                <w:sz w:val="21"/>
                <w:szCs w:val="21"/>
                <w:highlight w:val="none"/>
                <w:lang w:val="en-US" w:eastAsia="zh-CN"/>
              </w:rPr>
              <w:t>1</w:t>
            </w:r>
            <w:r>
              <w:rPr>
                <w:snapToGrid w:val="0"/>
                <w:color w:val="000000" w:themeColor="text1"/>
                <w:kern w:val="0"/>
                <w:sz w:val="21"/>
                <w:szCs w:val="21"/>
                <w:highlight w:val="none"/>
              </w:rPr>
              <w:t>辆；</w:t>
            </w:r>
            <w:r>
              <w:rPr>
                <w:color w:val="000000" w:themeColor="text1"/>
                <w:sz w:val="21"/>
                <w:szCs w:val="21"/>
                <w:highlight w:val="none"/>
              </w:rPr>
              <w:t>运输材料车辆密闭或遮盖</w:t>
            </w:r>
            <w:r>
              <w:rPr>
                <w:rFonts w:hint="eastAsia"/>
                <w:color w:val="000000" w:themeColor="text1"/>
                <w:sz w:val="21"/>
                <w:szCs w:val="21"/>
                <w:highlight w:val="none"/>
                <w:lang w:eastAsia="zh-CN"/>
              </w:rPr>
              <w:t>；</w:t>
            </w:r>
            <w:r>
              <w:rPr>
                <w:color w:val="000000" w:themeColor="text1"/>
                <w:sz w:val="21"/>
                <w:szCs w:val="21"/>
                <w:highlight w:val="none"/>
              </w:rPr>
              <w:t>途经敏感点路段设置移动式隔尘隔声挡板</w:t>
            </w:r>
            <w:r>
              <w:rPr>
                <w:rFonts w:hint="eastAsia"/>
                <w:color w:val="000000" w:themeColor="text1"/>
                <w:sz w:val="21"/>
                <w:szCs w:val="21"/>
                <w:highlight w:val="none"/>
                <w:lang w:eastAsia="zh-CN"/>
              </w:rPr>
              <w:t>；</w:t>
            </w:r>
            <w:r>
              <w:rPr>
                <w:rFonts w:hint="eastAsia"/>
                <w:color w:val="000000" w:themeColor="text1"/>
                <w:sz w:val="21"/>
                <w:szCs w:val="21"/>
                <w:highlight w:val="none"/>
              </w:rPr>
              <w:t>原料堆场扬尘：原料堆场三面围挡，顶部彩钢板罩棚，定期洒水抑尘等</w:t>
            </w:r>
            <w:r>
              <w:rPr>
                <w:rFonts w:hint="eastAsia"/>
                <w:color w:val="000000" w:themeColor="text1"/>
                <w:sz w:val="21"/>
                <w:szCs w:val="21"/>
                <w:highlight w:val="none"/>
                <w:lang w:eastAsia="zh-CN"/>
              </w:rPr>
              <w:t>；</w:t>
            </w:r>
          </w:p>
          <w:p w14:paraId="601186C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r>
              <w:rPr>
                <w:rFonts w:hint="eastAsia"/>
                <w:color w:val="000000" w:themeColor="text1"/>
                <w:sz w:val="21"/>
                <w:szCs w:val="21"/>
                <w:highlight w:val="none"/>
                <w:lang w:val="en-US" w:eastAsia="zh-CN"/>
              </w:rPr>
              <w:t>基层</w:t>
            </w:r>
            <w:r>
              <w:rPr>
                <w:rFonts w:hint="eastAsia"/>
                <w:color w:val="000000" w:themeColor="text1"/>
                <w:sz w:val="21"/>
                <w:szCs w:val="21"/>
                <w:highlight w:val="none"/>
              </w:rPr>
              <w:t>拌合站烟气：混凝土生产过程中骨料仓进料粉尘、骨料仓出口处和皮带转运处落料粉尘、</w:t>
            </w:r>
            <w:r>
              <w:rPr>
                <w:rFonts w:hint="eastAsia"/>
                <w:color w:val="000000" w:themeColor="text1"/>
                <w:sz w:val="21"/>
                <w:szCs w:val="21"/>
                <w:highlight w:val="none"/>
                <w:lang w:val="en-US" w:eastAsia="zh-CN"/>
              </w:rPr>
              <w:t>筒仓</w:t>
            </w:r>
            <w:r>
              <w:rPr>
                <w:rFonts w:hint="eastAsia"/>
                <w:color w:val="000000" w:themeColor="text1"/>
                <w:sz w:val="21"/>
                <w:szCs w:val="21"/>
                <w:highlight w:val="none"/>
              </w:rPr>
              <w:t>及搅拌机处均设置高效袋式除尘器，处理后达标后粉尘通过15m高</w:t>
            </w:r>
            <w:r>
              <w:rPr>
                <w:rFonts w:hint="eastAsia"/>
                <w:color w:val="000000" w:themeColor="text1"/>
                <w:sz w:val="21"/>
                <w:szCs w:val="21"/>
                <w:highlight w:val="none"/>
                <w:lang w:val="en-US" w:eastAsia="zh-CN"/>
              </w:rPr>
              <w:t>排气筒</w:t>
            </w:r>
            <w:r>
              <w:rPr>
                <w:rFonts w:hint="eastAsia"/>
                <w:color w:val="000000" w:themeColor="text1"/>
                <w:sz w:val="21"/>
                <w:szCs w:val="21"/>
                <w:highlight w:val="none"/>
              </w:rPr>
              <w:t>排放。</w:t>
            </w:r>
          </w:p>
          <w:p w14:paraId="04C85AE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rFonts w:hint="eastAsia"/>
                <w:color w:val="000000" w:themeColor="text1"/>
                <w:sz w:val="21"/>
                <w:szCs w:val="21"/>
                <w:highlight w:val="none"/>
              </w:rPr>
              <w:t>沥青面层拌合站烟气：项目共设置</w:t>
            </w:r>
            <w:r>
              <w:rPr>
                <w:rFonts w:hint="eastAsia"/>
                <w:color w:val="000000" w:themeColor="text1"/>
                <w:sz w:val="21"/>
                <w:szCs w:val="21"/>
                <w:highlight w:val="none"/>
                <w:lang w:val="en-US" w:eastAsia="zh-CN"/>
              </w:rPr>
              <w:t>1</w:t>
            </w:r>
            <w:r>
              <w:rPr>
                <w:rFonts w:hint="eastAsia"/>
                <w:color w:val="000000" w:themeColor="text1"/>
                <w:sz w:val="21"/>
                <w:szCs w:val="21"/>
                <w:highlight w:val="none"/>
              </w:rPr>
              <w:t>个沥青面层拌合站，</w:t>
            </w:r>
            <w:r>
              <w:rPr>
                <w:rFonts w:hint="eastAsia"/>
                <w:color w:val="000000" w:themeColor="text1"/>
                <w:kern w:val="2"/>
                <w:sz w:val="21"/>
                <w:szCs w:val="21"/>
                <w:highlight w:val="none"/>
              </w:rPr>
              <w:t>沥青拌合站搅拌机楼采用全封闭设计，并设有沥青烟回收装置，采用风机将产生的沥青烟导入沥青拌合站的柴油燃烧器中燃烧，沥青烟处理效率可达99.5%以上，项目烘干滚筒产生的颗粒物与燃烧器产生废气通入搅拌楼里与搅拌楼废气一同引入除尘效率为99%的布袋除尘后净化沥青烟颗粒、苯并[a]芘等，处理后的混合气体通过引风机（总风量为10000m</w:t>
            </w:r>
            <w:r>
              <w:rPr>
                <w:rFonts w:hint="eastAsia"/>
                <w:color w:val="000000" w:themeColor="text1"/>
                <w:kern w:val="2"/>
                <w:sz w:val="21"/>
                <w:szCs w:val="21"/>
                <w:highlight w:val="none"/>
                <w:vertAlign w:val="superscript"/>
              </w:rPr>
              <w:t>3</w:t>
            </w:r>
            <w:r>
              <w:rPr>
                <w:rFonts w:hint="eastAsia"/>
                <w:color w:val="000000" w:themeColor="text1"/>
                <w:kern w:val="2"/>
                <w:sz w:val="21"/>
                <w:szCs w:val="21"/>
                <w:highlight w:val="none"/>
              </w:rPr>
              <w:t>/h）引至15m高排气筒（DA001）排放。</w:t>
            </w:r>
          </w:p>
        </w:tc>
      </w:tr>
      <w:tr w14:paraId="435651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74167C0">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continue"/>
            <w:vAlign w:val="center"/>
          </w:tcPr>
          <w:p w14:paraId="2DE42C5B">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779" w:type="pct"/>
            <w:gridSpan w:val="2"/>
            <w:vAlign w:val="center"/>
          </w:tcPr>
          <w:p w14:paraId="18F798E7">
            <w:pPr>
              <w:pageBreakBefore w:val="0"/>
              <w:wordWrap/>
              <w:topLinePunct w:val="0"/>
              <w:bidi w:val="0"/>
              <w:spacing w:line="240" w:lineRule="auto"/>
              <w:ind w:firstLine="0" w:firstLineChars="0"/>
              <w:jc w:val="center"/>
              <w:rPr>
                <w:snapToGrid w:val="0"/>
                <w:color w:val="000000" w:themeColor="text1"/>
                <w:sz w:val="21"/>
                <w:szCs w:val="21"/>
                <w:highlight w:val="none"/>
              </w:rPr>
            </w:pPr>
            <w:r>
              <w:rPr>
                <w:color w:val="000000" w:themeColor="text1"/>
                <w:sz w:val="21"/>
                <w:szCs w:val="21"/>
                <w:highlight w:val="none"/>
              </w:rPr>
              <w:t>运营期</w:t>
            </w:r>
          </w:p>
        </w:tc>
        <w:tc>
          <w:tcPr>
            <w:tcW w:w="3833" w:type="pct"/>
            <w:gridSpan w:val="3"/>
            <w:vAlign w:val="center"/>
          </w:tcPr>
          <w:p w14:paraId="10A5B92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color w:val="000000" w:themeColor="text1"/>
                <w:sz w:val="21"/>
                <w:szCs w:val="21"/>
                <w:highlight w:val="none"/>
              </w:rPr>
              <w:t>加强公路管理及路面养护，保持公路良好运营状态；公路两侧种植适宜当地生长的林草，增加沿线植被覆盖率</w:t>
            </w:r>
          </w:p>
        </w:tc>
      </w:tr>
      <w:tr w14:paraId="6C77ED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0D21724C">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restart"/>
            <w:vAlign w:val="center"/>
          </w:tcPr>
          <w:p w14:paraId="76259039">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sz w:val="21"/>
                <w:szCs w:val="21"/>
                <w:highlight w:val="none"/>
              </w:rPr>
              <w:t>固废</w:t>
            </w:r>
          </w:p>
        </w:tc>
        <w:tc>
          <w:tcPr>
            <w:tcW w:w="779" w:type="pct"/>
            <w:gridSpan w:val="2"/>
            <w:vAlign w:val="center"/>
          </w:tcPr>
          <w:p w14:paraId="13DBE504">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color w:val="000000" w:themeColor="text1"/>
                <w:sz w:val="21"/>
                <w:szCs w:val="21"/>
                <w:highlight w:val="none"/>
              </w:rPr>
              <w:t>施工期</w:t>
            </w:r>
          </w:p>
        </w:tc>
        <w:tc>
          <w:tcPr>
            <w:tcW w:w="3833" w:type="pct"/>
            <w:gridSpan w:val="3"/>
            <w:vAlign w:val="center"/>
          </w:tcPr>
          <w:p w14:paraId="53AB74D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rFonts w:hint="eastAsia"/>
                <w:color w:val="000000" w:themeColor="text1"/>
                <w:sz w:val="21"/>
                <w:szCs w:val="21"/>
                <w:highlight w:val="none"/>
                <w:lang w:val="en-US" w:eastAsia="zh-CN"/>
              </w:rPr>
              <w:t>生活垃圾</w:t>
            </w:r>
            <w:r>
              <w:rPr>
                <w:color w:val="000000" w:themeColor="text1"/>
                <w:sz w:val="21"/>
                <w:szCs w:val="21"/>
                <w:highlight w:val="none"/>
              </w:rPr>
              <w:t>集中收集后运至市政指定地点由市政统一处理</w:t>
            </w:r>
            <w:r>
              <w:rPr>
                <w:rFonts w:hint="eastAsia"/>
                <w:color w:val="000000" w:themeColor="text1"/>
                <w:sz w:val="21"/>
                <w:szCs w:val="21"/>
                <w:highlight w:val="none"/>
                <w:lang w:eastAsia="zh-CN"/>
              </w:rPr>
              <w:t>；剥离的表层土暂存</w:t>
            </w:r>
            <w:r>
              <w:rPr>
                <w:rFonts w:hint="eastAsia"/>
                <w:color w:val="000000" w:themeColor="text1"/>
                <w:sz w:val="21"/>
                <w:szCs w:val="21"/>
                <w:highlight w:val="none"/>
                <w:lang w:val="en-US" w:eastAsia="zh-CN"/>
              </w:rPr>
              <w:t>在临时堆土场</w:t>
            </w:r>
            <w:r>
              <w:rPr>
                <w:rFonts w:hint="eastAsia"/>
                <w:color w:val="000000" w:themeColor="text1"/>
                <w:sz w:val="21"/>
                <w:szCs w:val="21"/>
                <w:highlight w:val="none"/>
                <w:lang w:eastAsia="zh-CN"/>
              </w:rPr>
              <w:t>内，并采取防风防雨措施，后期用于边坡绿化和路基两侧护坡道</w:t>
            </w:r>
            <w:r>
              <w:rPr>
                <w:rFonts w:hint="eastAsia"/>
                <w:color w:val="000000" w:themeColor="text1"/>
                <w:sz w:val="21"/>
                <w:szCs w:val="21"/>
                <w:highlight w:val="none"/>
                <w:lang w:val="en-US" w:eastAsia="zh-CN"/>
              </w:rPr>
              <w:t>及临时占地复垦</w:t>
            </w: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建筑垃圾量较小，可用于道路施工沿线低洼路段平整；施工结束后少量剩余废泥浆经干化后作为原施工场地内沉淀池等平整填埋使用；废油类物质由隔油沉淀池隔离后，不设置单独贮存区，直接委托有相应处理资质的单位处置。</w:t>
            </w:r>
          </w:p>
        </w:tc>
      </w:tr>
      <w:tr w14:paraId="1411A1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17BACC9E">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continue"/>
            <w:vAlign w:val="center"/>
          </w:tcPr>
          <w:p w14:paraId="330324C6">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779" w:type="pct"/>
            <w:gridSpan w:val="2"/>
            <w:vAlign w:val="center"/>
          </w:tcPr>
          <w:p w14:paraId="4D448A46">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color w:val="000000" w:themeColor="text1"/>
                <w:sz w:val="21"/>
                <w:szCs w:val="21"/>
                <w:highlight w:val="none"/>
              </w:rPr>
              <w:t>运营期</w:t>
            </w:r>
          </w:p>
        </w:tc>
        <w:tc>
          <w:tcPr>
            <w:tcW w:w="3833" w:type="pct"/>
            <w:gridSpan w:val="3"/>
            <w:vAlign w:val="center"/>
          </w:tcPr>
          <w:p w14:paraId="61F3CF7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本项目运营期无固废产生</w:t>
            </w:r>
          </w:p>
        </w:tc>
      </w:tr>
      <w:tr w14:paraId="265C41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C5003F0">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restart"/>
            <w:vAlign w:val="center"/>
          </w:tcPr>
          <w:p w14:paraId="683C72EA">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噪声</w:t>
            </w:r>
          </w:p>
        </w:tc>
        <w:tc>
          <w:tcPr>
            <w:tcW w:w="779" w:type="pct"/>
            <w:gridSpan w:val="2"/>
            <w:vAlign w:val="center"/>
          </w:tcPr>
          <w:p w14:paraId="5B0CFD9C">
            <w:pPr>
              <w:pageBreakBefore w:val="0"/>
              <w:wordWrap/>
              <w:topLinePunct w:val="0"/>
              <w:bidi w:val="0"/>
              <w:spacing w:line="240" w:lineRule="auto"/>
              <w:ind w:firstLine="0" w:firstLineChars="0"/>
              <w:jc w:val="center"/>
              <w:rPr>
                <w:snapToGrid w:val="0"/>
                <w:color w:val="000000" w:themeColor="text1"/>
                <w:sz w:val="21"/>
                <w:szCs w:val="21"/>
                <w:highlight w:val="none"/>
              </w:rPr>
            </w:pPr>
            <w:r>
              <w:rPr>
                <w:color w:val="000000" w:themeColor="text1"/>
                <w:sz w:val="21"/>
                <w:szCs w:val="21"/>
                <w:highlight w:val="none"/>
              </w:rPr>
              <w:t>施工期</w:t>
            </w:r>
          </w:p>
        </w:tc>
        <w:tc>
          <w:tcPr>
            <w:tcW w:w="3833" w:type="pct"/>
            <w:gridSpan w:val="3"/>
            <w:vAlign w:val="center"/>
          </w:tcPr>
          <w:p w14:paraId="2314460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bCs/>
                <w:snapToGrid w:val="0"/>
                <w:color w:val="000000" w:themeColor="text1"/>
                <w:kern w:val="0"/>
                <w:sz w:val="21"/>
                <w:szCs w:val="21"/>
                <w:highlight w:val="none"/>
              </w:rPr>
            </w:pPr>
            <w:r>
              <w:rPr>
                <w:color w:val="000000" w:themeColor="text1"/>
                <w:sz w:val="21"/>
                <w:szCs w:val="21"/>
                <w:highlight w:val="none"/>
              </w:rPr>
              <w:t>应合理布局，临时工程及大型施工设备远离敏感点设置；合理制定施工计划，避免大量噪声设备同时使用；采用低噪声设备，高噪声施工机械采取消声减震措施；敏感点路段安装移动式隔声、隔尘挡板，建议长度50m，高度3m；合理安排施工时间，禁止夜间（22:00-6:00）施工作业；物料运输途径环境敏感点时减速慢行、禁止鸣笛及夜间禁止运输</w:t>
            </w:r>
          </w:p>
        </w:tc>
      </w:tr>
      <w:tr w14:paraId="55BF32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jc w:val="center"/>
        </w:trPr>
        <w:tc>
          <w:tcPr>
            <w:tcW w:w="118" w:type="pct"/>
            <w:vMerge w:val="continue"/>
            <w:vAlign w:val="center"/>
          </w:tcPr>
          <w:p w14:paraId="676DC701">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continue"/>
            <w:vAlign w:val="center"/>
          </w:tcPr>
          <w:p w14:paraId="395D87CF">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779" w:type="pct"/>
            <w:gridSpan w:val="2"/>
            <w:vAlign w:val="center"/>
          </w:tcPr>
          <w:p w14:paraId="2321915E">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color w:val="000000" w:themeColor="text1"/>
                <w:sz w:val="21"/>
                <w:szCs w:val="21"/>
                <w:highlight w:val="none"/>
              </w:rPr>
              <w:t>运营期</w:t>
            </w:r>
          </w:p>
        </w:tc>
        <w:tc>
          <w:tcPr>
            <w:tcW w:w="3833" w:type="pct"/>
            <w:gridSpan w:val="3"/>
            <w:vAlign w:val="center"/>
          </w:tcPr>
          <w:p w14:paraId="4D05B29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snapToGrid w:val="0"/>
                <w:color w:val="000000" w:themeColor="text1"/>
                <w:sz w:val="21"/>
                <w:szCs w:val="21"/>
                <w:highlight w:val="none"/>
              </w:rPr>
              <w:t>加强公路绿化措施及路面养护</w:t>
            </w:r>
          </w:p>
        </w:tc>
      </w:tr>
      <w:tr w14:paraId="343139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415403B5">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restart"/>
            <w:vAlign w:val="center"/>
          </w:tcPr>
          <w:p w14:paraId="101F2177">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sz w:val="21"/>
                <w:szCs w:val="21"/>
                <w:highlight w:val="none"/>
              </w:rPr>
              <w:t>生态</w:t>
            </w:r>
          </w:p>
        </w:tc>
        <w:tc>
          <w:tcPr>
            <w:tcW w:w="779" w:type="pct"/>
            <w:gridSpan w:val="2"/>
            <w:vAlign w:val="center"/>
          </w:tcPr>
          <w:p w14:paraId="5127A46D">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施工期</w:t>
            </w:r>
          </w:p>
        </w:tc>
        <w:tc>
          <w:tcPr>
            <w:tcW w:w="3833" w:type="pct"/>
            <w:gridSpan w:val="3"/>
            <w:vAlign w:val="center"/>
          </w:tcPr>
          <w:p w14:paraId="16D153F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sz w:val="21"/>
                <w:szCs w:val="21"/>
                <w:highlight w:val="none"/>
              </w:rPr>
            </w:pPr>
            <w:r>
              <w:rPr>
                <w:rFonts w:hint="eastAsia" w:cs="Times New Roman"/>
                <w:b w:val="0"/>
                <w:bCs w:val="0"/>
                <w:color w:val="000000" w:themeColor="text1"/>
                <w:sz w:val="21"/>
                <w:szCs w:val="21"/>
                <w:highlight w:val="none"/>
                <w:vertAlign w:val="baseline"/>
                <w:lang w:val="en-US" w:eastAsia="zh-CN"/>
              </w:rPr>
              <w:t>应加强对施工人员的生态环境保护的宣传教育工作；禁止随意堆放水泥、涂料等建筑材料；</w:t>
            </w:r>
            <w:r>
              <w:rPr>
                <w:rFonts w:hint="eastAsia"/>
                <w:color w:val="000000" w:themeColor="text1"/>
                <w:sz w:val="21"/>
                <w:szCs w:val="21"/>
                <w:highlight w:val="none"/>
                <w:lang w:eastAsia="zh-CN"/>
              </w:rPr>
              <w:t>剥离的表层土暂存</w:t>
            </w:r>
            <w:r>
              <w:rPr>
                <w:rFonts w:hint="eastAsia"/>
                <w:color w:val="000000" w:themeColor="text1"/>
                <w:sz w:val="21"/>
                <w:szCs w:val="21"/>
                <w:highlight w:val="none"/>
                <w:lang w:val="en-US" w:eastAsia="zh-CN"/>
              </w:rPr>
              <w:t>在临时堆土场</w:t>
            </w:r>
            <w:r>
              <w:rPr>
                <w:rFonts w:hint="eastAsia"/>
                <w:color w:val="000000" w:themeColor="text1"/>
                <w:sz w:val="21"/>
                <w:szCs w:val="21"/>
                <w:highlight w:val="none"/>
                <w:lang w:eastAsia="zh-CN"/>
              </w:rPr>
              <w:t>内，并采取防风防雨措施，后期用于边坡绿化和路基两侧护坡道</w:t>
            </w:r>
            <w:r>
              <w:rPr>
                <w:rFonts w:hint="eastAsia"/>
                <w:color w:val="000000" w:themeColor="text1"/>
                <w:sz w:val="21"/>
                <w:szCs w:val="21"/>
                <w:highlight w:val="none"/>
                <w:lang w:val="en-US" w:eastAsia="zh-CN"/>
              </w:rPr>
              <w:t>及临时占地复垦</w:t>
            </w:r>
            <w:r>
              <w:rPr>
                <w:rFonts w:hint="eastAsia"/>
                <w:color w:val="000000" w:themeColor="text1"/>
                <w:sz w:val="21"/>
                <w:szCs w:val="21"/>
                <w:highlight w:val="none"/>
                <w:lang w:eastAsia="zh-CN"/>
              </w:rPr>
              <w:t>；</w:t>
            </w:r>
            <w:r>
              <w:rPr>
                <w:rFonts w:hint="eastAsia" w:cs="Times New Roman"/>
                <w:b w:val="0"/>
                <w:bCs w:val="0"/>
                <w:color w:val="000000" w:themeColor="text1"/>
                <w:sz w:val="21"/>
                <w:szCs w:val="21"/>
                <w:highlight w:val="none"/>
                <w:vertAlign w:val="baseline"/>
                <w:lang w:val="en-US" w:eastAsia="zh-CN"/>
              </w:rPr>
              <w:t>严格按照设计文件确定征占土地范围，应严格控制各类临时工程用地的数量，禁止超标占地</w:t>
            </w:r>
          </w:p>
        </w:tc>
      </w:tr>
      <w:tr w14:paraId="5D3409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18" w:type="pct"/>
            <w:vMerge w:val="continue"/>
            <w:vAlign w:val="center"/>
          </w:tcPr>
          <w:p w14:paraId="39549344">
            <w:pPr>
              <w:pageBreakBefore w:val="0"/>
              <w:wordWrap/>
              <w:topLinePunct w:val="0"/>
              <w:bidi w:val="0"/>
              <w:spacing w:line="240" w:lineRule="auto"/>
              <w:ind w:firstLine="0" w:firstLineChars="0"/>
              <w:jc w:val="center"/>
              <w:rPr>
                <w:color w:val="000000" w:themeColor="text1"/>
                <w:sz w:val="21"/>
                <w:szCs w:val="21"/>
                <w:highlight w:val="none"/>
              </w:rPr>
            </w:pPr>
          </w:p>
        </w:tc>
        <w:tc>
          <w:tcPr>
            <w:tcW w:w="268" w:type="pct"/>
            <w:gridSpan w:val="2"/>
            <w:vMerge w:val="continue"/>
            <w:vAlign w:val="center"/>
          </w:tcPr>
          <w:p w14:paraId="069AC957">
            <w:pPr>
              <w:pageBreakBefore w:val="0"/>
              <w:wordWrap/>
              <w:topLinePunct w:val="0"/>
              <w:bidi w:val="0"/>
              <w:spacing w:line="240" w:lineRule="auto"/>
              <w:ind w:firstLine="0" w:firstLineChars="0"/>
              <w:jc w:val="center"/>
              <w:rPr>
                <w:snapToGrid w:val="0"/>
                <w:color w:val="000000" w:themeColor="text1"/>
                <w:kern w:val="0"/>
                <w:sz w:val="21"/>
                <w:szCs w:val="21"/>
                <w:highlight w:val="none"/>
              </w:rPr>
            </w:pPr>
          </w:p>
        </w:tc>
        <w:tc>
          <w:tcPr>
            <w:tcW w:w="779" w:type="pct"/>
            <w:gridSpan w:val="2"/>
            <w:vAlign w:val="center"/>
          </w:tcPr>
          <w:p w14:paraId="18FB6E26">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运营期</w:t>
            </w:r>
          </w:p>
        </w:tc>
        <w:tc>
          <w:tcPr>
            <w:tcW w:w="3833" w:type="pct"/>
            <w:gridSpan w:val="3"/>
            <w:vAlign w:val="center"/>
          </w:tcPr>
          <w:p w14:paraId="016A19D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highlight w:val="none"/>
              </w:rPr>
            </w:pPr>
            <w:r>
              <w:rPr>
                <w:color w:val="000000" w:themeColor="text1"/>
                <w:sz w:val="21"/>
                <w:szCs w:val="21"/>
                <w:highlight w:val="none"/>
              </w:rPr>
              <w:t>施工结束后，</w:t>
            </w:r>
            <w:r>
              <w:rPr>
                <w:rFonts w:hint="eastAsia"/>
                <w:color w:val="000000" w:themeColor="text1"/>
                <w:sz w:val="21"/>
                <w:szCs w:val="21"/>
                <w:highlight w:val="none"/>
                <w:lang w:val="en-US" w:eastAsia="zh-CN"/>
              </w:rPr>
              <w:t>临时占地恢复原有用地类型</w:t>
            </w:r>
            <w:r>
              <w:rPr>
                <w:rFonts w:hint="eastAsia"/>
                <w:color w:val="000000" w:themeColor="text1"/>
                <w:sz w:val="21"/>
                <w:szCs w:val="21"/>
                <w:highlight w:val="none"/>
                <w:lang w:eastAsia="zh-CN"/>
              </w:rPr>
              <w:t>面积</w:t>
            </w:r>
            <w:r>
              <w:rPr>
                <w:rFonts w:hint="eastAsia"/>
                <w:color w:val="000000" w:themeColor="text1"/>
                <w:sz w:val="21"/>
                <w:szCs w:val="21"/>
                <w:highlight w:val="none"/>
                <w:lang w:val="en-US" w:eastAsia="zh-CN"/>
              </w:rPr>
              <w:t>4.37</w:t>
            </w:r>
            <w:r>
              <w:rPr>
                <w:color w:val="000000" w:themeColor="text1"/>
                <w:sz w:val="21"/>
                <w:szCs w:val="21"/>
                <w:highlight w:val="none"/>
              </w:rPr>
              <w:t>hm</w:t>
            </w:r>
            <w:r>
              <w:rPr>
                <w:color w:val="000000" w:themeColor="text1"/>
                <w:sz w:val="21"/>
                <w:szCs w:val="21"/>
                <w:highlight w:val="none"/>
                <w:vertAlign w:val="superscript"/>
              </w:rPr>
              <w:t>2</w:t>
            </w:r>
            <w:r>
              <w:rPr>
                <w:rFonts w:hint="eastAsia"/>
                <w:color w:val="000000" w:themeColor="text1"/>
                <w:sz w:val="21"/>
                <w:szCs w:val="21"/>
                <w:highlight w:val="none"/>
                <w:lang w:eastAsia="zh-CN"/>
              </w:rPr>
              <w:t>；</w:t>
            </w:r>
            <w:r>
              <w:rPr>
                <w:color w:val="000000" w:themeColor="text1"/>
                <w:sz w:val="21"/>
                <w:szCs w:val="21"/>
                <w:highlight w:val="none"/>
              </w:rPr>
              <w:t>主线设置路基边坡植物防护</w:t>
            </w:r>
            <w:r>
              <w:rPr>
                <w:rFonts w:hint="eastAsia"/>
                <w:color w:val="000000" w:themeColor="text1"/>
                <w:sz w:val="21"/>
                <w:szCs w:val="21"/>
                <w:highlight w:val="none"/>
                <w:lang w:val="en-US" w:eastAsia="zh-CN"/>
              </w:rPr>
              <w:t>12556</w:t>
            </w:r>
            <w:r>
              <w:rPr>
                <w:color w:val="000000" w:themeColor="text1"/>
                <w:sz w:val="21"/>
                <w:szCs w:val="21"/>
                <w:highlight w:val="none"/>
              </w:rPr>
              <w:t>m</w:t>
            </w:r>
            <w:r>
              <w:rPr>
                <w:rFonts w:hint="eastAsia"/>
                <w:color w:val="000000" w:themeColor="text1"/>
                <w:sz w:val="21"/>
                <w:szCs w:val="21"/>
                <w:highlight w:val="none"/>
              </w:rPr>
              <w:t>，</w:t>
            </w:r>
            <w:r>
              <w:rPr>
                <w:rFonts w:hint="eastAsia"/>
                <w:color w:val="000000" w:themeColor="text1"/>
                <w:sz w:val="21"/>
                <w:szCs w:val="21"/>
                <w:highlight w:val="none"/>
                <w:lang w:val="en-US" w:eastAsia="zh-CN"/>
              </w:rPr>
              <w:t>坡身植草皮41460m</w:t>
            </w:r>
            <w:r>
              <w:rPr>
                <w:rFonts w:hint="eastAsia"/>
                <w:color w:val="000000" w:themeColor="text1"/>
                <w:sz w:val="21"/>
                <w:szCs w:val="21"/>
                <w:highlight w:val="none"/>
                <w:vertAlign w:val="superscript"/>
                <w:lang w:val="en-US" w:eastAsia="zh-CN"/>
              </w:rPr>
              <w:t>2</w:t>
            </w:r>
          </w:p>
        </w:tc>
      </w:tr>
    </w:tbl>
    <w:p w14:paraId="799718E9">
      <w:pPr>
        <w:pageBreakBefore w:val="0"/>
        <w:wordWrap/>
        <w:topLinePunct w:val="0"/>
        <w:bidi w:val="0"/>
        <w:spacing w:line="360" w:lineRule="auto"/>
        <w:rPr>
          <w:color w:val="000000" w:themeColor="text1"/>
          <w:highlight w:val="none"/>
        </w:rPr>
      </w:pPr>
    </w:p>
    <w:p w14:paraId="396DBB1D">
      <w:pPr>
        <w:pageBreakBefore w:val="0"/>
        <w:tabs>
          <w:tab w:val="left" w:pos="1139"/>
        </w:tabs>
        <w:wordWrap/>
        <w:topLinePunct w:val="0"/>
        <w:bidi w:val="0"/>
        <w:spacing w:line="360" w:lineRule="auto"/>
        <w:rPr>
          <w:color w:val="000000" w:themeColor="text1"/>
          <w:highlight w:val="none"/>
        </w:rPr>
        <w:sectPr>
          <w:footnotePr>
            <w:numFmt w:val="decimalEnclosedCircle"/>
          </w:footnotePr>
          <w:pgSz w:w="16838" w:h="11906" w:orient="landscape"/>
          <w:pgMar w:top="1797" w:right="1440" w:bottom="1797" w:left="1440" w:header="1191" w:footer="1021" w:gutter="0"/>
          <w:pgBorders>
            <w:top w:val="none" w:sz="0" w:space="0"/>
            <w:left w:val="none" w:sz="0" w:space="0"/>
            <w:bottom w:val="none" w:sz="0" w:space="0"/>
            <w:right w:val="none" w:sz="0" w:space="0"/>
          </w:pgBorders>
          <w:pgNumType w:fmt="decimal"/>
          <w:cols w:space="720" w:num="1"/>
          <w:docGrid w:linePitch="326" w:charSpace="0"/>
        </w:sectPr>
      </w:pPr>
    </w:p>
    <w:p w14:paraId="4D7FCC1E">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3.1.2</w:t>
      </w:r>
      <w:r>
        <w:rPr>
          <w:color w:val="000000" w:themeColor="text1"/>
          <w:highlight w:val="none"/>
        </w:rPr>
        <w:t>技术标准</w:t>
      </w:r>
      <w:bookmarkEnd w:id="235"/>
      <w:bookmarkEnd w:id="236"/>
    </w:p>
    <w:p w14:paraId="203D0DA2">
      <w:pPr>
        <w:pageBreakBefore w:val="0"/>
        <w:wordWrap/>
        <w:topLinePunct w:val="0"/>
        <w:bidi w:val="0"/>
        <w:spacing w:line="360" w:lineRule="auto"/>
        <w:rPr>
          <w:color w:val="000000" w:themeColor="text1"/>
          <w:highlight w:val="none"/>
        </w:rPr>
      </w:pPr>
      <w:r>
        <w:rPr>
          <w:color w:val="000000" w:themeColor="text1"/>
          <w:highlight w:val="none"/>
        </w:rPr>
        <w:t>本项目主要</w:t>
      </w:r>
      <w:bookmarkStart w:id="237" w:name="_Hlk78017164"/>
      <w:r>
        <w:rPr>
          <w:color w:val="000000" w:themeColor="text1"/>
          <w:highlight w:val="none"/>
        </w:rPr>
        <w:t>技术经济指标</w:t>
      </w:r>
      <w:bookmarkEnd w:id="237"/>
      <w:r>
        <w:rPr>
          <w:color w:val="000000" w:themeColor="text1"/>
          <w:highlight w:val="none"/>
        </w:rPr>
        <w:t>见表3.1-</w:t>
      </w:r>
      <w:r>
        <w:rPr>
          <w:rFonts w:hint="eastAsia"/>
          <w:color w:val="000000" w:themeColor="text1"/>
          <w:highlight w:val="none"/>
          <w:lang w:val="en-US" w:eastAsia="zh-CN"/>
        </w:rPr>
        <w:t>2</w:t>
      </w:r>
      <w:r>
        <w:rPr>
          <w:color w:val="000000" w:themeColor="text1"/>
          <w:highlight w:val="none"/>
        </w:rPr>
        <w:t>。</w:t>
      </w:r>
    </w:p>
    <w:p w14:paraId="02BB10F5">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2</w:t>
      </w:r>
      <w:r>
        <w:rPr>
          <w:b/>
          <w:color w:val="000000" w:themeColor="text1"/>
          <w:highlight w:val="none"/>
        </w:rPr>
        <w:t xml:space="preserve"> </w:t>
      </w:r>
      <w:r>
        <w:rPr>
          <w:rFonts w:hint="eastAsia"/>
          <w:b/>
          <w:color w:val="000000" w:themeColor="text1"/>
          <w:highlight w:val="none"/>
          <w:lang w:val="en-US" w:eastAsia="zh-CN"/>
        </w:rPr>
        <w:t xml:space="preserve"> </w:t>
      </w:r>
      <w:r>
        <w:rPr>
          <w:b/>
          <w:color w:val="000000" w:themeColor="text1"/>
          <w:highlight w:val="none"/>
        </w:rPr>
        <w:t>本项目主要技术经济指标一览表</w:t>
      </w:r>
    </w:p>
    <w:tbl>
      <w:tblPr>
        <w:tblStyle w:val="33"/>
        <w:tblW w:w="8339" w:type="dxa"/>
        <w:jc w:val="center"/>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Layout w:type="fixed"/>
        <w:tblCellMar>
          <w:top w:w="15" w:type="dxa"/>
          <w:left w:w="108" w:type="dxa"/>
          <w:bottom w:w="15" w:type="dxa"/>
          <w:right w:w="108" w:type="dxa"/>
        </w:tblCellMar>
      </w:tblPr>
      <w:tblGrid>
        <w:gridCol w:w="988"/>
        <w:gridCol w:w="2391"/>
        <w:gridCol w:w="1050"/>
        <w:gridCol w:w="3910"/>
      </w:tblGrid>
      <w:tr w14:paraId="16588768">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vMerge w:val="restart"/>
            <w:tcBorders>
              <w:tl2br w:val="nil"/>
              <w:tr2bl w:val="nil"/>
            </w:tcBorders>
            <w:vAlign w:val="center"/>
          </w:tcPr>
          <w:p w14:paraId="76D634B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序号</w:t>
            </w:r>
          </w:p>
        </w:tc>
        <w:tc>
          <w:tcPr>
            <w:tcW w:w="2391" w:type="dxa"/>
            <w:vMerge w:val="restart"/>
            <w:tcBorders>
              <w:tl2br w:val="nil"/>
              <w:tr2bl w:val="nil"/>
            </w:tcBorders>
            <w:vAlign w:val="center"/>
          </w:tcPr>
          <w:p w14:paraId="249517D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技术指标</w:t>
            </w:r>
          </w:p>
        </w:tc>
        <w:tc>
          <w:tcPr>
            <w:tcW w:w="1050" w:type="dxa"/>
            <w:vMerge w:val="restart"/>
            <w:tcBorders>
              <w:tl2br w:val="nil"/>
              <w:tr2bl w:val="nil"/>
            </w:tcBorders>
            <w:vAlign w:val="center"/>
          </w:tcPr>
          <w:p w14:paraId="313424CC">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单位</w:t>
            </w:r>
          </w:p>
        </w:tc>
        <w:tc>
          <w:tcPr>
            <w:tcW w:w="3910" w:type="dxa"/>
            <w:tcBorders>
              <w:tl2br w:val="nil"/>
              <w:tr2bl w:val="nil"/>
            </w:tcBorders>
            <w:vAlign w:val="center"/>
          </w:tcPr>
          <w:p w14:paraId="67C8B279">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规范指标</w:t>
            </w:r>
          </w:p>
        </w:tc>
      </w:tr>
      <w:tr w14:paraId="2CCC0652">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vMerge w:val="continue"/>
            <w:tcBorders>
              <w:tl2br w:val="nil"/>
              <w:tr2bl w:val="nil"/>
            </w:tcBorders>
            <w:vAlign w:val="center"/>
          </w:tcPr>
          <w:p w14:paraId="158564B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p>
        </w:tc>
        <w:tc>
          <w:tcPr>
            <w:tcW w:w="2391" w:type="dxa"/>
            <w:vMerge w:val="continue"/>
            <w:tcBorders>
              <w:tl2br w:val="nil"/>
              <w:tr2bl w:val="nil"/>
            </w:tcBorders>
            <w:vAlign w:val="center"/>
          </w:tcPr>
          <w:p w14:paraId="2E491BE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p>
        </w:tc>
        <w:tc>
          <w:tcPr>
            <w:tcW w:w="1050" w:type="dxa"/>
            <w:vMerge w:val="continue"/>
            <w:tcBorders>
              <w:tl2br w:val="nil"/>
              <w:tr2bl w:val="nil"/>
            </w:tcBorders>
            <w:vAlign w:val="center"/>
          </w:tcPr>
          <w:p w14:paraId="3DA37C55">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p>
        </w:tc>
        <w:tc>
          <w:tcPr>
            <w:tcW w:w="3910" w:type="dxa"/>
            <w:tcBorders>
              <w:tl2br w:val="nil"/>
              <w:tr2bl w:val="nil"/>
            </w:tcBorders>
            <w:vAlign w:val="center"/>
          </w:tcPr>
          <w:p w14:paraId="09FC4808">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机场进场路主线及</w:t>
            </w:r>
            <w:r>
              <w:rPr>
                <w:rFonts w:hint="eastAsia" w:cs="Times New Roman"/>
                <w:color w:val="000000" w:themeColor="text1"/>
                <w:sz w:val="21"/>
                <w:szCs w:val="21"/>
                <w:highlight w:val="none"/>
                <w:lang w:val="en-US" w:eastAsia="zh-CN"/>
              </w:rPr>
              <w:t>连接线</w:t>
            </w:r>
          </w:p>
        </w:tc>
      </w:tr>
      <w:tr w14:paraId="23A2C8FA">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5A6F3B6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1</w:t>
            </w:r>
          </w:p>
        </w:tc>
        <w:tc>
          <w:tcPr>
            <w:tcW w:w="2391" w:type="dxa"/>
            <w:tcBorders>
              <w:tl2br w:val="nil"/>
              <w:tr2bl w:val="nil"/>
            </w:tcBorders>
            <w:vAlign w:val="center"/>
          </w:tcPr>
          <w:p w14:paraId="1B0A314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路段</w:t>
            </w:r>
          </w:p>
        </w:tc>
        <w:tc>
          <w:tcPr>
            <w:tcW w:w="1050" w:type="dxa"/>
            <w:tcBorders>
              <w:tl2br w:val="nil"/>
              <w:tr2bl w:val="nil"/>
            </w:tcBorders>
            <w:vAlign w:val="center"/>
          </w:tcPr>
          <w:p w14:paraId="7EADBFCF">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p>
        </w:tc>
        <w:tc>
          <w:tcPr>
            <w:tcW w:w="3910" w:type="dxa"/>
            <w:tcBorders>
              <w:tl2br w:val="nil"/>
              <w:tr2bl w:val="nil"/>
            </w:tcBorders>
            <w:vAlign w:val="center"/>
          </w:tcPr>
          <w:p w14:paraId="2D26BAC4">
            <w:pPr>
              <w:pStyle w:val="131"/>
              <w:keepNext w:val="0"/>
              <w:keepLines w:val="0"/>
              <w:pageBreakBefore w:val="0"/>
              <w:kinsoku/>
              <w:wordWrap/>
              <w:overflowPunct/>
              <w:topLinePunct w:val="0"/>
              <w:autoSpaceDE/>
              <w:autoSpaceDN/>
              <w:bidi w:val="0"/>
              <w:adjustRightInd w:val="0"/>
              <w:snapToGrid w:val="0"/>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公路段</w:t>
            </w:r>
          </w:p>
        </w:tc>
      </w:tr>
      <w:tr w14:paraId="41596EC3">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3A2198F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2</w:t>
            </w:r>
          </w:p>
        </w:tc>
        <w:tc>
          <w:tcPr>
            <w:tcW w:w="2391" w:type="dxa"/>
            <w:tcBorders>
              <w:tl2br w:val="nil"/>
              <w:tr2bl w:val="nil"/>
            </w:tcBorders>
            <w:vAlign w:val="center"/>
          </w:tcPr>
          <w:p w14:paraId="3C3A303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公路等级</w:t>
            </w:r>
          </w:p>
        </w:tc>
        <w:tc>
          <w:tcPr>
            <w:tcW w:w="1050" w:type="dxa"/>
            <w:tcBorders>
              <w:tl2br w:val="nil"/>
              <w:tr2bl w:val="nil"/>
            </w:tcBorders>
            <w:vAlign w:val="center"/>
          </w:tcPr>
          <w:p w14:paraId="2A5A980E">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级</w:t>
            </w:r>
          </w:p>
        </w:tc>
        <w:tc>
          <w:tcPr>
            <w:tcW w:w="3910" w:type="dxa"/>
            <w:tcBorders>
              <w:tl2br w:val="nil"/>
              <w:tr2bl w:val="nil"/>
            </w:tcBorders>
            <w:vAlign w:val="center"/>
          </w:tcPr>
          <w:p w14:paraId="4989213B">
            <w:pPr>
              <w:pStyle w:val="131"/>
              <w:keepNext w:val="0"/>
              <w:keepLines w:val="0"/>
              <w:pageBreakBefore w:val="0"/>
              <w:kinsoku/>
              <w:wordWrap/>
              <w:overflowPunct/>
              <w:topLinePunct w:val="0"/>
              <w:autoSpaceDE/>
              <w:autoSpaceDN/>
              <w:bidi w:val="0"/>
              <w:adjustRightInd w:val="0"/>
              <w:snapToGrid w:val="0"/>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二级公路</w:t>
            </w:r>
          </w:p>
        </w:tc>
      </w:tr>
      <w:tr w14:paraId="037E7C78">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43C9ECF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3</w:t>
            </w:r>
          </w:p>
        </w:tc>
        <w:tc>
          <w:tcPr>
            <w:tcW w:w="2391" w:type="dxa"/>
            <w:tcBorders>
              <w:tl2br w:val="nil"/>
              <w:tr2bl w:val="nil"/>
            </w:tcBorders>
            <w:vAlign w:val="center"/>
          </w:tcPr>
          <w:p w14:paraId="6FAD8D8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设计速度</w:t>
            </w:r>
          </w:p>
        </w:tc>
        <w:tc>
          <w:tcPr>
            <w:tcW w:w="1050" w:type="dxa"/>
            <w:tcBorders>
              <w:tl2br w:val="nil"/>
              <w:tr2bl w:val="nil"/>
            </w:tcBorders>
            <w:vAlign w:val="center"/>
          </w:tcPr>
          <w:p w14:paraId="7C3ADE60">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km/h</w:t>
            </w:r>
          </w:p>
        </w:tc>
        <w:tc>
          <w:tcPr>
            <w:tcW w:w="3910" w:type="dxa"/>
            <w:tcBorders>
              <w:tl2br w:val="nil"/>
              <w:tr2bl w:val="nil"/>
            </w:tcBorders>
            <w:vAlign w:val="center"/>
          </w:tcPr>
          <w:p w14:paraId="5664558B">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60</w:t>
            </w:r>
          </w:p>
        </w:tc>
      </w:tr>
      <w:tr w14:paraId="6C8777C2">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0E0A7F4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4</w:t>
            </w:r>
          </w:p>
        </w:tc>
        <w:tc>
          <w:tcPr>
            <w:tcW w:w="2391" w:type="dxa"/>
            <w:tcBorders>
              <w:tl2br w:val="nil"/>
              <w:tr2bl w:val="nil"/>
            </w:tcBorders>
            <w:vAlign w:val="center"/>
          </w:tcPr>
          <w:p w14:paraId="45F5F65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路基宽度</w:t>
            </w:r>
          </w:p>
        </w:tc>
        <w:tc>
          <w:tcPr>
            <w:tcW w:w="1050" w:type="dxa"/>
            <w:tcBorders>
              <w:tl2br w:val="nil"/>
              <w:tr2bl w:val="nil"/>
            </w:tcBorders>
            <w:vAlign w:val="center"/>
          </w:tcPr>
          <w:p w14:paraId="62315C79">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74A38E1E">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12</w:t>
            </w:r>
          </w:p>
        </w:tc>
      </w:tr>
      <w:tr w14:paraId="1D6D668F">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270EFE4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5</w:t>
            </w:r>
          </w:p>
        </w:tc>
        <w:tc>
          <w:tcPr>
            <w:tcW w:w="2391" w:type="dxa"/>
            <w:tcBorders>
              <w:tl2br w:val="nil"/>
              <w:tr2bl w:val="nil"/>
            </w:tcBorders>
            <w:vAlign w:val="center"/>
          </w:tcPr>
          <w:p w14:paraId="7B0C3F7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行车道宽度</w:t>
            </w:r>
          </w:p>
        </w:tc>
        <w:tc>
          <w:tcPr>
            <w:tcW w:w="1050" w:type="dxa"/>
            <w:tcBorders>
              <w:tl2br w:val="nil"/>
              <w:tr2bl w:val="nil"/>
            </w:tcBorders>
            <w:vAlign w:val="center"/>
          </w:tcPr>
          <w:p w14:paraId="74018B32">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28FF0963">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2×3.75</w:t>
            </w:r>
          </w:p>
        </w:tc>
      </w:tr>
      <w:tr w14:paraId="24280463">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06BD4AC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6</w:t>
            </w:r>
          </w:p>
        </w:tc>
        <w:tc>
          <w:tcPr>
            <w:tcW w:w="2391" w:type="dxa"/>
            <w:tcBorders>
              <w:tl2br w:val="nil"/>
              <w:tr2bl w:val="nil"/>
            </w:tcBorders>
            <w:vAlign w:val="center"/>
          </w:tcPr>
          <w:p w14:paraId="6B8158C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硬路肩宽度</w:t>
            </w:r>
          </w:p>
        </w:tc>
        <w:tc>
          <w:tcPr>
            <w:tcW w:w="1050" w:type="dxa"/>
            <w:tcBorders>
              <w:tl2br w:val="nil"/>
              <w:tr2bl w:val="nil"/>
            </w:tcBorders>
            <w:vAlign w:val="center"/>
          </w:tcPr>
          <w:p w14:paraId="643571C2">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005B5730">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2×1.5</w:t>
            </w:r>
          </w:p>
        </w:tc>
      </w:tr>
      <w:tr w14:paraId="7C5E05E6">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6169EAC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7</w:t>
            </w:r>
          </w:p>
        </w:tc>
        <w:tc>
          <w:tcPr>
            <w:tcW w:w="2391" w:type="dxa"/>
            <w:tcBorders>
              <w:tl2br w:val="nil"/>
              <w:tr2bl w:val="nil"/>
            </w:tcBorders>
            <w:vAlign w:val="center"/>
          </w:tcPr>
          <w:p w14:paraId="74D0F02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土路肩宽度</w:t>
            </w:r>
          </w:p>
        </w:tc>
        <w:tc>
          <w:tcPr>
            <w:tcW w:w="1050" w:type="dxa"/>
            <w:tcBorders>
              <w:tl2br w:val="nil"/>
              <w:tr2bl w:val="nil"/>
            </w:tcBorders>
            <w:vAlign w:val="center"/>
          </w:tcPr>
          <w:p w14:paraId="6644D428">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4D213E66">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2×0.5</w:t>
            </w:r>
          </w:p>
        </w:tc>
      </w:tr>
      <w:tr w14:paraId="37D16AC9">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5852FAA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8</w:t>
            </w:r>
          </w:p>
        </w:tc>
        <w:tc>
          <w:tcPr>
            <w:tcW w:w="2391" w:type="dxa"/>
            <w:tcBorders>
              <w:tl2br w:val="nil"/>
              <w:tr2bl w:val="nil"/>
            </w:tcBorders>
            <w:vAlign w:val="center"/>
          </w:tcPr>
          <w:p w14:paraId="75001BF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圆曲线一般最小半径</w:t>
            </w:r>
          </w:p>
        </w:tc>
        <w:tc>
          <w:tcPr>
            <w:tcW w:w="1050" w:type="dxa"/>
            <w:tcBorders>
              <w:tl2br w:val="nil"/>
              <w:tr2bl w:val="nil"/>
            </w:tcBorders>
            <w:vAlign w:val="center"/>
          </w:tcPr>
          <w:p w14:paraId="6F6003E8">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0192FA7A">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200</w:t>
            </w:r>
          </w:p>
        </w:tc>
      </w:tr>
      <w:tr w14:paraId="1EB5B055">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7833254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9</w:t>
            </w:r>
          </w:p>
        </w:tc>
        <w:tc>
          <w:tcPr>
            <w:tcW w:w="2391" w:type="dxa"/>
            <w:tcBorders>
              <w:tl2br w:val="nil"/>
              <w:tr2bl w:val="nil"/>
            </w:tcBorders>
            <w:vAlign w:val="center"/>
          </w:tcPr>
          <w:p w14:paraId="3D27F8A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最大纵坡</w:t>
            </w:r>
          </w:p>
        </w:tc>
        <w:tc>
          <w:tcPr>
            <w:tcW w:w="1050" w:type="dxa"/>
            <w:tcBorders>
              <w:tl2br w:val="nil"/>
              <w:tr2bl w:val="nil"/>
            </w:tcBorders>
            <w:vAlign w:val="center"/>
          </w:tcPr>
          <w:p w14:paraId="223E7297">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w:t>
            </w:r>
          </w:p>
        </w:tc>
        <w:tc>
          <w:tcPr>
            <w:tcW w:w="3910" w:type="dxa"/>
            <w:tcBorders>
              <w:tl2br w:val="nil"/>
              <w:tr2bl w:val="nil"/>
            </w:tcBorders>
            <w:vAlign w:val="center"/>
          </w:tcPr>
          <w:p w14:paraId="2D6A6569">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6</w:t>
            </w:r>
          </w:p>
        </w:tc>
      </w:tr>
      <w:tr w14:paraId="4875AED2">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522D78CD">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10</w:t>
            </w:r>
          </w:p>
        </w:tc>
        <w:tc>
          <w:tcPr>
            <w:tcW w:w="2391" w:type="dxa"/>
            <w:tcBorders>
              <w:tl2br w:val="nil"/>
              <w:tr2bl w:val="nil"/>
            </w:tcBorders>
            <w:vAlign w:val="center"/>
          </w:tcPr>
          <w:p w14:paraId="4097C85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凸形竖曲线最小半径</w:t>
            </w:r>
          </w:p>
        </w:tc>
        <w:tc>
          <w:tcPr>
            <w:tcW w:w="1050" w:type="dxa"/>
            <w:tcBorders>
              <w:tl2br w:val="nil"/>
              <w:tr2bl w:val="nil"/>
            </w:tcBorders>
            <w:vAlign w:val="center"/>
          </w:tcPr>
          <w:p w14:paraId="2EC73EFB">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332E08E2">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2000</w:t>
            </w:r>
          </w:p>
        </w:tc>
      </w:tr>
      <w:tr w14:paraId="178DF0B5">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2CECAC6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11</w:t>
            </w:r>
          </w:p>
        </w:tc>
        <w:tc>
          <w:tcPr>
            <w:tcW w:w="2391" w:type="dxa"/>
            <w:tcBorders>
              <w:tl2br w:val="nil"/>
              <w:tr2bl w:val="nil"/>
            </w:tcBorders>
            <w:vAlign w:val="center"/>
          </w:tcPr>
          <w:p w14:paraId="66D895A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凹形竖曲线最小半径</w:t>
            </w:r>
          </w:p>
        </w:tc>
        <w:tc>
          <w:tcPr>
            <w:tcW w:w="1050" w:type="dxa"/>
            <w:tcBorders>
              <w:tl2br w:val="nil"/>
              <w:tr2bl w:val="nil"/>
            </w:tcBorders>
            <w:vAlign w:val="center"/>
          </w:tcPr>
          <w:p w14:paraId="6ED4A2A5">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57324A77">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1500</w:t>
            </w:r>
          </w:p>
        </w:tc>
      </w:tr>
      <w:tr w14:paraId="1F224351">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119EB08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12</w:t>
            </w:r>
          </w:p>
        </w:tc>
        <w:tc>
          <w:tcPr>
            <w:tcW w:w="2391" w:type="dxa"/>
            <w:tcBorders>
              <w:tl2br w:val="nil"/>
              <w:tr2bl w:val="nil"/>
            </w:tcBorders>
            <w:vAlign w:val="center"/>
          </w:tcPr>
          <w:p w14:paraId="0BD2DAB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最短坡长</w:t>
            </w:r>
          </w:p>
        </w:tc>
        <w:tc>
          <w:tcPr>
            <w:tcW w:w="1050" w:type="dxa"/>
            <w:tcBorders>
              <w:tl2br w:val="nil"/>
              <w:tr2bl w:val="nil"/>
            </w:tcBorders>
            <w:vAlign w:val="center"/>
          </w:tcPr>
          <w:p w14:paraId="721D9A55">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7E9C5D5F">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120</w:t>
            </w:r>
          </w:p>
        </w:tc>
      </w:tr>
      <w:tr w14:paraId="0FD82D14">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65E7EA7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13</w:t>
            </w:r>
          </w:p>
        </w:tc>
        <w:tc>
          <w:tcPr>
            <w:tcW w:w="2391" w:type="dxa"/>
            <w:tcBorders>
              <w:tl2br w:val="nil"/>
              <w:tr2bl w:val="nil"/>
            </w:tcBorders>
            <w:vAlign w:val="center"/>
          </w:tcPr>
          <w:p w14:paraId="26EB02E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eastAsia" w:cs="Times New Roman"/>
                <w:color w:val="000000" w:themeColor="text1"/>
                <w:sz w:val="21"/>
                <w:szCs w:val="21"/>
                <w:highlight w:val="none"/>
                <w:u w:color="000000"/>
                <w:lang w:val="en-US" w:eastAsia="zh-CN" w:bidi="ar-SA"/>
              </w:rPr>
              <w:t>会车视距/</w:t>
            </w:r>
            <w:r>
              <w:rPr>
                <w:rFonts w:hint="default" w:ascii="Times New Roman" w:hAnsi="Times New Roman" w:eastAsia="宋体" w:cs="Times New Roman"/>
                <w:color w:val="000000" w:themeColor="text1"/>
                <w:sz w:val="21"/>
                <w:szCs w:val="21"/>
                <w:highlight w:val="none"/>
                <w:u w:color="000000"/>
                <w:lang w:val="en-US" w:eastAsia="zh-CN" w:bidi="ar-SA"/>
              </w:rPr>
              <w:t>行车视距</w:t>
            </w:r>
          </w:p>
        </w:tc>
        <w:tc>
          <w:tcPr>
            <w:tcW w:w="1050" w:type="dxa"/>
            <w:tcBorders>
              <w:tl2br w:val="nil"/>
              <w:tr2bl w:val="nil"/>
            </w:tcBorders>
            <w:vAlign w:val="center"/>
          </w:tcPr>
          <w:p w14:paraId="322FE116">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m</w:t>
            </w:r>
          </w:p>
        </w:tc>
        <w:tc>
          <w:tcPr>
            <w:tcW w:w="3910" w:type="dxa"/>
            <w:tcBorders>
              <w:tl2br w:val="nil"/>
              <w:tr2bl w:val="nil"/>
            </w:tcBorders>
            <w:vAlign w:val="center"/>
          </w:tcPr>
          <w:p w14:paraId="2395582C">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150/</w:t>
            </w:r>
            <w:r>
              <w:rPr>
                <w:rFonts w:hint="default" w:ascii="Times New Roman" w:hAnsi="Times New Roman" w:eastAsia="宋体" w:cs="Times New Roman"/>
                <w:color w:val="000000" w:themeColor="text1"/>
                <w:sz w:val="21"/>
                <w:szCs w:val="21"/>
                <w:highlight w:val="none"/>
                <w:lang w:val="en-US" w:eastAsia="zh-CN"/>
              </w:rPr>
              <w:t>75</w:t>
            </w:r>
          </w:p>
        </w:tc>
      </w:tr>
      <w:tr w14:paraId="31572344">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0817A80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14</w:t>
            </w:r>
          </w:p>
        </w:tc>
        <w:tc>
          <w:tcPr>
            <w:tcW w:w="2391" w:type="dxa"/>
            <w:tcBorders>
              <w:tl2br w:val="nil"/>
              <w:tr2bl w:val="nil"/>
            </w:tcBorders>
            <w:vAlign w:val="center"/>
          </w:tcPr>
          <w:p w14:paraId="6E0C877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汽车荷载等级</w:t>
            </w:r>
          </w:p>
        </w:tc>
        <w:tc>
          <w:tcPr>
            <w:tcW w:w="1050" w:type="dxa"/>
            <w:tcBorders>
              <w:tl2br w:val="nil"/>
              <w:tr2bl w:val="nil"/>
            </w:tcBorders>
            <w:vAlign w:val="center"/>
          </w:tcPr>
          <w:p w14:paraId="0FCADBB2">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级</w:t>
            </w:r>
          </w:p>
        </w:tc>
        <w:tc>
          <w:tcPr>
            <w:tcW w:w="3910" w:type="dxa"/>
            <w:tcBorders>
              <w:tl2br w:val="nil"/>
              <w:tr2bl w:val="nil"/>
            </w:tcBorders>
            <w:vAlign w:val="center"/>
          </w:tcPr>
          <w:p w14:paraId="0DF2CEFF">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公路-I级</w:t>
            </w:r>
          </w:p>
        </w:tc>
      </w:tr>
      <w:tr w14:paraId="38F29F19">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642E890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eastAsia" w:cs="Times New Roman"/>
                <w:color w:val="000000" w:themeColor="text1"/>
                <w:sz w:val="21"/>
                <w:szCs w:val="21"/>
                <w:highlight w:val="none"/>
                <w:u w:color="000000"/>
                <w:lang w:val="en-US" w:eastAsia="zh-CN" w:bidi="ar-SA"/>
              </w:rPr>
              <w:t>15</w:t>
            </w:r>
          </w:p>
        </w:tc>
        <w:tc>
          <w:tcPr>
            <w:tcW w:w="2391" w:type="dxa"/>
            <w:tcBorders>
              <w:tl2br w:val="nil"/>
              <w:tr2bl w:val="nil"/>
            </w:tcBorders>
            <w:vAlign w:val="center"/>
          </w:tcPr>
          <w:p w14:paraId="33927CA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路基设计洪水频率</w:t>
            </w:r>
          </w:p>
        </w:tc>
        <w:tc>
          <w:tcPr>
            <w:tcW w:w="1050" w:type="dxa"/>
            <w:tcBorders>
              <w:tl2br w:val="nil"/>
              <w:tr2bl w:val="nil"/>
            </w:tcBorders>
            <w:vAlign w:val="center"/>
          </w:tcPr>
          <w:p w14:paraId="6F177D93">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年</w:t>
            </w:r>
          </w:p>
        </w:tc>
        <w:tc>
          <w:tcPr>
            <w:tcW w:w="3910" w:type="dxa"/>
            <w:tcBorders>
              <w:tl2br w:val="nil"/>
              <w:tr2bl w:val="nil"/>
            </w:tcBorders>
            <w:vAlign w:val="center"/>
          </w:tcPr>
          <w:p w14:paraId="77F4ECEC">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1/50</w:t>
            </w:r>
          </w:p>
        </w:tc>
      </w:tr>
      <w:tr w14:paraId="4A4E6609">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15" w:type="dxa"/>
            <w:left w:w="108" w:type="dxa"/>
            <w:bottom w:w="15" w:type="dxa"/>
            <w:right w:w="108" w:type="dxa"/>
          </w:tblCellMar>
        </w:tblPrEx>
        <w:trPr>
          <w:trHeight w:val="340" w:hRule="atLeast"/>
          <w:jc w:val="center"/>
        </w:trPr>
        <w:tc>
          <w:tcPr>
            <w:tcW w:w="988" w:type="dxa"/>
            <w:tcBorders>
              <w:tl2br w:val="nil"/>
              <w:tr2bl w:val="nil"/>
            </w:tcBorders>
            <w:vAlign w:val="center"/>
          </w:tcPr>
          <w:p w14:paraId="2F8A242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eastAsia" w:cs="Times New Roman"/>
                <w:color w:val="000000" w:themeColor="text1"/>
                <w:sz w:val="21"/>
                <w:szCs w:val="21"/>
                <w:highlight w:val="none"/>
                <w:u w:color="000000"/>
                <w:lang w:val="en-US" w:eastAsia="zh-CN" w:bidi="ar-SA"/>
              </w:rPr>
              <w:t>16</w:t>
            </w:r>
          </w:p>
        </w:tc>
        <w:tc>
          <w:tcPr>
            <w:tcW w:w="2391" w:type="dxa"/>
            <w:tcBorders>
              <w:tl2br w:val="nil"/>
              <w:tr2bl w:val="nil"/>
            </w:tcBorders>
            <w:vAlign w:val="center"/>
          </w:tcPr>
          <w:p w14:paraId="3A2546E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u w:color="000000"/>
                <w:lang w:val="en-US" w:eastAsia="zh-CN" w:bidi="ar-SA"/>
              </w:rPr>
              <w:t>桥梁设计洪水频率</w:t>
            </w:r>
          </w:p>
        </w:tc>
        <w:tc>
          <w:tcPr>
            <w:tcW w:w="1050" w:type="dxa"/>
            <w:tcBorders>
              <w:tl2br w:val="nil"/>
              <w:tr2bl w:val="nil"/>
            </w:tcBorders>
            <w:vAlign w:val="center"/>
          </w:tcPr>
          <w:p w14:paraId="18348C21">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年</w:t>
            </w:r>
          </w:p>
        </w:tc>
        <w:tc>
          <w:tcPr>
            <w:tcW w:w="3910" w:type="dxa"/>
            <w:tcBorders>
              <w:tl2br w:val="nil"/>
              <w:tr2bl w:val="nil"/>
            </w:tcBorders>
            <w:vAlign w:val="center"/>
          </w:tcPr>
          <w:p w14:paraId="2CE28550">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大、中桥1/100、</w:t>
            </w:r>
          </w:p>
          <w:p w14:paraId="49A45511">
            <w:pPr>
              <w:pStyle w:val="131"/>
              <w:keepNext w:val="0"/>
              <w:keepLines w:val="0"/>
              <w:pageBreakBefore w:val="0"/>
              <w:kinsoku/>
              <w:wordWrap/>
              <w:overflowPunct/>
              <w:topLinePunct w:val="0"/>
              <w:autoSpaceDE/>
              <w:autoSpaceDN/>
              <w:bidi w:val="0"/>
              <w:adjustRightInd w:val="0"/>
              <w:snapToGrid w:val="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小桥涵洞1/50</w:t>
            </w:r>
          </w:p>
        </w:tc>
      </w:tr>
    </w:tbl>
    <w:p w14:paraId="098ECEAC">
      <w:pPr>
        <w:pStyle w:val="4"/>
        <w:pageBreakBefore w:val="0"/>
        <w:wordWrap/>
        <w:topLinePunct w:val="0"/>
        <w:bidi w:val="0"/>
        <w:spacing w:before="156" w:line="360" w:lineRule="auto"/>
        <w:rPr>
          <w:color w:val="000000" w:themeColor="text1"/>
          <w:highlight w:val="none"/>
        </w:rPr>
      </w:pPr>
      <w:bookmarkStart w:id="238" w:name="_Toc5363"/>
      <w:bookmarkStart w:id="239" w:name="_Toc2039"/>
      <w:r>
        <w:rPr>
          <w:rFonts w:hint="eastAsia"/>
          <w:color w:val="000000" w:themeColor="text1"/>
          <w:highlight w:val="none"/>
        </w:rPr>
        <w:t>3.1.3</w:t>
      </w:r>
      <w:r>
        <w:rPr>
          <w:color w:val="000000" w:themeColor="text1"/>
          <w:highlight w:val="none"/>
        </w:rPr>
        <w:t>交通量预测</w:t>
      </w:r>
      <w:bookmarkEnd w:id="238"/>
      <w:bookmarkEnd w:id="239"/>
    </w:p>
    <w:p w14:paraId="2E7D52C6">
      <w:pPr>
        <w:pageBreakBefore w:val="0"/>
        <w:wordWrap/>
        <w:topLinePunct w:val="0"/>
        <w:bidi w:val="0"/>
        <w:spacing w:line="360" w:lineRule="auto"/>
        <w:rPr>
          <w:rFonts w:hint="default" w:eastAsia="宋体"/>
          <w:color w:val="000000" w:themeColor="text1"/>
          <w:highlight w:val="none"/>
          <w:lang w:val="en-US" w:eastAsia="zh-CN"/>
        </w:rPr>
      </w:pPr>
      <w:r>
        <w:rPr>
          <w:color w:val="000000" w:themeColor="text1"/>
          <w:highlight w:val="none"/>
        </w:rPr>
        <w:t>本评价交通量采用可行性研究报告中提供的预测车流量，根据《公路工程技术标准》（JTGB01-2014），折算系数为小客车1.0、中型车1.5、普通大型车2.5及特大型车4.0。</w:t>
      </w:r>
      <w:r>
        <w:rPr>
          <w:rFonts w:hint="eastAsia"/>
          <w:color w:val="000000" w:themeColor="text1"/>
          <w:highlight w:val="none"/>
          <w:lang w:val="en-US" w:eastAsia="zh-CN"/>
        </w:rPr>
        <w:t>本项目交通量包括机场交通量和一般社会交通量，其中0.218km机场连接线交通量主要为机场交通量，略小于主线交通量，本次预测以对环境影响最不利因素考虑，以主线交通量为主，结合机场客流量及夜间不运行的工作模式，本项目建成后的交通量预测结果见下表。</w:t>
      </w:r>
    </w:p>
    <w:p w14:paraId="2091AE0A">
      <w:pPr>
        <w:pageBreakBefore w:val="0"/>
        <w:wordWrap/>
        <w:topLinePunct w:val="0"/>
        <w:bidi w:val="0"/>
        <w:spacing w:line="360" w:lineRule="auto"/>
        <w:rPr>
          <w:rFonts w:hint="eastAsia" w:eastAsia="宋体"/>
          <w:color w:val="000000" w:themeColor="text1"/>
          <w:highlight w:val="none"/>
          <w:lang w:eastAsia="zh-CN"/>
        </w:rPr>
      </w:pPr>
      <w:r>
        <w:rPr>
          <w:color w:val="000000" w:themeColor="text1"/>
          <w:highlight w:val="none"/>
        </w:rPr>
        <w:t>拟建公路各特征年限的交通预测值如下</w:t>
      </w:r>
      <w:r>
        <w:rPr>
          <w:rFonts w:hint="eastAsia"/>
          <w:color w:val="000000" w:themeColor="text1"/>
          <w:highlight w:val="none"/>
          <w:lang w:eastAsia="zh-CN"/>
        </w:rPr>
        <w:t>。</w:t>
      </w:r>
    </w:p>
    <w:p w14:paraId="4B3D688F">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3</w:t>
      </w:r>
      <w:r>
        <w:rPr>
          <w:b/>
          <w:color w:val="000000" w:themeColor="text1"/>
          <w:highlight w:val="none"/>
        </w:rPr>
        <w:t xml:space="preserve"> </w:t>
      </w:r>
      <w:r>
        <w:rPr>
          <w:rFonts w:hint="eastAsia"/>
          <w:b/>
          <w:color w:val="000000" w:themeColor="text1"/>
          <w:highlight w:val="none"/>
          <w:lang w:val="en-US" w:eastAsia="zh-CN"/>
        </w:rPr>
        <w:t xml:space="preserve"> </w:t>
      </w:r>
      <w:r>
        <w:rPr>
          <w:b/>
          <w:color w:val="000000" w:themeColor="text1"/>
          <w:highlight w:val="none"/>
        </w:rPr>
        <w:t>各特征年总交通量预测结果   单位：pcu/d</w:t>
      </w:r>
    </w:p>
    <w:tbl>
      <w:tblPr>
        <w:tblStyle w:val="3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889"/>
        <w:gridCol w:w="1544"/>
        <w:gridCol w:w="1545"/>
        <w:gridCol w:w="1544"/>
      </w:tblGrid>
      <w:tr w14:paraId="25909A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89" w:type="dxa"/>
            <w:vAlign w:val="center"/>
          </w:tcPr>
          <w:p w14:paraId="032B26E3">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路段/交通量</w:t>
            </w:r>
          </w:p>
        </w:tc>
        <w:tc>
          <w:tcPr>
            <w:tcW w:w="1544" w:type="dxa"/>
            <w:vAlign w:val="center"/>
          </w:tcPr>
          <w:p w14:paraId="2A85B37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202</w:t>
            </w:r>
            <w:r>
              <w:rPr>
                <w:rFonts w:hint="eastAsia"/>
                <w:color w:val="000000" w:themeColor="text1"/>
                <w:sz w:val="21"/>
                <w:szCs w:val="21"/>
                <w:highlight w:val="none"/>
                <w:lang w:val="en-US" w:eastAsia="zh-CN"/>
              </w:rPr>
              <w:t>7</w:t>
            </w:r>
            <w:r>
              <w:rPr>
                <w:color w:val="000000" w:themeColor="text1"/>
                <w:sz w:val="21"/>
                <w:szCs w:val="21"/>
                <w:highlight w:val="none"/>
              </w:rPr>
              <w:t>年</w:t>
            </w:r>
          </w:p>
        </w:tc>
        <w:tc>
          <w:tcPr>
            <w:tcW w:w="1545" w:type="dxa"/>
            <w:vAlign w:val="center"/>
          </w:tcPr>
          <w:p w14:paraId="1A3AA04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203</w:t>
            </w:r>
            <w:r>
              <w:rPr>
                <w:rFonts w:hint="eastAsia"/>
                <w:color w:val="000000" w:themeColor="text1"/>
                <w:sz w:val="21"/>
                <w:szCs w:val="21"/>
                <w:highlight w:val="none"/>
                <w:lang w:val="en-US" w:eastAsia="zh-CN"/>
              </w:rPr>
              <w:t>3</w:t>
            </w:r>
            <w:r>
              <w:rPr>
                <w:color w:val="000000" w:themeColor="text1"/>
                <w:sz w:val="21"/>
                <w:szCs w:val="21"/>
                <w:highlight w:val="none"/>
              </w:rPr>
              <w:t>年</w:t>
            </w:r>
          </w:p>
        </w:tc>
        <w:tc>
          <w:tcPr>
            <w:tcW w:w="1544" w:type="dxa"/>
            <w:vAlign w:val="center"/>
          </w:tcPr>
          <w:p w14:paraId="30D2879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w:t>
            </w:r>
            <w:r>
              <w:rPr>
                <w:rFonts w:hint="eastAsia"/>
                <w:color w:val="000000" w:themeColor="text1"/>
                <w:sz w:val="21"/>
                <w:szCs w:val="21"/>
                <w:highlight w:val="none"/>
                <w:lang w:val="en-US" w:eastAsia="zh-CN"/>
              </w:rPr>
              <w:t>41</w:t>
            </w:r>
            <w:r>
              <w:rPr>
                <w:color w:val="000000" w:themeColor="text1"/>
                <w:sz w:val="21"/>
                <w:szCs w:val="21"/>
                <w:highlight w:val="none"/>
              </w:rPr>
              <w:t>年</w:t>
            </w:r>
          </w:p>
        </w:tc>
      </w:tr>
      <w:tr w14:paraId="260FF3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89" w:type="dxa"/>
            <w:vAlign w:val="bottom"/>
          </w:tcPr>
          <w:p w14:paraId="09FCF379">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default" w:eastAsia="宋体"/>
                <w:color w:val="000000" w:themeColor="text1"/>
                <w:kern w:val="0"/>
                <w:sz w:val="21"/>
                <w:szCs w:val="21"/>
                <w:highlight w:val="none"/>
                <w:lang w:val="en-US" w:eastAsia="zh-CN"/>
              </w:rPr>
              <w:t>机场进场路主线及</w:t>
            </w:r>
            <w:r>
              <w:rPr>
                <w:rFonts w:hint="eastAsia"/>
                <w:color w:val="000000" w:themeColor="text1"/>
                <w:kern w:val="0"/>
                <w:sz w:val="21"/>
                <w:szCs w:val="21"/>
                <w:highlight w:val="none"/>
                <w:lang w:val="en-US" w:eastAsia="zh-CN"/>
              </w:rPr>
              <w:t>连接线</w:t>
            </w:r>
          </w:p>
        </w:tc>
        <w:tc>
          <w:tcPr>
            <w:tcW w:w="1544" w:type="dxa"/>
            <w:vAlign w:val="center"/>
          </w:tcPr>
          <w:p w14:paraId="7378F836">
            <w:pPr>
              <w:pageBreakBefore w:val="0"/>
              <w:widowControl/>
              <w:wordWrap/>
              <w:topLinePunct w:val="0"/>
              <w:bidi w:val="0"/>
              <w:spacing w:line="240" w:lineRule="auto"/>
              <w:ind w:firstLine="0" w:firstLineChars="0"/>
              <w:jc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967</w:t>
            </w:r>
          </w:p>
        </w:tc>
        <w:tc>
          <w:tcPr>
            <w:tcW w:w="1545" w:type="dxa"/>
            <w:shd w:val="clear" w:color="auto" w:fill="auto"/>
            <w:vAlign w:val="center"/>
          </w:tcPr>
          <w:p w14:paraId="1D90DCE2">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color w:val="000000" w:themeColor="text1"/>
                <w:highlight w:val="none"/>
              </w:rPr>
              <w:t>3614</w:t>
            </w:r>
          </w:p>
        </w:tc>
        <w:tc>
          <w:tcPr>
            <w:tcW w:w="1544" w:type="dxa"/>
            <w:shd w:val="clear" w:color="auto" w:fill="auto"/>
            <w:vAlign w:val="center"/>
          </w:tcPr>
          <w:p w14:paraId="399E5147">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color w:val="000000" w:themeColor="text1"/>
                <w:highlight w:val="none"/>
              </w:rPr>
              <w:t>4836</w:t>
            </w:r>
          </w:p>
        </w:tc>
      </w:tr>
    </w:tbl>
    <w:p w14:paraId="6860EB3C">
      <w:pPr>
        <w:pageBreakBefore w:val="0"/>
        <w:wordWrap/>
        <w:topLinePunct w:val="0"/>
        <w:bidi w:val="0"/>
        <w:spacing w:line="360" w:lineRule="auto"/>
        <w:ind w:firstLine="140" w:firstLineChars="58"/>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4</w:t>
      </w:r>
      <w:r>
        <w:rPr>
          <w:b/>
          <w:color w:val="000000" w:themeColor="text1"/>
          <w:highlight w:val="none"/>
        </w:rPr>
        <w:t xml:space="preserve"> </w:t>
      </w:r>
      <w:r>
        <w:rPr>
          <w:rFonts w:hint="eastAsia"/>
          <w:b/>
          <w:color w:val="000000" w:themeColor="text1"/>
          <w:highlight w:val="none"/>
          <w:lang w:val="en-US" w:eastAsia="zh-CN"/>
        </w:rPr>
        <w:t xml:space="preserve"> </w:t>
      </w:r>
      <w:r>
        <w:rPr>
          <w:b/>
          <w:color w:val="000000" w:themeColor="text1"/>
          <w:highlight w:val="none"/>
        </w:rPr>
        <w:t>预测车型比</w:t>
      </w:r>
    </w:p>
    <w:tbl>
      <w:tblPr>
        <w:tblStyle w:val="33"/>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26"/>
        <w:gridCol w:w="926"/>
        <w:gridCol w:w="925"/>
        <w:gridCol w:w="925"/>
        <w:gridCol w:w="925"/>
        <w:gridCol w:w="925"/>
        <w:gridCol w:w="925"/>
        <w:gridCol w:w="925"/>
        <w:gridCol w:w="926"/>
      </w:tblGrid>
      <w:tr w14:paraId="0F564C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55" w:type="pct"/>
            <w:noWrap w:val="0"/>
            <w:tcMar>
              <w:top w:w="15" w:type="dxa"/>
              <w:left w:w="15" w:type="dxa"/>
              <w:right w:w="15" w:type="dxa"/>
            </w:tcMar>
            <w:vAlign w:val="center"/>
          </w:tcPr>
          <w:p w14:paraId="6FA73FC1">
            <w:pPr>
              <w:pStyle w:val="137"/>
              <w:spacing w:line="240" w:lineRule="auto"/>
              <w:rPr>
                <w:color w:val="000000" w:themeColor="text1"/>
                <w:highlight w:val="none"/>
              </w:rPr>
            </w:pPr>
            <w:r>
              <w:rPr>
                <w:color w:val="000000" w:themeColor="text1"/>
                <w:highlight w:val="none"/>
              </w:rPr>
              <w:t>年份</w:t>
            </w:r>
          </w:p>
        </w:tc>
        <w:tc>
          <w:tcPr>
            <w:tcW w:w="555" w:type="pct"/>
            <w:noWrap w:val="0"/>
            <w:tcMar>
              <w:top w:w="15" w:type="dxa"/>
              <w:left w:w="15" w:type="dxa"/>
              <w:right w:w="15" w:type="dxa"/>
            </w:tcMar>
            <w:vAlign w:val="center"/>
          </w:tcPr>
          <w:p w14:paraId="66ACFC38">
            <w:pPr>
              <w:pStyle w:val="137"/>
              <w:spacing w:line="240" w:lineRule="auto"/>
              <w:rPr>
                <w:color w:val="000000" w:themeColor="text1"/>
                <w:highlight w:val="none"/>
              </w:rPr>
            </w:pPr>
            <w:r>
              <w:rPr>
                <w:color w:val="000000" w:themeColor="text1"/>
                <w:highlight w:val="none"/>
              </w:rPr>
              <w:t>小货</w:t>
            </w:r>
          </w:p>
        </w:tc>
        <w:tc>
          <w:tcPr>
            <w:tcW w:w="555" w:type="pct"/>
            <w:noWrap w:val="0"/>
            <w:tcMar>
              <w:top w:w="15" w:type="dxa"/>
              <w:left w:w="15" w:type="dxa"/>
              <w:right w:w="15" w:type="dxa"/>
            </w:tcMar>
            <w:vAlign w:val="center"/>
          </w:tcPr>
          <w:p w14:paraId="68B767CA">
            <w:pPr>
              <w:pStyle w:val="137"/>
              <w:spacing w:line="240" w:lineRule="auto"/>
              <w:rPr>
                <w:color w:val="000000" w:themeColor="text1"/>
                <w:highlight w:val="none"/>
              </w:rPr>
            </w:pPr>
            <w:r>
              <w:rPr>
                <w:color w:val="000000" w:themeColor="text1"/>
                <w:highlight w:val="none"/>
              </w:rPr>
              <w:t>中货</w:t>
            </w:r>
          </w:p>
        </w:tc>
        <w:tc>
          <w:tcPr>
            <w:tcW w:w="555" w:type="pct"/>
            <w:noWrap w:val="0"/>
            <w:tcMar>
              <w:top w:w="15" w:type="dxa"/>
              <w:left w:w="15" w:type="dxa"/>
              <w:right w:w="15" w:type="dxa"/>
            </w:tcMar>
            <w:vAlign w:val="center"/>
          </w:tcPr>
          <w:p w14:paraId="5F21ADDC">
            <w:pPr>
              <w:pStyle w:val="137"/>
              <w:spacing w:line="240" w:lineRule="auto"/>
              <w:rPr>
                <w:color w:val="000000" w:themeColor="text1"/>
                <w:highlight w:val="none"/>
              </w:rPr>
            </w:pPr>
            <w:r>
              <w:rPr>
                <w:color w:val="000000" w:themeColor="text1"/>
                <w:highlight w:val="none"/>
              </w:rPr>
              <w:t>大货</w:t>
            </w:r>
          </w:p>
        </w:tc>
        <w:tc>
          <w:tcPr>
            <w:tcW w:w="555" w:type="pct"/>
            <w:noWrap w:val="0"/>
            <w:tcMar>
              <w:top w:w="15" w:type="dxa"/>
              <w:left w:w="15" w:type="dxa"/>
              <w:right w:w="15" w:type="dxa"/>
            </w:tcMar>
            <w:vAlign w:val="center"/>
          </w:tcPr>
          <w:p w14:paraId="032ED059">
            <w:pPr>
              <w:pStyle w:val="137"/>
              <w:spacing w:line="240" w:lineRule="auto"/>
              <w:rPr>
                <w:color w:val="000000" w:themeColor="text1"/>
                <w:highlight w:val="none"/>
              </w:rPr>
            </w:pPr>
            <w:r>
              <w:rPr>
                <w:color w:val="000000" w:themeColor="text1"/>
                <w:highlight w:val="none"/>
              </w:rPr>
              <w:t>特大货</w:t>
            </w:r>
          </w:p>
        </w:tc>
        <w:tc>
          <w:tcPr>
            <w:tcW w:w="555" w:type="pct"/>
            <w:noWrap w:val="0"/>
            <w:tcMar>
              <w:top w:w="15" w:type="dxa"/>
              <w:left w:w="15" w:type="dxa"/>
              <w:right w:w="15" w:type="dxa"/>
            </w:tcMar>
            <w:vAlign w:val="center"/>
          </w:tcPr>
          <w:p w14:paraId="0DBE63C0">
            <w:pPr>
              <w:pStyle w:val="137"/>
              <w:spacing w:line="240" w:lineRule="auto"/>
              <w:rPr>
                <w:color w:val="000000" w:themeColor="text1"/>
                <w:highlight w:val="none"/>
              </w:rPr>
            </w:pPr>
            <w:r>
              <w:rPr>
                <w:color w:val="000000" w:themeColor="text1"/>
                <w:highlight w:val="none"/>
              </w:rPr>
              <w:t>小客</w:t>
            </w:r>
          </w:p>
        </w:tc>
        <w:tc>
          <w:tcPr>
            <w:tcW w:w="555" w:type="pct"/>
            <w:noWrap w:val="0"/>
            <w:tcMar>
              <w:top w:w="15" w:type="dxa"/>
              <w:left w:w="15" w:type="dxa"/>
              <w:right w:w="15" w:type="dxa"/>
            </w:tcMar>
            <w:vAlign w:val="center"/>
          </w:tcPr>
          <w:p w14:paraId="1EBA25AA">
            <w:pPr>
              <w:pStyle w:val="137"/>
              <w:spacing w:line="240" w:lineRule="auto"/>
              <w:rPr>
                <w:color w:val="000000" w:themeColor="text1"/>
                <w:highlight w:val="none"/>
              </w:rPr>
            </w:pPr>
            <w:r>
              <w:rPr>
                <w:color w:val="000000" w:themeColor="text1"/>
                <w:highlight w:val="none"/>
              </w:rPr>
              <w:t>大客</w:t>
            </w:r>
          </w:p>
        </w:tc>
        <w:tc>
          <w:tcPr>
            <w:tcW w:w="555" w:type="pct"/>
            <w:noWrap w:val="0"/>
            <w:tcMar>
              <w:top w:w="15" w:type="dxa"/>
              <w:left w:w="15" w:type="dxa"/>
              <w:right w:w="15" w:type="dxa"/>
            </w:tcMar>
            <w:vAlign w:val="center"/>
          </w:tcPr>
          <w:p w14:paraId="25AADEC6">
            <w:pPr>
              <w:pStyle w:val="137"/>
              <w:spacing w:line="240" w:lineRule="auto"/>
              <w:rPr>
                <w:color w:val="000000" w:themeColor="text1"/>
                <w:highlight w:val="none"/>
              </w:rPr>
            </w:pPr>
            <w:r>
              <w:rPr>
                <w:color w:val="000000" w:themeColor="text1"/>
                <w:highlight w:val="none"/>
              </w:rPr>
              <w:t>拖拉机</w:t>
            </w:r>
          </w:p>
        </w:tc>
        <w:tc>
          <w:tcPr>
            <w:tcW w:w="556" w:type="pct"/>
            <w:noWrap w:val="0"/>
            <w:tcMar>
              <w:top w:w="15" w:type="dxa"/>
              <w:left w:w="15" w:type="dxa"/>
              <w:right w:w="15" w:type="dxa"/>
            </w:tcMar>
            <w:vAlign w:val="center"/>
          </w:tcPr>
          <w:p w14:paraId="1B411DCA">
            <w:pPr>
              <w:pStyle w:val="137"/>
              <w:spacing w:line="240" w:lineRule="auto"/>
              <w:rPr>
                <w:color w:val="000000" w:themeColor="text1"/>
                <w:highlight w:val="none"/>
              </w:rPr>
            </w:pPr>
            <w:r>
              <w:rPr>
                <w:color w:val="000000" w:themeColor="text1"/>
                <w:highlight w:val="none"/>
              </w:rPr>
              <w:t>合计</w:t>
            </w:r>
          </w:p>
        </w:tc>
      </w:tr>
      <w:tr w14:paraId="7CE00E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55" w:type="pct"/>
            <w:noWrap w:val="0"/>
            <w:tcMar>
              <w:top w:w="15" w:type="dxa"/>
              <w:left w:w="15" w:type="dxa"/>
              <w:right w:w="15" w:type="dxa"/>
            </w:tcMar>
            <w:vAlign w:val="center"/>
          </w:tcPr>
          <w:p w14:paraId="4477AE0C">
            <w:pPr>
              <w:pStyle w:val="137"/>
              <w:spacing w:line="240" w:lineRule="auto"/>
              <w:rPr>
                <w:rFonts w:hint="default"/>
                <w:color w:val="000000" w:themeColor="text1"/>
                <w:highlight w:val="none"/>
              </w:rPr>
            </w:pPr>
            <w:r>
              <w:rPr>
                <w:rFonts w:hint="default"/>
                <w:color w:val="000000" w:themeColor="text1"/>
                <w:highlight w:val="none"/>
              </w:rPr>
              <w:t>202</w:t>
            </w:r>
            <w:r>
              <w:rPr>
                <w:rFonts w:hint="eastAsia"/>
                <w:color w:val="000000" w:themeColor="text1"/>
                <w:highlight w:val="none"/>
                <w:lang w:val="en-US" w:eastAsia="zh-CN"/>
              </w:rPr>
              <w:t>7</w:t>
            </w:r>
            <w:r>
              <w:rPr>
                <w:color w:val="000000" w:themeColor="text1"/>
                <w:highlight w:val="none"/>
              </w:rPr>
              <w:t>年</w:t>
            </w:r>
          </w:p>
        </w:tc>
        <w:tc>
          <w:tcPr>
            <w:tcW w:w="555" w:type="pct"/>
            <w:noWrap w:val="0"/>
            <w:tcMar>
              <w:top w:w="15" w:type="dxa"/>
              <w:left w:w="15" w:type="dxa"/>
              <w:right w:w="15" w:type="dxa"/>
            </w:tcMar>
            <w:vAlign w:val="center"/>
          </w:tcPr>
          <w:p w14:paraId="5E558159">
            <w:pPr>
              <w:pStyle w:val="137"/>
              <w:spacing w:line="240" w:lineRule="auto"/>
              <w:rPr>
                <w:color w:val="000000" w:themeColor="text1"/>
                <w:highlight w:val="none"/>
              </w:rPr>
            </w:pPr>
            <w:r>
              <w:rPr>
                <w:rFonts w:hint="default"/>
                <w:color w:val="000000" w:themeColor="text1"/>
                <w:highlight w:val="none"/>
              </w:rPr>
              <w:t>6.6%</w:t>
            </w:r>
          </w:p>
        </w:tc>
        <w:tc>
          <w:tcPr>
            <w:tcW w:w="555" w:type="pct"/>
            <w:noWrap w:val="0"/>
            <w:tcMar>
              <w:top w:w="15" w:type="dxa"/>
              <w:left w:w="15" w:type="dxa"/>
              <w:right w:w="15" w:type="dxa"/>
            </w:tcMar>
            <w:vAlign w:val="center"/>
          </w:tcPr>
          <w:p w14:paraId="4763EE98">
            <w:pPr>
              <w:pStyle w:val="137"/>
              <w:spacing w:line="240" w:lineRule="auto"/>
              <w:rPr>
                <w:color w:val="000000" w:themeColor="text1"/>
                <w:highlight w:val="none"/>
              </w:rPr>
            </w:pPr>
            <w:r>
              <w:rPr>
                <w:rFonts w:hint="default"/>
                <w:color w:val="000000" w:themeColor="text1"/>
                <w:highlight w:val="none"/>
              </w:rPr>
              <w:t>5.7%</w:t>
            </w:r>
          </w:p>
        </w:tc>
        <w:tc>
          <w:tcPr>
            <w:tcW w:w="555" w:type="pct"/>
            <w:noWrap w:val="0"/>
            <w:tcMar>
              <w:top w:w="15" w:type="dxa"/>
              <w:left w:w="15" w:type="dxa"/>
              <w:right w:w="15" w:type="dxa"/>
            </w:tcMar>
            <w:vAlign w:val="center"/>
          </w:tcPr>
          <w:p w14:paraId="6ED156F7">
            <w:pPr>
              <w:pStyle w:val="137"/>
              <w:spacing w:line="240" w:lineRule="auto"/>
              <w:rPr>
                <w:color w:val="000000" w:themeColor="text1"/>
                <w:highlight w:val="none"/>
              </w:rPr>
            </w:pPr>
            <w:r>
              <w:rPr>
                <w:rFonts w:hint="default"/>
                <w:color w:val="000000" w:themeColor="text1"/>
                <w:highlight w:val="none"/>
              </w:rPr>
              <w:t>3.0%</w:t>
            </w:r>
          </w:p>
        </w:tc>
        <w:tc>
          <w:tcPr>
            <w:tcW w:w="555" w:type="pct"/>
            <w:noWrap w:val="0"/>
            <w:tcMar>
              <w:top w:w="15" w:type="dxa"/>
              <w:left w:w="15" w:type="dxa"/>
              <w:right w:w="15" w:type="dxa"/>
            </w:tcMar>
            <w:vAlign w:val="center"/>
          </w:tcPr>
          <w:p w14:paraId="0617326D">
            <w:pPr>
              <w:pStyle w:val="137"/>
              <w:spacing w:line="240" w:lineRule="auto"/>
              <w:rPr>
                <w:color w:val="000000" w:themeColor="text1"/>
                <w:highlight w:val="none"/>
              </w:rPr>
            </w:pPr>
            <w:r>
              <w:rPr>
                <w:rFonts w:hint="default"/>
                <w:color w:val="000000" w:themeColor="text1"/>
                <w:highlight w:val="none"/>
              </w:rPr>
              <w:t>2.0%</w:t>
            </w:r>
          </w:p>
        </w:tc>
        <w:tc>
          <w:tcPr>
            <w:tcW w:w="555" w:type="pct"/>
            <w:noWrap w:val="0"/>
            <w:tcMar>
              <w:top w:w="15" w:type="dxa"/>
              <w:left w:w="15" w:type="dxa"/>
              <w:right w:w="15" w:type="dxa"/>
            </w:tcMar>
            <w:vAlign w:val="center"/>
          </w:tcPr>
          <w:p w14:paraId="4792D56A">
            <w:pPr>
              <w:pStyle w:val="137"/>
              <w:spacing w:line="240" w:lineRule="auto"/>
              <w:rPr>
                <w:color w:val="000000" w:themeColor="text1"/>
                <w:highlight w:val="none"/>
              </w:rPr>
            </w:pPr>
            <w:r>
              <w:rPr>
                <w:rFonts w:hint="default"/>
                <w:color w:val="000000" w:themeColor="text1"/>
                <w:highlight w:val="none"/>
              </w:rPr>
              <w:t>68.4%</w:t>
            </w:r>
          </w:p>
        </w:tc>
        <w:tc>
          <w:tcPr>
            <w:tcW w:w="555" w:type="pct"/>
            <w:noWrap w:val="0"/>
            <w:tcMar>
              <w:top w:w="15" w:type="dxa"/>
              <w:left w:w="15" w:type="dxa"/>
              <w:right w:w="15" w:type="dxa"/>
            </w:tcMar>
            <w:vAlign w:val="center"/>
          </w:tcPr>
          <w:p w14:paraId="7D204D4B">
            <w:pPr>
              <w:pStyle w:val="137"/>
              <w:spacing w:line="240" w:lineRule="auto"/>
              <w:rPr>
                <w:color w:val="000000" w:themeColor="text1"/>
                <w:highlight w:val="none"/>
              </w:rPr>
            </w:pPr>
            <w:r>
              <w:rPr>
                <w:rFonts w:hint="default"/>
                <w:color w:val="000000" w:themeColor="text1"/>
                <w:highlight w:val="none"/>
              </w:rPr>
              <w:t>4.1%</w:t>
            </w:r>
          </w:p>
        </w:tc>
        <w:tc>
          <w:tcPr>
            <w:tcW w:w="555" w:type="pct"/>
            <w:noWrap w:val="0"/>
            <w:tcMar>
              <w:top w:w="15" w:type="dxa"/>
              <w:left w:w="15" w:type="dxa"/>
              <w:right w:w="15" w:type="dxa"/>
            </w:tcMar>
            <w:vAlign w:val="center"/>
          </w:tcPr>
          <w:p w14:paraId="3F17A12C">
            <w:pPr>
              <w:pStyle w:val="137"/>
              <w:spacing w:line="240" w:lineRule="auto"/>
              <w:rPr>
                <w:color w:val="000000" w:themeColor="text1"/>
                <w:highlight w:val="none"/>
              </w:rPr>
            </w:pPr>
            <w:r>
              <w:rPr>
                <w:rFonts w:hint="default"/>
                <w:color w:val="000000" w:themeColor="text1"/>
                <w:highlight w:val="none"/>
              </w:rPr>
              <w:t>10.2%</w:t>
            </w:r>
          </w:p>
        </w:tc>
        <w:tc>
          <w:tcPr>
            <w:tcW w:w="556" w:type="pct"/>
            <w:noWrap w:val="0"/>
            <w:tcMar>
              <w:top w:w="15" w:type="dxa"/>
              <w:left w:w="15" w:type="dxa"/>
              <w:right w:w="15" w:type="dxa"/>
            </w:tcMar>
            <w:vAlign w:val="center"/>
          </w:tcPr>
          <w:p w14:paraId="168718AF">
            <w:pPr>
              <w:pStyle w:val="137"/>
              <w:spacing w:line="240" w:lineRule="auto"/>
              <w:rPr>
                <w:color w:val="000000" w:themeColor="text1"/>
                <w:highlight w:val="none"/>
              </w:rPr>
            </w:pPr>
            <w:r>
              <w:rPr>
                <w:rFonts w:hint="default"/>
                <w:color w:val="000000" w:themeColor="text1"/>
                <w:highlight w:val="none"/>
              </w:rPr>
              <w:t>100.0%</w:t>
            </w:r>
          </w:p>
        </w:tc>
      </w:tr>
      <w:tr w14:paraId="538743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55" w:type="pct"/>
            <w:noWrap w:val="0"/>
            <w:tcMar>
              <w:top w:w="15" w:type="dxa"/>
              <w:left w:w="15" w:type="dxa"/>
              <w:right w:w="15" w:type="dxa"/>
            </w:tcMar>
            <w:vAlign w:val="center"/>
          </w:tcPr>
          <w:p w14:paraId="3D8B95F5">
            <w:pPr>
              <w:pStyle w:val="137"/>
              <w:spacing w:line="240" w:lineRule="auto"/>
              <w:rPr>
                <w:rFonts w:hint="default"/>
                <w:color w:val="000000" w:themeColor="text1"/>
                <w:highlight w:val="none"/>
              </w:rPr>
            </w:pPr>
            <w:r>
              <w:rPr>
                <w:rFonts w:hint="default"/>
                <w:color w:val="000000" w:themeColor="text1"/>
                <w:highlight w:val="none"/>
              </w:rPr>
              <w:t>20</w:t>
            </w:r>
            <w:r>
              <w:rPr>
                <w:rFonts w:hint="eastAsia"/>
                <w:color w:val="000000" w:themeColor="text1"/>
                <w:highlight w:val="none"/>
                <w:lang w:val="en-US" w:eastAsia="zh-CN"/>
              </w:rPr>
              <w:t>33</w:t>
            </w:r>
            <w:r>
              <w:rPr>
                <w:color w:val="000000" w:themeColor="text1"/>
                <w:highlight w:val="none"/>
              </w:rPr>
              <w:t>年</w:t>
            </w:r>
          </w:p>
        </w:tc>
        <w:tc>
          <w:tcPr>
            <w:tcW w:w="555" w:type="pct"/>
            <w:noWrap w:val="0"/>
            <w:tcMar>
              <w:top w:w="15" w:type="dxa"/>
              <w:left w:w="15" w:type="dxa"/>
              <w:right w:w="15" w:type="dxa"/>
            </w:tcMar>
            <w:vAlign w:val="center"/>
          </w:tcPr>
          <w:p w14:paraId="224DE1C2">
            <w:pPr>
              <w:pStyle w:val="137"/>
              <w:spacing w:line="240" w:lineRule="auto"/>
              <w:rPr>
                <w:color w:val="000000" w:themeColor="text1"/>
                <w:highlight w:val="none"/>
              </w:rPr>
            </w:pPr>
            <w:r>
              <w:rPr>
                <w:rFonts w:hint="default"/>
                <w:color w:val="000000" w:themeColor="text1"/>
                <w:highlight w:val="none"/>
              </w:rPr>
              <w:t>6.2%</w:t>
            </w:r>
          </w:p>
        </w:tc>
        <w:tc>
          <w:tcPr>
            <w:tcW w:w="555" w:type="pct"/>
            <w:noWrap w:val="0"/>
            <w:tcMar>
              <w:top w:w="15" w:type="dxa"/>
              <w:left w:w="15" w:type="dxa"/>
              <w:right w:w="15" w:type="dxa"/>
            </w:tcMar>
            <w:vAlign w:val="center"/>
          </w:tcPr>
          <w:p w14:paraId="62E133AD">
            <w:pPr>
              <w:pStyle w:val="137"/>
              <w:spacing w:line="240" w:lineRule="auto"/>
              <w:rPr>
                <w:color w:val="000000" w:themeColor="text1"/>
                <w:highlight w:val="none"/>
              </w:rPr>
            </w:pPr>
            <w:r>
              <w:rPr>
                <w:rFonts w:hint="default"/>
                <w:color w:val="000000" w:themeColor="text1"/>
                <w:highlight w:val="none"/>
              </w:rPr>
              <w:t>5.0%</w:t>
            </w:r>
          </w:p>
        </w:tc>
        <w:tc>
          <w:tcPr>
            <w:tcW w:w="555" w:type="pct"/>
            <w:noWrap w:val="0"/>
            <w:tcMar>
              <w:top w:w="15" w:type="dxa"/>
              <w:left w:w="15" w:type="dxa"/>
              <w:right w:w="15" w:type="dxa"/>
            </w:tcMar>
            <w:vAlign w:val="center"/>
          </w:tcPr>
          <w:p w14:paraId="3E7C0CD7">
            <w:pPr>
              <w:pStyle w:val="137"/>
              <w:spacing w:line="240" w:lineRule="auto"/>
              <w:rPr>
                <w:color w:val="000000" w:themeColor="text1"/>
                <w:highlight w:val="none"/>
              </w:rPr>
            </w:pPr>
            <w:r>
              <w:rPr>
                <w:rFonts w:hint="default"/>
                <w:color w:val="000000" w:themeColor="text1"/>
                <w:highlight w:val="none"/>
              </w:rPr>
              <w:t>3.2%</w:t>
            </w:r>
          </w:p>
        </w:tc>
        <w:tc>
          <w:tcPr>
            <w:tcW w:w="555" w:type="pct"/>
            <w:noWrap w:val="0"/>
            <w:tcMar>
              <w:top w:w="15" w:type="dxa"/>
              <w:left w:w="15" w:type="dxa"/>
              <w:right w:w="15" w:type="dxa"/>
            </w:tcMar>
            <w:vAlign w:val="center"/>
          </w:tcPr>
          <w:p w14:paraId="3BD760C1">
            <w:pPr>
              <w:pStyle w:val="137"/>
              <w:spacing w:line="240" w:lineRule="auto"/>
              <w:rPr>
                <w:color w:val="000000" w:themeColor="text1"/>
                <w:highlight w:val="none"/>
              </w:rPr>
            </w:pPr>
            <w:r>
              <w:rPr>
                <w:rFonts w:hint="default"/>
                <w:color w:val="000000" w:themeColor="text1"/>
                <w:highlight w:val="none"/>
              </w:rPr>
              <w:t>2.5%</w:t>
            </w:r>
          </w:p>
        </w:tc>
        <w:tc>
          <w:tcPr>
            <w:tcW w:w="555" w:type="pct"/>
            <w:noWrap w:val="0"/>
            <w:tcMar>
              <w:top w:w="15" w:type="dxa"/>
              <w:left w:w="15" w:type="dxa"/>
              <w:right w:w="15" w:type="dxa"/>
            </w:tcMar>
            <w:vAlign w:val="center"/>
          </w:tcPr>
          <w:p w14:paraId="5817D0C6">
            <w:pPr>
              <w:pStyle w:val="137"/>
              <w:spacing w:line="240" w:lineRule="auto"/>
              <w:rPr>
                <w:color w:val="000000" w:themeColor="text1"/>
                <w:highlight w:val="none"/>
              </w:rPr>
            </w:pPr>
            <w:r>
              <w:rPr>
                <w:rFonts w:hint="default"/>
                <w:color w:val="000000" w:themeColor="text1"/>
                <w:highlight w:val="none"/>
              </w:rPr>
              <w:t>69.9%</w:t>
            </w:r>
          </w:p>
        </w:tc>
        <w:tc>
          <w:tcPr>
            <w:tcW w:w="555" w:type="pct"/>
            <w:noWrap w:val="0"/>
            <w:tcMar>
              <w:top w:w="15" w:type="dxa"/>
              <w:left w:w="15" w:type="dxa"/>
              <w:right w:w="15" w:type="dxa"/>
            </w:tcMar>
            <w:vAlign w:val="center"/>
          </w:tcPr>
          <w:p w14:paraId="149D3147">
            <w:pPr>
              <w:pStyle w:val="137"/>
              <w:spacing w:line="240" w:lineRule="auto"/>
              <w:rPr>
                <w:color w:val="000000" w:themeColor="text1"/>
                <w:highlight w:val="none"/>
              </w:rPr>
            </w:pPr>
            <w:r>
              <w:rPr>
                <w:rFonts w:hint="default"/>
                <w:color w:val="000000" w:themeColor="text1"/>
                <w:highlight w:val="none"/>
              </w:rPr>
              <w:t>4.0%</w:t>
            </w:r>
          </w:p>
        </w:tc>
        <w:tc>
          <w:tcPr>
            <w:tcW w:w="555" w:type="pct"/>
            <w:noWrap w:val="0"/>
            <w:tcMar>
              <w:top w:w="15" w:type="dxa"/>
              <w:left w:w="15" w:type="dxa"/>
              <w:right w:w="15" w:type="dxa"/>
            </w:tcMar>
            <w:vAlign w:val="center"/>
          </w:tcPr>
          <w:p w14:paraId="1FF21F42">
            <w:pPr>
              <w:pStyle w:val="137"/>
              <w:spacing w:line="240" w:lineRule="auto"/>
              <w:rPr>
                <w:color w:val="000000" w:themeColor="text1"/>
                <w:highlight w:val="none"/>
              </w:rPr>
            </w:pPr>
            <w:r>
              <w:rPr>
                <w:rFonts w:hint="default"/>
                <w:color w:val="000000" w:themeColor="text1"/>
                <w:highlight w:val="none"/>
              </w:rPr>
              <w:t>9.1%</w:t>
            </w:r>
          </w:p>
        </w:tc>
        <w:tc>
          <w:tcPr>
            <w:tcW w:w="556" w:type="pct"/>
            <w:noWrap w:val="0"/>
            <w:tcMar>
              <w:top w:w="15" w:type="dxa"/>
              <w:left w:w="15" w:type="dxa"/>
              <w:right w:w="15" w:type="dxa"/>
            </w:tcMar>
            <w:vAlign w:val="center"/>
          </w:tcPr>
          <w:p w14:paraId="30C09540">
            <w:pPr>
              <w:pStyle w:val="137"/>
              <w:spacing w:line="240" w:lineRule="auto"/>
              <w:rPr>
                <w:color w:val="000000" w:themeColor="text1"/>
                <w:highlight w:val="none"/>
              </w:rPr>
            </w:pPr>
            <w:r>
              <w:rPr>
                <w:rFonts w:hint="default"/>
                <w:color w:val="000000" w:themeColor="text1"/>
                <w:highlight w:val="none"/>
              </w:rPr>
              <w:t>100.0%</w:t>
            </w:r>
          </w:p>
        </w:tc>
      </w:tr>
      <w:tr w14:paraId="4748FB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55" w:type="pct"/>
            <w:noWrap w:val="0"/>
            <w:tcMar>
              <w:top w:w="15" w:type="dxa"/>
              <w:left w:w="15" w:type="dxa"/>
              <w:right w:w="15" w:type="dxa"/>
            </w:tcMar>
            <w:vAlign w:val="center"/>
          </w:tcPr>
          <w:p w14:paraId="572642A7">
            <w:pPr>
              <w:pStyle w:val="137"/>
              <w:spacing w:line="240" w:lineRule="auto"/>
              <w:rPr>
                <w:color w:val="000000" w:themeColor="text1"/>
                <w:highlight w:val="none"/>
              </w:rPr>
            </w:pPr>
            <w:r>
              <w:rPr>
                <w:rFonts w:hint="default"/>
                <w:color w:val="000000" w:themeColor="text1"/>
                <w:highlight w:val="none"/>
              </w:rPr>
              <w:t>20</w:t>
            </w:r>
            <w:r>
              <w:rPr>
                <w:rFonts w:hint="eastAsia"/>
                <w:color w:val="000000" w:themeColor="text1"/>
                <w:highlight w:val="none"/>
                <w:lang w:val="en-US" w:eastAsia="zh-CN"/>
              </w:rPr>
              <w:t>41</w:t>
            </w:r>
            <w:r>
              <w:rPr>
                <w:color w:val="000000" w:themeColor="text1"/>
                <w:highlight w:val="none"/>
              </w:rPr>
              <w:t>年</w:t>
            </w:r>
          </w:p>
        </w:tc>
        <w:tc>
          <w:tcPr>
            <w:tcW w:w="555" w:type="pct"/>
            <w:noWrap w:val="0"/>
            <w:tcMar>
              <w:top w:w="15" w:type="dxa"/>
              <w:left w:w="15" w:type="dxa"/>
              <w:right w:w="15" w:type="dxa"/>
            </w:tcMar>
            <w:vAlign w:val="center"/>
          </w:tcPr>
          <w:p w14:paraId="13EC2A1C">
            <w:pPr>
              <w:pStyle w:val="137"/>
              <w:spacing w:line="240" w:lineRule="auto"/>
              <w:rPr>
                <w:color w:val="000000" w:themeColor="text1"/>
                <w:highlight w:val="none"/>
              </w:rPr>
            </w:pPr>
            <w:r>
              <w:rPr>
                <w:rFonts w:hint="default"/>
                <w:color w:val="000000" w:themeColor="text1"/>
                <w:highlight w:val="none"/>
              </w:rPr>
              <w:t>6.0%</w:t>
            </w:r>
          </w:p>
        </w:tc>
        <w:tc>
          <w:tcPr>
            <w:tcW w:w="555" w:type="pct"/>
            <w:noWrap w:val="0"/>
            <w:tcMar>
              <w:top w:w="15" w:type="dxa"/>
              <w:left w:w="15" w:type="dxa"/>
              <w:right w:w="15" w:type="dxa"/>
            </w:tcMar>
            <w:vAlign w:val="center"/>
          </w:tcPr>
          <w:p w14:paraId="40CB67ED">
            <w:pPr>
              <w:pStyle w:val="137"/>
              <w:spacing w:line="240" w:lineRule="auto"/>
              <w:rPr>
                <w:color w:val="000000" w:themeColor="text1"/>
                <w:highlight w:val="none"/>
              </w:rPr>
            </w:pPr>
            <w:r>
              <w:rPr>
                <w:rFonts w:hint="default"/>
                <w:color w:val="000000" w:themeColor="text1"/>
                <w:highlight w:val="none"/>
              </w:rPr>
              <w:t>4.5%</w:t>
            </w:r>
          </w:p>
        </w:tc>
        <w:tc>
          <w:tcPr>
            <w:tcW w:w="555" w:type="pct"/>
            <w:noWrap w:val="0"/>
            <w:tcMar>
              <w:top w:w="15" w:type="dxa"/>
              <w:left w:w="15" w:type="dxa"/>
              <w:right w:w="15" w:type="dxa"/>
            </w:tcMar>
            <w:vAlign w:val="center"/>
          </w:tcPr>
          <w:p w14:paraId="18934675">
            <w:pPr>
              <w:pStyle w:val="137"/>
              <w:spacing w:line="240" w:lineRule="auto"/>
              <w:rPr>
                <w:color w:val="000000" w:themeColor="text1"/>
                <w:highlight w:val="none"/>
              </w:rPr>
            </w:pPr>
            <w:r>
              <w:rPr>
                <w:rFonts w:hint="default"/>
                <w:color w:val="000000" w:themeColor="text1"/>
                <w:highlight w:val="none"/>
              </w:rPr>
              <w:t>3.2%</w:t>
            </w:r>
          </w:p>
        </w:tc>
        <w:tc>
          <w:tcPr>
            <w:tcW w:w="555" w:type="pct"/>
            <w:noWrap w:val="0"/>
            <w:tcMar>
              <w:top w:w="15" w:type="dxa"/>
              <w:left w:w="15" w:type="dxa"/>
              <w:right w:w="15" w:type="dxa"/>
            </w:tcMar>
            <w:vAlign w:val="center"/>
          </w:tcPr>
          <w:p w14:paraId="2B7531A1">
            <w:pPr>
              <w:pStyle w:val="137"/>
              <w:spacing w:line="240" w:lineRule="auto"/>
              <w:rPr>
                <w:color w:val="000000" w:themeColor="text1"/>
                <w:highlight w:val="none"/>
              </w:rPr>
            </w:pPr>
            <w:r>
              <w:rPr>
                <w:rFonts w:hint="default"/>
                <w:color w:val="000000" w:themeColor="text1"/>
                <w:highlight w:val="none"/>
              </w:rPr>
              <w:t>2.9%</w:t>
            </w:r>
          </w:p>
        </w:tc>
        <w:tc>
          <w:tcPr>
            <w:tcW w:w="555" w:type="pct"/>
            <w:noWrap w:val="0"/>
            <w:tcMar>
              <w:top w:w="15" w:type="dxa"/>
              <w:left w:w="15" w:type="dxa"/>
              <w:right w:w="15" w:type="dxa"/>
            </w:tcMar>
            <w:vAlign w:val="center"/>
          </w:tcPr>
          <w:p w14:paraId="36221C9D">
            <w:pPr>
              <w:pStyle w:val="137"/>
              <w:spacing w:line="240" w:lineRule="auto"/>
              <w:rPr>
                <w:color w:val="000000" w:themeColor="text1"/>
                <w:highlight w:val="none"/>
              </w:rPr>
            </w:pPr>
            <w:r>
              <w:rPr>
                <w:rFonts w:hint="default"/>
                <w:color w:val="000000" w:themeColor="text1"/>
                <w:highlight w:val="none"/>
              </w:rPr>
              <w:t>71.4%</w:t>
            </w:r>
          </w:p>
        </w:tc>
        <w:tc>
          <w:tcPr>
            <w:tcW w:w="555" w:type="pct"/>
            <w:noWrap w:val="0"/>
            <w:tcMar>
              <w:top w:w="15" w:type="dxa"/>
              <w:left w:w="15" w:type="dxa"/>
              <w:right w:w="15" w:type="dxa"/>
            </w:tcMar>
            <w:vAlign w:val="center"/>
          </w:tcPr>
          <w:p w14:paraId="3463E19F">
            <w:pPr>
              <w:pStyle w:val="137"/>
              <w:spacing w:line="240" w:lineRule="auto"/>
              <w:rPr>
                <w:color w:val="000000" w:themeColor="text1"/>
                <w:highlight w:val="none"/>
              </w:rPr>
            </w:pPr>
            <w:r>
              <w:rPr>
                <w:rFonts w:hint="default"/>
                <w:color w:val="000000" w:themeColor="text1"/>
                <w:highlight w:val="none"/>
              </w:rPr>
              <w:t>3.9%</w:t>
            </w:r>
          </w:p>
        </w:tc>
        <w:tc>
          <w:tcPr>
            <w:tcW w:w="555" w:type="pct"/>
            <w:noWrap w:val="0"/>
            <w:tcMar>
              <w:top w:w="15" w:type="dxa"/>
              <w:left w:w="15" w:type="dxa"/>
              <w:right w:w="15" w:type="dxa"/>
            </w:tcMar>
            <w:vAlign w:val="center"/>
          </w:tcPr>
          <w:p w14:paraId="4D7FACC7">
            <w:pPr>
              <w:pStyle w:val="137"/>
              <w:spacing w:line="240" w:lineRule="auto"/>
              <w:rPr>
                <w:color w:val="000000" w:themeColor="text1"/>
                <w:highlight w:val="none"/>
              </w:rPr>
            </w:pPr>
            <w:r>
              <w:rPr>
                <w:rFonts w:hint="default"/>
                <w:color w:val="000000" w:themeColor="text1"/>
                <w:highlight w:val="none"/>
              </w:rPr>
              <w:t>8.2%</w:t>
            </w:r>
          </w:p>
        </w:tc>
        <w:tc>
          <w:tcPr>
            <w:tcW w:w="556" w:type="pct"/>
            <w:noWrap w:val="0"/>
            <w:tcMar>
              <w:top w:w="15" w:type="dxa"/>
              <w:left w:w="15" w:type="dxa"/>
              <w:right w:w="15" w:type="dxa"/>
            </w:tcMar>
            <w:vAlign w:val="center"/>
          </w:tcPr>
          <w:p w14:paraId="6F7727CA">
            <w:pPr>
              <w:pStyle w:val="137"/>
              <w:spacing w:line="240" w:lineRule="auto"/>
              <w:rPr>
                <w:color w:val="000000" w:themeColor="text1"/>
                <w:highlight w:val="none"/>
              </w:rPr>
            </w:pPr>
            <w:r>
              <w:rPr>
                <w:rFonts w:hint="default"/>
                <w:color w:val="000000" w:themeColor="text1"/>
                <w:highlight w:val="none"/>
              </w:rPr>
              <w:t>100.0%</w:t>
            </w:r>
          </w:p>
        </w:tc>
      </w:tr>
    </w:tbl>
    <w:p w14:paraId="43D8AD88">
      <w:pPr>
        <w:pageBreakBefore w:val="0"/>
        <w:wordWrap/>
        <w:topLinePunct w:val="0"/>
        <w:bidi w:val="0"/>
        <w:spacing w:line="360" w:lineRule="auto"/>
        <w:ind w:firstLine="140" w:firstLineChars="58"/>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 xml:space="preserve">5  </w:t>
      </w:r>
      <w:r>
        <w:rPr>
          <w:b/>
          <w:color w:val="000000" w:themeColor="text1"/>
          <w:highlight w:val="none"/>
        </w:rPr>
        <w:t>预测车流量昼夜比</w:t>
      </w:r>
    </w:p>
    <w:tbl>
      <w:tblPr>
        <w:tblStyle w:val="33"/>
        <w:tblW w:w="0" w:type="auto"/>
        <w:tblInd w:w="0" w:type="dxa"/>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2234"/>
        <w:gridCol w:w="3147"/>
        <w:gridCol w:w="3147"/>
      </w:tblGrid>
      <w:tr w14:paraId="14960CAD">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2234" w:type="dxa"/>
            <w:vAlign w:val="center"/>
          </w:tcPr>
          <w:p w14:paraId="4C04138D">
            <w:pPr>
              <w:pageBreakBefore w:val="0"/>
              <w:wordWrap/>
              <w:topLinePunct w:val="0"/>
              <w:bidi w:val="0"/>
              <w:spacing w:line="240" w:lineRule="auto"/>
              <w:ind w:firstLineChars="0"/>
              <w:jc w:val="center"/>
              <w:rPr>
                <w:snapToGrid w:val="0"/>
                <w:color w:val="000000" w:themeColor="text1"/>
                <w:sz w:val="21"/>
                <w:szCs w:val="21"/>
                <w:highlight w:val="none"/>
              </w:rPr>
            </w:pPr>
            <w:r>
              <w:rPr>
                <w:snapToGrid w:val="0"/>
                <w:color w:val="000000" w:themeColor="text1"/>
                <w:sz w:val="21"/>
                <w:szCs w:val="21"/>
                <w:highlight w:val="none"/>
              </w:rPr>
              <w:t>昼夜比</w:t>
            </w:r>
          </w:p>
        </w:tc>
        <w:tc>
          <w:tcPr>
            <w:tcW w:w="3147" w:type="dxa"/>
            <w:vAlign w:val="center"/>
          </w:tcPr>
          <w:p w14:paraId="73A6022A">
            <w:pPr>
              <w:pageBreakBefore w:val="0"/>
              <w:wordWrap/>
              <w:topLinePunct w:val="0"/>
              <w:bidi w:val="0"/>
              <w:spacing w:line="240" w:lineRule="auto"/>
              <w:ind w:firstLineChars="0"/>
              <w:jc w:val="center"/>
              <w:rPr>
                <w:snapToGrid w:val="0"/>
                <w:color w:val="000000" w:themeColor="text1"/>
                <w:sz w:val="21"/>
                <w:szCs w:val="21"/>
                <w:highlight w:val="none"/>
              </w:rPr>
            </w:pPr>
            <w:r>
              <w:rPr>
                <w:snapToGrid w:val="0"/>
                <w:color w:val="000000" w:themeColor="text1"/>
                <w:sz w:val="21"/>
                <w:szCs w:val="21"/>
                <w:highlight w:val="none"/>
              </w:rPr>
              <w:t>昼间</w:t>
            </w:r>
          </w:p>
        </w:tc>
        <w:tc>
          <w:tcPr>
            <w:tcW w:w="3147" w:type="dxa"/>
            <w:vAlign w:val="center"/>
          </w:tcPr>
          <w:p w14:paraId="3E4A5930">
            <w:pPr>
              <w:pageBreakBefore w:val="0"/>
              <w:wordWrap/>
              <w:topLinePunct w:val="0"/>
              <w:bidi w:val="0"/>
              <w:spacing w:line="240" w:lineRule="auto"/>
              <w:ind w:firstLineChars="0"/>
              <w:jc w:val="center"/>
              <w:rPr>
                <w:snapToGrid w:val="0"/>
                <w:color w:val="000000" w:themeColor="text1"/>
                <w:sz w:val="21"/>
                <w:szCs w:val="21"/>
                <w:highlight w:val="none"/>
              </w:rPr>
            </w:pPr>
            <w:r>
              <w:rPr>
                <w:snapToGrid w:val="0"/>
                <w:color w:val="000000" w:themeColor="text1"/>
                <w:sz w:val="21"/>
                <w:szCs w:val="21"/>
                <w:highlight w:val="none"/>
              </w:rPr>
              <w:t>夜间</w:t>
            </w:r>
          </w:p>
        </w:tc>
      </w:tr>
      <w:tr w14:paraId="22D795A9">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2234" w:type="dxa"/>
            <w:vAlign w:val="center"/>
          </w:tcPr>
          <w:p w14:paraId="57AD142F">
            <w:pPr>
              <w:pageBreakBefore w:val="0"/>
              <w:wordWrap/>
              <w:topLinePunct w:val="0"/>
              <w:bidi w:val="0"/>
              <w:spacing w:line="240" w:lineRule="auto"/>
              <w:ind w:firstLineChars="0"/>
              <w:jc w:val="center"/>
              <w:rPr>
                <w:snapToGrid w:val="0"/>
                <w:color w:val="000000" w:themeColor="text1"/>
                <w:sz w:val="21"/>
                <w:szCs w:val="21"/>
                <w:highlight w:val="none"/>
              </w:rPr>
            </w:pPr>
            <w:r>
              <w:rPr>
                <w:snapToGrid w:val="0"/>
                <w:color w:val="000000" w:themeColor="text1"/>
                <w:sz w:val="21"/>
                <w:szCs w:val="21"/>
                <w:highlight w:val="none"/>
              </w:rPr>
              <w:t>比例</w:t>
            </w:r>
          </w:p>
        </w:tc>
        <w:tc>
          <w:tcPr>
            <w:tcW w:w="3147" w:type="dxa"/>
            <w:vAlign w:val="center"/>
          </w:tcPr>
          <w:p w14:paraId="6C94D7FF">
            <w:pPr>
              <w:pageBreakBefore w:val="0"/>
              <w:wordWrap/>
              <w:topLinePunct w:val="0"/>
              <w:bidi w:val="0"/>
              <w:spacing w:line="240" w:lineRule="auto"/>
              <w:ind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9</w:t>
            </w:r>
            <w:r>
              <w:rPr>
                <w:snapToGrid w:val="0"/>
                <w:color w:val="000000" w:themeColor="text1"/>
                <w:sz w:val="21"/>
                <w:szCs w:val="21"/>
                <w:highlight w:val="none"/>
              </w:rPr>
              <w:t>0%</w:t>
            </w:r>
          </w:p>
        </w:tc>
        <w:tc>
          <w:tcPr>
            <w:tcW w:w="3147" w:type="dxa"/>
            <w:vAlign w:val="center"/>
          </w:tcPr>
          <w:p w14:paraId="54BA86AC">
            <w:pPr>
              <w:pageBreakBefore w:val="0"/>
              <w:wordWrap/>
              <w:topLinePunct w:val="0"/>
              <w:bidi w:val="0"/>
              <w:spacing w:line="240" w:lineRule="auto"/>
              <w:ind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1</w:t>
            </w:r>
            <w:r>
              <w:rPr>
                <w:snapToGrid w:val="0"/>
                <w:color w:val="000000" w:themeColor="text1"/>
                <w:sz w:val="21"/>
                <w:szCs w:val="21"/>
                <w:highlight w:val="none"/>
              </w:rPr>
              <w:t>0%</w:t>
            </w:r>
          </w:p>
        </w:tc>
      </w:tr>
    </w:tbl>
    <w:p w14:paraId="2E73C8FD">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6</w:t>
      </w:r>
      <w:r>
        <w:rPr>
          <w:b/>
          <w:color w:val="000000" w:themeColor="text1"/>
          <w:highlight w:val="none"/>
        </w:rPr>
        <w:t xml:space="preserve"> </w:t>
      </w:r>
      <w:r>
        <w:rPr>
          <w:rFonts w:hint="eastAsia"/>
          <w:b/>
          <w:color w:val="000000" w:themeColor="text1"/>
          <w:highlight w:val="none"/>
          <w:lang w:val="en-US" w:eastAsia="zh-CN"/>
        </w:rPr>
        <w:t xml:space="preserve"> </w:t>
      </w:r>
      <w:r>
        <w:rPr>
          <w:b/>
          <w:color w:val="000000" w:themeColor="text1"/>
          <w:highlight w:val="none"/>
        </w:rPr>
        <w:t>各</w:t>
      </w:r>
      <w:r>
        <w:rPr>
          <w:rFonts w:hint="eastAsia"/>
          <w:b/>
          <w:color w:val="000000" w:themeColor="text1"/>
          <w:highlight w:val="none"/>
        </w:rPr>
        <w:t>特</w:t>
      </w:r>
      <w:r>
        <w:rPr>
          <w:b/>
          <w:color w:val="000000" w:themeColor="text1"/>
          <w:highlight w:val="none"/>
        </w:rPr>
        <w:t>征年总交通量预测结果（自然车流量）</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1600"/>
        <w:gridCol w:w="1069"/>
        <w:gridCol w:w="1332"/>
        <w:gridCol w:w="1468"/>
        <w:gridCol w:w="1474"/>
        <w:gridCol w:w="1474"/>
      </w:tblGrid>
      <w:tr w14:paraId="167519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50" w:type="pct"/>
            <w:vAlign w:val="center"/>
          </w:tcPr>
          <w:p w14:paraId="5CEDAB16">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路段名称</w:t>
            </w:r>
          </w:p>
        </w:tc>
        <w:tc>
          <w:tcPr>
            <w:tcW w:w="635" w:type="pct"/>
            <w:vAlign w:val="center"/>
          </w:tcPr>
          <w:p w14:paraId="3643C2A2">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年段</w:t>
            </w:r>
          </w:p>
        </w:tc>
        <w:tc>
          <w:tcPr>
            <w:tcW w:w="791" w:type="pct"/>
            <w:vAlign w:val="center"/>
          </w:tcPr>
          <w:p w14:paraId="184D57F0">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交通量（辆/d）</w:t>
            </w:r>
          </w:p>
        </w:tc>
        <w:tc>
          <w:tcPr>
            <w:tcW w:w="872" w:type="pct"/>
            <w:vAlign w:val="center"/>
          </w:tcPr>
          <w:p w14:paraId="52E17CE2">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昼间（辆/h）</w:t>
            </w:r>
          </w:p>
        </w:tc>
        <w:tc>
          <w:tcPr>
            <w:tcW w:w="875" w:type="pct"/>
            <w:vAlign w:val="center"/>
          </w:tcPr>
          <w:p w14:paraId="3ACAC859">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夜间（辆/h）</w:t>
            </w:r>
          </w:p>
        </w:tc>
        <w:tc>
          <w:tcPr>
            <w:tcW w:w="875" w:type="pct"/>
            <w:vAlign w:val="center"/>
          </w:tcPr>
          <w:p w14:paraId="1FE7325C">
            <w:pPr>
              <w:pStyle w:val="137"/>
              <w:spacing w:line="240" w:lineRule="auto"/>
              <w:ind w:firstLine="0" w:firstLineChars="0"/>
              <w:jc w:val="center"/>
              <w:rPr>
                <w:rFonts w:hint="eastAsia"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高峰小时</w:t>
            </w:r>
          </w:p>
        </w:tc>
      </w:tr>
      <w:tr w14:paraId="196F82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50" w:type="pct"/>
            <w:vMerge w:val="restart"/>
            <w:vAlign w:val="center"/>
          </w:tcPr>
          <w:p w14:paraId="487A6961">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lang w:val="en-US" w:eastAsia="zh-CN"/>
              </w:rPr>
              <w:t>机场进场路主线及</w:t>
            </w:r>
            <w:r>
              <w:rPr>
                <w:rFonts w:hint="eastAsia" w:ascii="Times New Roman" w:hAnsi="Times New Roman" w:eastAsia="宋体"/>
                <w:color w:val="000000" w:themeColor="text1"/>
                <w:highlight w:val="none"/>
                <w:lang w:val="en-US" w:eastAsia="zh-CN"/>
              </w:rPr>
              <w:t>连接线</w:t>
            </w:r>
          </w:p>
        </w:tc>
        <w:tc>
          <w:tcPr>
            <w:tcW w:w="635" w:type="pct"/>
            <w:vAlign w:val="center"/>
          </w:tcPr>
          <w:p w14:paraId="1CF52B82">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202</w:t>
            </w:r>
            <w:r>
              <w:rPr>
                <w:rFonts w:hint="eastAsia" w:ascii="Times New Roman" w:hAnsi="Times New Roman" w:eastAsia="宋体"/>
                <w:color w:val="000000" w:themeColor="text1"/>
                <w:highlight w:val="none"/>
                <w:lang w:val="en-US" w:eastAsia="zh-CN"/>
              </w:rPr>
              <w:t>7</w:t>
            </w:r>
            <w:r>
              <w:rPr>
                <w:rFonts w:hint="default" w:ascii="Times New Roman" w:hAnsi="Times New Roman" w:eastAsia="宋体"/>
                <w:color w:val="000000" w:themeColor="text1"/>
                <w:highlight w:val="none"/>
              </w:rPr>
              <w:t>年</w:t>
            </w:r>
          </w:p>
        </w:tc>
        <w:tc>
          <w:tcPr>
            <w:tcW w:w="791" w:type="pct"/>
            <w:shd w:val="clear" w:color="auto" w:fill="auto"/>
            <w:vAlign w:val="center"/>
          </w:tcPr>
          <w:p w14:paraId="51DE289F">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967</w:t>
            </w:r>
          </w:p>
        </w:tc>
        <w:tc>
          <w:tcPr>
            <w:tcW w:w="872" w:type="pct"/>
            <w:shd w:val="clear" w:color="auto" w:fill="auto"/>
            <w:vAlign w:val="center"/>
          </w:tcPr>
          <w:p w14:paraId="05345768">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55</w:t>
            </w:r>
          </w:p>
        </w:tc>
        <w:tc>
          <w:tcPr>
            <w:tcW w:w="875" w:type="pct"/>
            <w:shd w:val="clear" w:color="auto" w:fill="auto"/>
            <w:vAlign w:val="center"/>
          </w:tcPr>
          <w:p w14:paraId="4B7F0961">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12</w:t>
            </w:r>
          </w:p>
        </w:tc>
        <w:tc>
          <w:tcPr>
            <w:tcW w:w="875" w:type="pct"/>
            <w:vAlign w:val="center"/>
          </w:tcPr>
          <w:p w14:paraId="2EFF4E98">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77</w:t>
            </w:r>
          </w:p>
        </w:tc>
      </w:tr>
      <w:tr w14:paraId="174817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50" w:type="pct"/>
            <w:vMerge w:val="continue"/>
            <w:vAlign w:val="center"/>
          </w:tcPr>
          <w:p w14:paraId="2BF76545">
            <w:pPr>
              <w:pageBreakBefore w:val="0"/>
              <w:wordWrap/>
              <w:topLinePunct w:val="0"/>
              <w:bidi w:val="0"/>
              <w:spacing w:line="360" w:lineRule="auto"/>
              <w:ind w:firstLine="0" w:firstLineChars="0"/>
              <w:jc w:val="center"/>
              <w:rPr>
                <w:color w:val="000000" w:themeColor="text1"/>
                <w:kern w:val="0"/>
                <w:sz w:val="21"/>
                <w:szCs w:val="21"/>
                <w:highlight w:val="none"/>
              </w:rPr>
            </w:pPr>
          </w:p>
        </w:tc>
        <w:tc>
          <w:tcPr>
            <w:tcW w:w="635" w:type="pct"/>
            <w:vAlign w:val="center"/>
          </w:tcPr>
          <w:p w14:paraId="2ADEDFB2">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203</w:t>
            </w:r>
            <w:r>
              <w:rPr>
                <w:rFonts w:hint="eastAsia" w:ascii="Times New Roman" w:hAnsi="Times New Roman" w:eastAsia="宋体"/>
                <w:color w:val="000000" w:themeColor="text1"/>
                <w:highlight w:val="none"/>
                <w:lang w:val="en-US" w:eastAsia="zh-CN"/>
              </w:rPr>
              <w:t>3</w:t>
            </w:r>
            <w:r>
              <w:rPr>
                <w:rFonts w:hint="default" w:ascii="Times New Roman" w:hAnsi="Times New Roman" w:eastAsia="宋体"/>
                <w:color w:val="000000" w:themeColor="text1"/>
                <w:highlight w:val="none"/>
              </w:rPr>
              <w:t>年</w:t>
            </w:r>
          </w:p>
        </w:tc>
        <w:tc>
          <w:tcPr>
            <w:tcW w:w="791" w:type="pct"/>
            <w:shd w:val="clear" w:color="auto" w:fill="auto"/>
            <w:vAlign w:val="center"/>
          </w:tcPr>
          <w:p w14:paraId="4E3E37A4">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default" w:ascii="Times New Roman" w:hAnsi="Times New Roman" w:eastAsia="宋体"/>
                <w:color w:val="000000" w:themeColor="text1"/>
                <w:highlight w:val="none"/>
              </w:rPr>
              <w:t>3614</w:t>
            </w:r>
          </w:p>
        </w:tc>
        <w:tc>
          <w:tcPr>
            <w:tcW w:w="872" w:type="pct"/>
            <w:shd w:val="clear" w:color="auto" w:fill="auto"/>
            <w:vAlign w:val="center"/>
          </w:tcPr>
          <w:p w14:paraId="2BA3E5DB">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default" w:ascii="Times New Roman" w:hAnsi="Times New Roman" w:eastAsia="宋体"/>
                <w:color w:val="000000" w:themeColor="text1"/>
                <w:highlight w:val="none"/>
              </w:rPr>
              <w:t>203</w:t>
            </w:r>
          </w:p>
        </w:tc>
        <w:tc>
          <w:tcPr>
            <w:tcW w:w="875" w:type="pct"/>
            <w:shd w:val="clear" w:color="auto" w:fill="auto"/>
            <w:vAlign w:val="center"/>
          </w:tcPr>
          <w:p w14:paraId="6F841A2B">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default" w:ascii="Times New Roman" w:hAnsi="Times New Roman" w:eastAsia="宋体"/>
                <w:color w:val="000000" w:themeColor="text1"/>
                <w:highlight w:val="none"/>
              </w:rPr>
              <w:t>45</w:t>
            </w:r>
          </w:p>
        </w:tc>
        <w:tc>
          <w:tcPr>
            <w:tcW w:w="875" w:type="pct"/>
            <w:vAlign w:val="center"/>
          </w:tcPr>
          <w:p w14:paraId="65B55511">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289</w:t>
            </w:r>
          </w:p>
        </w:tc>
      </w:tr>
      <w:tr w14:paraId="655260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950" w:type="pct"/>
            <w:vMerge w:val="continue"/>
            <w:vAlign w:val="center"/>
          </w:tcPr>
          <w:p w14:paraId="32486F6B">
            <w:pPr>
              <w:pageBreakBefore w:val="0"/>
              <w:wordWrap/>
              <w:topLinePunct w:val="0"/>
              <w:bidi w:val="0"/>
              <w:spacing w:line="360" w:lineRule="auto"/>
              <w:ind w:firstLine="0" w:firstLineChars="0"/>
              <w:jc w:val="center"/>
              <w:rPr>
                <w:color w:val="000000" w:themeColor="text1"/>
                <w:kern w:val="0"/>
                <w:sz w:val="21"/>
                <w:szCs w:val="21"/>
                <w:highlight w:val="none"/>
              </w:rPr>
            </w:pPr>
          </w:p>
        </w:tc>
        <w:tc>
          <w:tcPr>
            <w:tcW w:w="635" w:type="pct"/>
            <w:vAlign w:val="center"/>
          </w:tcPr>
          <w:p w14:paraId="49C0149C">
            <w:pPr>
              <w:pStyle w:val="137"/>
              <w:spacing w:line="240" w:lineRule="auto"/>
              <w:ind w:firstLine="0" w:firstLineChars="0"/>
              <w:jc w:val="center"/>
              <w:rPr>
                <w:rFonts w:hint="default" w:ascii="Times New Roman" w:hAnsi="Times New Roman" w:eastAsia="宋体"/>
                <w:color w:val="000000" w:themeColor="text1"/>
                <w:highlight w:val="none"/>
              </w:rPr>
            </w:pPr>
            <w:r>
              <w:rPr>
                <w:rFonts w:hint="default" w:ascii="Times New Roman" w:hAnsi="Times New Roman" w:eastAsia="宋体"/>
                <w:color w:val="000000" w:themeColor="text1"/>
                <w:highlight w:val="none"/>
              </w:rPr>
              <w:t>20</w:t>
            </w:r>
            <w:r>
              <w:rPr>
                <w:rFonts w:hint="eastAsia" w:ascii="Times New Roman" w:hAnsi="Times New Roman" w:eastAsia="宋体"/>
                <w:color w:val="000000" w:themeColor="text1"/>
                <w:highlight w:val="none"/>
                <w:lang w:val="en-US" w:eastAsia="zh-CN"/>
              </w:rPr>
              <w:t>41</w:t>
            </w:r>
            <w:r>
              <w:rPr>
                <w:rFonts w:hint="default" w:ascii="Times New Roman" w:hAnsi="Times New Roman" w:eastAsia="宋体"/>
                <w:color w:val="000000" w:themeColor="text1"/>
                <w:highlight w:val="none"/>
              </w:rPr>
              <w:t>年</w:t>
            </w:r>
          </w:p>
        </w:tc>
        <w:tc>
          <w:tcPr>
            <w:tcW w:w="791" w:type="pct"/>
            <w:shd w:val="clear" w:color="auto" w:fill="auto"/>
            <w:vAlign w:val="center"/>
          </w:tcPr>
          <w:p w14:paraId="6B60A344">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default" w:ascii="Times New Roman" w:hAnsi="Times New Roman" w:eastAsia="宋体"/>
                <w:color w:val="000000" w:themeColor="text1"/>
                <w:highlight w:val="none"/>
              </w:rPr>
              <w:t>4836</w:t>
            </w:r>
          </w:p>
        </w:tc>
        <w:tc>
          <w:tcPr>
            <w:tcW w:w="872" w:type="pct"/>
            <w:shd w:val="clear" w:color="auto" w:fill="auto"/>
            <w:vAlign w:val="center"/>
          </w:tcPr>
          <w:p w14:paraId="6A6A8E56">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default" w:ascii="Times New Roman" w:hAnsi="Times New Roman" w:eastAsia="宋体"/>
                <w:color w:val="000000" w:themeColor="text1"/>
                <w:highlight w:val="none"/>
              </w:rPr>
              <w:t>272</w:t>
            </w:r>
          </w:p>
        </w:tc>
        <w:tc>
          <w:tcPr>
            <w:tcW w:w="875" w:type="pct"/>
            <w:shd w:val="clear" w:color="auto" w:fill="auto"/>
            <w:vAlign w:val="center"/>
          </w:tcPr>
          <w:p w14:paraId="5BAAAFB6">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default" w:ascii="Times New Roman" w:hAnsi="Times New Roman" w:eastAsia="宋体"/>
                <w:color w:val="000000" w:themeColor="text1"/>
                <w:highlight w:val="none"/>
              </w:rPr>
              <w:t>60</w:t>
            </w:r>
          </w:p>
        </w:tc>
        <w:tc>
          <w:tcPr>
            <w:tcW w:w="875" w:type="pct"/>
            <w:vAlign w:val="center"/>
          </w:tcPr>
          <w:p w14:paraId="15EC938E">
            <w:pPr>
              <w:pStyle w:val="137"/>
              <w:spacing w:line="240" w:lineRule="auto"/>
              <w:ind w:firstLine="0" w:firstLineChars="0"/>
              <w:jc w:val="center"/>
              <w:rPr>
                <w:rFonts w:hint="default" w:ascii="Times New Roman" w:hAnsi="Times New Roman" w:eastAsia="宋体"/>
                <w:color w:val="000000" w:themeColor="text1"/>
                <w:highlight w:val="none"/>
                <w:lang w:val="en-US" w:eastAsia="zh-CN"/>
              </w:rPr>
            </w:pPr>
            <w:r>
              <w:rPr>
                <w:rFonts w:hint="eastAsia" w:ascii="Times New Roman" w:hAnsi="Times New Roman" w:eastAsia="宋体"/>
                <w:color w:val="000000" w:themeColor="text1"/>
                <w:highlight w:val="none"/>
                <w:lang w:val="en-US" w:eastAsia="zh-CN"/>
              </w:rPr>
              <w:t>387</w:t>
            </w:r>
          </w:p>
        </w:tc>
      </w:tr>
    </w:tbl>
    <w:p w14:paraId="07E2AD31">
      <w:pPr>
        <w:pageBreakBefore w:val="0"/>
        <w:wordWrap/>
        <w:topLinePunct w:val="0"/>
        <w:bidi w:val="0"/>
        <w:spacing w:line="360" w:lineRule="auto"/>
        <w:ind w:left="0" w:leftChars="0" w:firstLine="0" w:firstLineChars="0"/>
        <w:rPr>
          <w:rFonts w:ascii="Times New Roman" w:hAnsi="Times New Roman" w:eastAsia="宋体" w:cs="Times New Roman"/>
          <w:color w:val="000000" w:themeColor="text1"/>
          <w:sz w:val="21"/>
          <w:szCs w:val="21"/>
          <w:highlight w:val="none"/>
        </w:rPr>
      </w:pPr>
      <w:bookmarkStart w:id="240" w:name="_Hlk76387727"/>
      <w:bookmarkStart w:id="241" w:name="_Toc23709"/>
      <w:bookmarkStart w:id="242" w:name="_Toc14395"/>
      <w:r>
        <w:rPr>
          <w:rFonts w:hint="eastAsia" w:ascii="Times New Roman" w:hAnsi="Times New Roman" w:eastAsia="宋体" w:cs="Times New Roman"/>
          <w:color w:val="000000" w:themeColor="text1"/>
          <w:sz w:val="21"/>
          <w:szCs w:val="21"/>
          <w:highlight w:val="none"/>
          <w:lang w:val="en-US" w:eastAsia="zh-CN"/>
        </w:rPr>
        <w:t>注：</w:t>
      </w:r>
      <w:r>
        <w:rPr>
          <w:rFonts w:hint="eastAsia" w:cs="Times New Roman"/>
          <w:color w:val="000000" w:themeColor="text1"/>
          <w:sz w:val="21"/>
          <w:szCs w:val="21"/>
          <w:highlight w:val="none"/>
          <w:lang w:val="en-US" w:eastAsia="zh-CN"/>
        </w:rPr>
        <w:t>根据设计提供资料，</w:t>
      </w:r>
      <w:r>
        <w:rPr>
          <w:rFonts w:hint="eastAsia" w:ascii="Times New Roman" w:hAnsi="Times New Roman" w:eastAsia="宋体" w:cs="Times New Roman"/>
          <w:color w:val="000000" w:themeColor="text1"/>
          <w:sz w:val="21"/>
          <w:szCs w:val="21"/>
          <w:highlight w:val="none"/>
        </w:rPr>
        <w:t>高峰小时车流量按全天24小时交通量的8%计。</w:t>
      </w:r>
    </w:p>
    <w:p w14:paraId="4892980F">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7</w:t>
      </w:r>
      <w:r>
        <w:rPr>
          <w:b/>
          <w:color w:val="000000" w:themeColor="text1"/>
          <w:highlight w:val="none"/>
        </w:rPr>
        <w:t xml:space="preserve"> </w:t>
      </w:r>
      <w:r>
        <w:rPr>
          <w:rFonts w:hint="eastAsia"/>
          <w:b/>
          <w:color w:val="000000" w:themeColor="text1"/>
          <w:highlight w:val="none"/>
          <w:lang w:val="en-US" w:eastAsia="zh-CN"/>
        </w:rPr>
        <w:t xml:space="preserve"> </w:t>
      </w:r>
      <w:r>
        <w:rPr>
          <w:b/>
          <w:color w:val="000000" w:themeColor="text1"/>
          <w:highlight w:val="none"/>
        </w:rPr>
        <w:t>折算特征年各车型交通量预测结果  单位：辆/h</w:t>
      </w:r>
    </w:p>
    <w:tbl>
      <w:tblPr>
        <w:tblStyle w:val="33"/>
        <w:tblW w:w="8368" w:type="dxa"/>
        <w:jc w:val="center"/>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fixed"/>
        <w:tblCellMar>
          <w:top w:w="0" w:type="dxa"/>
          <w:left w:w="28" w:type="dxa"/>
          <w:bottom w:w="0" w:type="dxa"/>
          <w:right w:w="28" w:type="dxa"/>
        </w:tblCellMar>
      </w:tblPr>
      <w:tblGrid>
        <w:gridCol w:w="1764"/>
        <w:gridCol w:w="992"/>
        <w:gridCol w:w="986"/>
        <w:gridCol w:w="992"/>
        <w:gridCol w:w="992"/>
        <w:gridCol w:w="850"/>
        <w:gridCol w:w="850"/>
        <w:gridCol w:w="942"/>
      </w:tblGrid>
      <w:tr w14:paraId="434541D0">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28" w:type="dxa"/>
            <w:bottom w:w="0" w:type="dxa"/>
            <w:right w:w="28" w:type="dxa"/>
          </w:tblCellMar>
        </w:tblPrEx>
        <w:trPr>
          <w:trHeight w:val="340" w:hRule="atLeast"/>
          <w:jc w:val="center"/>
        </w:trPr>
        <w:tc>
          <w:tcPr>
            <w:tcW w:w="2756" w:type="dxa"/>
            <w:gridSpan w:val="2"/>
            <w:vMerge w:val="restart"/>
            <w:tcBorders>
              <w:tl2br w:val="nil"/>
              <w:tr2bl w:val="nil"/>
            </w:tcBorders>
            <w:vAlign w:val="center"/>
          </w:tcPr>
          <w:p w14:paraId="55945AAE">
            <w:pPr>
              <w:pageBreakBefore w:val="0"/>
              <w:wordWrap/>
              <w:topLinePunct w:val="0"/>
              <w:bidi w:val="0"/>
              <w:spacing w:line="240" w:lineRule="auto"/>
              <w:ind w:firstLine="0" w:firstLineChars="0"/>
              <w:jc w:val="center"/>
              <w:rPr>
                <w:snapToGrid w:val="0"/>
                <w:color w:val="000000" w:themeColor="text1"/>
                <w:sz w:val="21"/>
                <w:szCs w:val="21"/>
                <w:highlight w:val="none"/>
              </w:rPr>
            </w:pPr>
            <w:bookmarkStart w:id="243" w:name="_Hlk75952305"/>
            <w:r>
              <w:rPr>
                <w:color w:val="000000" w:themeColor="text1"/>
                <w:sz w:val="21"/>
                <w:highlight w:val="none"/>
              </w:rPr>
              <w:pict>
                <v:line id="_x0000_s3417" o:spid="_x0000_s3417" o:spt="20" style="position:absolute;left:0pt;margin-left:-1.05pt;margin-top:0.65pt;height:40.6pt;width:138pt;z-index:251711488;mso-width-relative:page;mso-height-relative:page;" fillcolor="#FFFFFF" filled="t" stroked="t" coordsize="21600,21600">
                  <v:path arrowok="t"/>
                  <v:fill on="t" color2="#FFFFFF" focussize="0,0"/>
                  <v:stroke color="#000000"/>
                  <v:imagedata o:title=""/>
                  <o:lock v:ext="edit" aspectratio="f"/>
                </v:line>
              </w:pict>
            </w:r>
            <w:r>
              <w:rPr>
                <w:snapToGrid w:val="0"/>
                <w:color w:val="000000" w:themeColor="text1"/>
                <w:sz w:val="21"/>
                <w:szCs w:val="21"/>
                <w:highlight w:val="none"/>
              </w:rPr>
              <w:t xml:space="preserve">     车型</w:t>
            </w:r>
          </w:p>
          <w:p w14:paraId="203F0AEB">
            <w:pPr>
              <w:pageBreakBefore w:val="0"/>
              <w:wordWrap/>
              <w:topLinePunct w:val="0"/>
              <w:bidi w:val="0"/>
              <w:spacing w:line="240" w:lineRule="auto"/>
              <w:ind w:firstLine="0" w:firstLineChars="0"/>
              <w:rPr>
                <w:snapToGrid w:val="0"/>
                <w:color w:val="000000" w:themeColor="text1"/>
                <w:sz w:val="21"/>
                <w:szCs w:val="21"/>
                <w:highlight w:val="none"/>
              </w:rPr>
            </w:pPr>
            <w:r>
              <w:rPr>
                <w:snapToGrid w:val="0"/>
                <w:color w:val="000000" w:themeColor="text1"/>
                <w:sz w:val="21"/>
                <w:szCs w:val="21"/>
                <w:highlight w:val="none"/>
              </w:rPr>
              <w:t>预测年</w:t>
            </w:r>
          </w:p>
        </w:tc>
        <w:tc>
          <w:tcPr>
            <w:tcW w:w="1978" w:type="dxa"/>
            <w:gridSpan w:val="2"/>
            <w:tcBorders>
              <w:tl2br w:val="nil"/>
              <w:tr2bl w:val="nil"/>
            </w:tcBorders>
            <w:vAlign w:val="center"/>
          </w:tcPr>
          <w:p w14:paraId="22FEF43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小型车</w:t>
            </w:r>
          </w:p>
        </w:tc>
        <w:tc>
          <w:tcPr>
            <w:tcW w:w="1842" w:type="dxa"/>
            <w:gridSpan w:val="2"/>
            <w:tcBorders>
              <w:tl2br w:val="nil"/>
              <w:tr2bl w:val="nil"/>
            </w:tcBorders>
            <w:vAlign w:val="center"/>
          </w:tcPr>
          <w:p w14:paraId="1E334F5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中型车</w:t>
            </w:r>
          </w:p>
        </w:tc>
        <w:tc>
          <w:tcPr>
            <w:tcW w:w="1792" w:type="dxa"/>
            <w:gridSpan w:val="2"/>
            <w:tcBorders>
              <w:tl2br w:val="nil"/>
              <w:tr2bl w:val="nil"/>
            </w:tcBorders>
            <w:vAlign w:val="center"/>
          </w:tcPr>
          <w:p w14:paraId="7AE7A93E">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大型车</w:t>
            </w:r>
          </w:p>
        </w:tc>
      </w:tr>
      <w:tr w14:paraId="3CB28A5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28" w:type="dxa"/>
            <w:bottom w:w="0" w:type="dxa"/>
            <w:right w:w="28" w:type="dxa"/>
          </w:tblCellMar>
        </w:tblPrEx>
        <w:trPr>
          <w:trHeight w:val="340" w:hRule="atLeast"/>
          <w:jc w:val="center"/>
        </w:trPr>
        <w:tc>
          <w:tcPr>
            <w:tcW w:w="2756" w:type="dxa"/>
            <w:gridSpan w:val="2"/>
            <w:vMerge w:val="continue"/>
            <w:tcBorders>
              <w:tl2br w:val="nil"/>
              <w:tr2bl w:val="nil"/>
            </w:tcBorders>
            <w:vAlign w:val="center"/>
          </w:tcPr>
          <w:p w14:paraId="529F634A">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986" w:type="dxa"/>
            <w:tcBorders>
              <w:tl2br w:val="nil"/>
              <w:tr2bl w:val="nil"/>
            </w:tcBorders>
            <w:vAlign w:val="center"/>
          </w:tcPr>
          <w:p w14:paraId="5A6BEF1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昼间</w:t>
            </w:r>
          </w:p>
        </w:tc>
        <w:tc>
          <w:tcPr>
            <w:tcW w:w="992" w:type="dxa"/>
            <w:tcBorders>
              <w:tl2br w:val="nil"/>
              <w:tr2bl w:val="nil"/>
            </w:tcBorders>
            <w:vAlign w:val="center"/>
          </w:tcPr>
          <w:p w14:paraId="3F2988B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夜间</w:t>
            </w:r>
          </w:p>
        </w:tc>
        <w:tc>
          <w:tcPr>
            <w:tcW w:w="992" w:type="dxa"/>
            <w:tcBorders>
              <w:tl2br w:val="nil"/>
              <w:tr2bl w:val="nil"/>
            </w:tcBorders>
            <w:vAlign w:val="center"/>
          </w:tcPr>
          <w:p w14:paraId="62B255E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昼间</w:t>
            </w:r>
          </w:p>
        </w:tc>
        <w:tc>
          <w:tcPr>
            <w:tcW w:w="850" w:type="dxa"/>
            <w:tcBorders>
              <w:tl2br w:val="nil"/>
              <w:tr2bl w:val="nil"/>
            </w:tcBorders>
            <w:vAlign w:val="center"/>
          </w:tcPr>
          <w:p w14:paraId="6A7C78A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夜间</w:t>
            </w:r>
          </w:p>
        </w:tc>
        <w:tc>
          <w:tcPr>
            <w:tcW w:w="850" w:type="dxa"/>
            <w:tcBorders>
              <w:tl2br w:val="nil"/>
              <w:tr2bl w:val="nil"/>
            </w:tcBorders>
            <w:vAlign w:val="center"/>
          </w:tcPr>
          <w:p w14:paraId="1AD31BB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昼间</w:t>
            </w:r>
          </w:p>
        </w:tc>
        <w:tc>
          <w:tcPr>
            <w:tcW w:w="942" w:type="dxa"/>
            <w:tcBorders>
              <w:tl2br w:val="nil"/>
              <w:tr2bl w:val="nil"/>
            </w:tcBorders>
            <w:vAlign w:val="center"/>
          </w:tcPr>
          <w:p w14:paraId="7CDA949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夜间</w:t>
            </w:r>
          </w:p>
        </w:tc>
      </w:tr>
      <w:tr w14:paraId="6431CF45">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28" w:type="dxa"/>
            <w:bottom w:w="0" w:type="dxa"/>
            <w:right w:w="28" w:type="dxa"/>
          </w:tblCellMar>
        </w:tblPrEx>
        <w:trPr>
          <w:trHeight w:val="340" w:hRule="atLeast"/>
          <w:jc w:val="center"/>
        </w:trPr>
        <w:tc>
          <w:tcPr>
            <w:tcW w:w="1764" w:type="dxa"/>
            <w:vMerge w:val="restart"/>
            <w:tcBorders>
              <w:tl2br w:val="nil"/>
              <w:tr2bl w:val="nil"/>
            </w:tcBorders>
            <w:vAlign w:val="center"/>
          </w:tcPr>
          <w:p w14:paraId="00C510C5">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default" w:eastAsia="宋体"/>
                <w:color w:val="000000" w:themeColor="text1"/>
                <w:kern w:val="0"/>
                <w:sz w:val="21"/>
                <w:szCs w:val="21"/>
                <w:highlight w:val="none"/>
                <w:lang w:val="en-US" w:eastAsia="zh-CN"/>
              </w:rPr>
              <w:t>机场进场路主线及</w:t>
            </w:r>
            <w:r>
              <w:rPr>
                <w:rFonts w:hint="eastAsia"/>
                <w:color w:val="000000" w:themeColor="text1"/>
                <w:kern w:val="0"/>
                <w:sz w:val="21"/>
                <w:szCs w:val="21"/>
                <w:highlight w:val="none"/>
                <w:lang w:val="en-US" w:eastAsia="zh-CN"/>
              </w:rPr>
              <w:t>连接线</w:t>
            </w:r>
          </w:p>
        </w:tc>
        <w:tc>
          <w:tcPr>
            <w:tcW w:w="992" w:type="dxa"/>
            <w:tcBorders>
              <w:tl2br w:val="nil"/>
              <w:tr2bl w:val="nil"/>
            </w:tcBorders>
            <w:vAlign w:val="center"/>
          </w:tcPr>
          <w:p w14:paraId="1BB6E86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202</w:t>
            </w:r>
            <w:r>
              <w:rPr>
                <w:rFonts w:hint="eastAsia"/>
                <w:color w:val="000000" w:themeColor="text1"/>
                <w:sz w:val="21"/>
                <w:szCs w:val="21"/>
                <w:highlight w:val="none"/>
                <w:lang w:val="en-US" w:eastAsia="zh-CN"/>
              </w:rPr>
              <w:t>7</w:t>
            </w:r>
            <w:r>
              <w:rPr>
                <w:color w:val="000000" w:themeColor="text1"/>
                <w:sz w:val="21"/>
                <w:szCs w:val="21"/>
                <w:highlight w:val="none"/>
              </w:rPr>
              <w:t>年</w:t>
            </w:r>
          </w:p>
        </w:tc>
        <w:tc>
          <w:tcPr>
            <w:tcW w:w="986" w:type="dxa"/>
            <w:tcBorders>
              <w:tl2br w:val="nil"/>
              <w:tr2bl w:val="nil"/>
            </w:tcBorders>
            <w:shd w:val="clear" w:color="auto" w:fill="auto"/>
            <w:vAlign w:val="center"/>
          </w:tcPr>
          <w:p w14:paraId="4832FE86">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highlight w:val="none"/>
                <w:lang w:val="en-US" w:eastAsia="zh-CN"/>
              </w:rPr>
              <w:t>41</w:t>
            </w:r>
          </w:p>
        </w:tc>
        <w:tc>
          <w:tcPr>
            <w:tcW w:w="992" w:type="dxa"/>
            <w:tcBorders>
              <w:tl2br w:val="nil"/>
              <w:tr2bl w:val="nil"/>
            </w:tcBorders>
            <w:shd w:val="clear" w:color="auto" w:fill="auto"/>
            <w:vAlign w:val="center"/>
          </w:tcPr>
          <w:p w14:paraId="614C3990">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highlight w:val="none"/>
                <w:lang w:val="en-US" w:eastAsia="zh-CN"/>
              </w:rPr>
              <w:t>9</w:t>
            </w:r>
          </w:p>
        </w:tc>
        <w:tc>
          <w:tcPr>
            <w:tcW w:w="992" w:type="dxa"/>
            <w:tcBorders>
              <w:tl2br w:val="nil"/>
              <w:tr2bl w:val="nil"/>
            </w:tcBorders>
            <w:shd w:val="clear" w:color="auto" w:fill="auto"/>
            <w:vAlign w:val="center"/>
          </w:tcPr>
          <w:p w14:paraId="29B69B9C">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highlight w:val="none"/>
                <w:lang w:val="en-US" w:eastAsia="zh-CN"/>
              </w:rPr>
              <w:t>6</w:t>
            </w:r>
          </w:p>
        </w:tc>
        <w:tc>
          <w:tcPr>
            <w:tcW w:w="850" w:type="dxa"/>
            <w:tcBorders>
              <w:tl2br w:val="nil"/>
              <w:tr2bl w:val="nil"/>
            </w:tcBorders>
            <w:shd w:val="clear" w:color="auto" w:fill="auto"/>
            <w:vAlign w:val="center"/>
          </w:tcPr>
          <w:p w14:paraId="1269712E">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1</w:t>
            </w:r>
          </w:p>
        </w:tc>
        <w:tc>
          <w:tcPr>
            <w:tcW w:w="850" w:type="dxa"/>
            <w:tcBorders>
              <w:tl2br w:val="nil"/>
              <w:tr2bl w:val="nil"/>
            </w:tcBorders>
            <w:shd w:val="clear" w:color="auto" w:fill="auto"/>
            <w:vAlign w:val="center"/>
          </w:tcPr>
          <w:p w14:paraId="79FE3EC8">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highlight w:val="none"/>
                <w:lang w:val="en-US" w:eastAsia="zh-CN"/>
              </w:rPr>
              <w:t>8</w:t>
            </w:r>
          </w:p>
        </w:tc>
        <w:tc>
          <w:tcPr>
            <w:tcW w:w="942" w:type="dxa"/>
            <w:tcBorders>
              <w:tl2br w:val="nil"/>
              <w:tr2bl w:val="nil"/>
            </w:tcBorders>
            <w:shd w:val="clear" w:color="auto" w:fill="auto"/>
            <w:vAlign w:val="center"/>
          </w:tcPr>
          <w:p w14:paraId="12AA514C">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highlight w:val="none"/>
                <w:lang w:val="en-US" w:eastAsia="zh-CN"/>
              </w:rPr>
              <w:t>2</w:t>
            </w:r>
          </w:p>
        </w:tc>
      </w:tr>
      <w:tr w14:paraId="6CA5A223">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28" w:type="dxa"/>
            <w:bottom w:w="0" w:type="dxa"/>
            <w:right w:w="28" w:type="dxa"/>
          </w:tblCellMar>
        </w:tblPrEx>
        <w:trPr>
          <w:trHeight w:val="340" w:hRule="atLeast"/>
          <w:jc w:val="center"/>
        </w:trPr>
        <w:tc>
          <w:tcPr>
            <w:tcW w:w="1764" w:type="dxa"/>
            <w:vMerge w:val="continue"/>
            <w:tcBorders>
              <w:tl2br w:val="nil"/>
              <w:tr2bl w:val="nil"/>
            </w:tcBorders>
            <w:vAlign w:val="center"/>
          </w:tcPr>
          <w:p w14:paraId="0670DCA3">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992" w:type="dxa"/>
            <w:tcBorders>
              <w:tl2br w:val="nil"/>
              <w:tr2bl w:val="nil"/>
            </w:tcBorders>
            <w:vAlign w:val="center"/>
          </w:tcPr>
          <w:p w14:paraId="1D535D5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203</w:t>
            </w:r>
            <w:r>
              <w:rPr>
                <w:rFonts w:hint="eastAsia"/>
                <w:color w:val="000000" w:themeColor="text1"/>
                <w:sz w:val="21"/>
                <w:szCs w:val="21"/>
                <w:highlight w:val="none"/>
                <w:lang w:val="en-US" w:eastAsia="zh-CN"/>
              </w:rPr>
              <w:t>3</w:t>
            </w:r>
            <w:r>
              <w:rPr>
                <w:color w:val="000000" w:themeColor="text1"/>
                <w:sz w:val="21"/>
                <w:szCs w:val="21"/>
                <w:highlight w:val="none"/>
              </w:rPr>
              <w:t>年</w:t>
            </w:r>
          </w:p>
        </w:tc>
        <w:tc>
          <w:tcPr>
            <w:tcW w:w="986" w:type="dxa"/>
            <w:tcBorders>
              <w:tl2br w:val="nil"/>
              <w:tr2bl w:val="nil"/>
            </w:tcBorders>
            <w:shd w:val="clear" w:color="auto" w:fill="auto"/>
            <w:vAlign w:val="center"/>
          </w:tcPr>
          <w:p w14:paraId="166D639F">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155</w:t>
            </w:r>
          </w:p>
        </w:tc>
        <w:tc>
          <w:tcPr>
            <w:tcW w:w="992" w:type="dxa"/>
            <w:tcBorders>
              <w:tl2br w:val="nil"/>
              <w:tr2bl w:val="nil"/>
            </w:tcBorders>
            <w:shd w:val="clear" w:color="auto" w:fill="auto"/>
            <w:vAlign w:val="center"/>
          </w:tcPr>
          <w:p w14:paraId="4616E0EA">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34</w:t>
            </w:r>
          </w:p>
        </w:tc>
        <w:tc>
          <w:tcPr>
            <w:tcW w:w="992" w:type="dxa"/>
            <w:tcBorders>
              <w:tl2br w:val="nil"/>
              <w:tr2bl w:val="nil"/>
            </w:tcBorders>
            <w:shd w:val="clear" w:color="auto" w:fill="auto"/>
            <w:vAlign w:val="center"/>
          </w:tcPr>
          <w:p w14:paraId="0AA35932">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18</w:t>
            </w:r>
          </w:p>
        </w:tc>
        <w:tc>
          <w:tcPr>
            <w:tcW w:w="850" w:type="dxa"/>
            <w:tcBorders>
              <w:tl2br w:val="nil"/>
              <w:tr2bl w:val="nil"/>
            </w:tcBorders>
            <w:shd w:val="clear" w:color="auto" w:fill="auto"/>
            <w:vAlign w:val="center"/>
          </w:tcPr>
          <w:p w14:paraId="49C147E8">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4</w:t>
            </w:r>
          </w:p>
        </w:tc>
        <w:tc>
          <w:tcPr>
            <w:tcW w:w="850" w:type="dxa"/>
            <w:tcBorders>
              <w:tl2br w:val="nil"/>
              <w:tr2bl w:val="nil"/>
            </w:tcBorders>
            <w:shd w:val="clear" w:color="auto" w:fill="auto"/>
            <w:vAlign w:val="center"/>
          </w:tcPr>
          <w:p w14:paraId="32B61402">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30</w:t>
            </w:r>
          </w:p>
        </w:tc>
        <w:tc>
          <w:tcPr>
            <w:tcW w:w="942" w:type="dxa"/>
            <w:tcBorders>
              <w:tl2br w:val="nil"/>
              <w:tr2bl w:val="nil"/>
            </w:tcBorders>
            <w:shd w:val="clear" w:color="auto" w:fill="auto"/>
            <w:vAlign w:val="center"/>
          </w:tcPr>
          <w:p w14:paraId="7C173D79">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7</w:t>
            </w:r>
          </w:p>
        </w:tc>
      </w:tr>
      <w:tr w14:paraId="5D87119C">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28" w:type="dxa"/>
            <w:bottom w:w="0" w:type="dxa"/>
            <w:right w:w="28" w:type="dxa"/>
          </w:tblCellMar>
        </w:tblPrEx>
        <w:trPr>
          <w:trHeight w:val="340" w:hRule="atLeast"/>
          <w:jc w:val="center"/>
        </w:trPr>
        <w:tc>
          <w:tcPr>
            <w:tcW w:w="1764" w:type="dxa"/>
            <w:vMerge w:val="continue"/>
            <w:tcBorders>
              <w:tl2br w:val="nil"/>
              <w:tr2bl w:val="nil"/>
            </w:tcBorders>
            <w:vAlign w:val="center"/>
          </w:tcPr>
          <w:p w14:paraId="0285EBEB">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992" w:type="dxa"/>
            <w:tcBorders>
              <w:tl2br w:val="nil"/>
              <w:tr2bl w:val="nil"/>
            </w:tcBorders>
            <w:vAlign w:val="center"/>
          </w:tcPr>
          <w:p w14:paraId="28F84B5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w:t>
            </w:r>
            <w:r>
              <w:rPr>
                <w:rFonts w:hint="eastAsia"/>
                <w:color w:val="000000" w:themeColor="text1"/>
                <w:sz w:val="21"/>
                <w:szCs w:val="21"/>
                <w:highlight w:val="none"/>
                <w:lang w:val="en-US" w:eastAsia="zh-CN"/>
              </w:rPr>
              <w:t>41</w:t>
            </w:r>
            <w:r>
              <w:rPr>
                <w:color w:val="000000" w:themeColor="text1"/>
                <w:sz w:val="21"/>
                <w:szCs w:val="21"/>
                <w:highlight w:val="none"/>
              </w:rPr>
              <w:t>年</w:t>
            </w:r>
          </w:p>
        </w:tc>
        <w:tc>
          <w:tcPr>
            <w:tcW w:w="986" w:type="dxa"/>
            <w:tcBorders>
              <w:tl2br w:val="nil"/>
              <w:tr2bl w:val="nil"/>
            </w:tcBorders>
            <w:shd w:val="clear" w:color="auto" w:fill="auto"/>
            <w:vAlign w:val="center"/>
          </w:tcPr>
          <w:p w14:paraId="73F0C271">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210</w:t>
            </w:r>
          </w:p>
        </w:tc>
        <w:tc>
          <w:tcPr>
            <w:tcW w:w="992" w:type="dxa"/>
            <w:tcBorders>
              <w:tl2br w:val="nil"/>
              <w:tr2bl w:val="nil"/>
            </w:tcBorders>
            <w:shd w:val="clear" w:color="auto" w:fill="auto"/>
            <w:vAlign w:val="center"/>
          </w:tcPr>
          <w:p w14:paraId="619267EC">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46</w:t>
            </w:r>
          </w:p>
        </w:tc>
        <w:tc>
          <w:tcPr>
            <w:tcW w:w="992" w:type="dxa"/>
            <w:tcBorders>
              <w:tl2br w:val="nil"/>
              <w:tr2bl w:val="nil"/>
            </w:tcBorders>
            <w:shd w:val="clear" w:color="auto" w:fill="auto"/>
            <w:vAlign w:val="center"/>
          </w:tcPr>
          <w:p w14:paraId="22998043">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23</w:t>
            </w:r>
          </w:p>
        </w:tc>
        <w:tc>
          <w:tcPr>
            <w:tcW w:w="850" w:type="dxa"/>
            <w:tcBorders>
              <w:tl2br w:val="nil"/>
              <w:tr2bl w:val="nil"/>
            </w:tcBorders>
            <w:shd w:val="clear" w:color="auto" w:fill="auto"/>
            <w:vAlign w:val="center"/>
          </w:tcPr>
          <w:p w14:paraId="7D8C786D">
            <w:pPr>
              <w:pStyle w:val="137"/>
              <w:spacing w:line="240" w:lineRule="auto"/>
              <w:ind w:firstLine="0" w:firstLineChars="0"/>
              <w:rPr>
                <w:rFonts w:hint="eastAsia"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5</w:t>
            </w:r>
          </w:p>
        </w:tc>
        <w:tc>
          <w:tcPr>
            <w:tcW w:w="850" w:type="dxa"/>
            <w:tcBorders>
              <w:tl2br w:val="nil"/>
              <w:tr2bl w:val="nil"/>
            </w:tcBorders>
            <w:shd w:val="clear" w:color="auto" w:fill="auto"/>
            <w:vAlign w:val="center"/>
          </w:tcPr>
          <w:p w14:paraId="675AC5B7">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39</w:t>
            </w:r>
          </w:p>
        </w:tc>
        <w:tc>
          <w:tcPr>
            <w:tcW w:w="942" w:type="dxa"/>
            <w:tcBorders>
              <w:tl2br w:val="nil"/>
              <w:tr2bl w:val="nil"/>
            </w:tcBorders>
            <w:shd w:val="clear" w:color="auto" w:fill="auto"/>
            <w:vAlign w:val="center"/>
          </w:tcPr>
          <w:p w14:paraId="03E93450">
            <w:pPr>
              <w:pStyle w:val="137"/>
              <w:spacing w:line="240" w:lineRule="auto"/>
              <w:ind w:firstLine="0" w:firstLineChars="0"/>
              <w:rPr>
                <w:rFonts w:hint="default"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highlight w:val="none"/>
              </w:rPr>
              <w:t>9</w:t>
            </w:r>
          </w:p>
        </w:tc>
      </w:tr>
      <w:bookmarkEnd w:id="240"/>
      <w:bookmarkEnd w:id="243"/>
    </w:tbl>
    <w:p w14:paraId="42749768">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3.1.4</w:t>
      </w:r>
      <w:r>
        <w:rPr>
          <w:color w:val="000000" w:themeColor="text1"/>
          <w:highlight w:val="none"/>
        </w:rPr>
        <w:t>路基工程</w:t>
      </w:r>
      <w:bookmarkEnd w:id="241"/>
      <w:bookmarkEnd w:id="242"/>
    </w:p>
    <w:p w14:paraId="27A81FAD">
      <w:pPr>
        <w:pageBreakBefore w:val="0"/>
        <w:wordWrap/>
        <w:topLinePunct w:val="0"/>
        <w:bidi w:val="0"/>
        <w:spacing w:line="360" w:lineRule="auto"/>
        <w:ind w:left="0" w:leftChars="0" w:firstLine="480" w:firstLineChars="200"/>
        <w:rPr>
          <w:color w:val="000000" w:themeColor="text1"/>
          <w:highlight w:val="none"/>
        </w:rPr>
      </w:pPr>
      <w:r>
        <w:rPr>
          <w:rFonts w:hint="eastAsia"/>
          <w:color w:val="000000" w:themeColor="text1"/>
          <w:highlight w:val="none"/>
          <w:lang w:val="en-US" w:eastAsia="zh-CN"/>
        </w:rPr>
        <w:t>路基设计以现行的《公路工程技术标准》（JTG B01-2014）和《公路路基设计规范》（JTG D30-2015）为依据。</w:t>
      </w:r>
    </w:p>
    <w:p w14:paraId="28C3D0E7">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3.1.4.1</w:t>
      </w:r>
      <w:r>
        <w:rPr>
          <w:color w:val="000000" w:themeColor="text1"/>
          <w:highlight w:val="none"/>
        </w:rPr>
        <w:t>路基横断面</w:t>
      </w:r>
      <w:r>
        <w:rPr>
          <w:rFonts w:hint="eastAsia"/>
          <w:color w:val="000000" w:themeColor="text1"/>
          <w:highlight w:val="none"/>
          <w:lang w:val="en-US" w:eastAsia="zh-CN"/>
        </w:rPr>
        <w:t>布设</w:t>
      </w:r>
    </w:p>
    <w:p w14:paraId="0F5F9461">
      <w:pPr>
        <w:pageBreakBefore w:val="0"/>
        <w:wordWrap/>
        <w:topLinePunct w:val="0"/>
        <w:bidi w:val="0"/>
        <w:spacing w:line="360" w:lineRule="auto"/>
        <w:rPr>
          <w:color w:val="000000" w:themeColor="text1"/>
          <w:highlight w:val="none"/>
        </w:rPr>
      </w:pPr>
      <w:r>
        <w:rPr>
          <w:rFonts w:hint="eastAsia"/>
          <w:color w:val="000000" w:themeColor="text1"/>
          <w:highlight w:val="none"/>
        </w:rPr>
        <w:t>本项目标准横断面采用路基宽度12.0m，路面宽度10.5m，路基横断面布置形式为</w:t>
      </w:r>
      <w:r>
        <w:rPr>
          <w:rFonts w:hint="eastAsia"/>
          <w:color w:val="000000" w:themeColor="text1"/>
          <w:highlight w:val="none"/>
          <w:lang w:eastAsia="zh-CN"/>
        </w:rPr>
        <w:t>：</w:t>
      </w:r>
      <w:r>
        <w:rPr>
          <w:rFonts w:hint="eastAsia"/>
          <w:color w:val="000000" w:themeColor="text1"/>
          <w:highlight w:val="none"/>
        </w:rPr>
        <w:t>行车道宽度2×3.75m，硬路肩2×1.5m，土路肩2×0.75m</w:t>
      </w:r>
      <w:r>
        <w:rPr>
          <w:rFonts w:hint="eastAsia"/>
          <w:color w:val="000000" w:themeColor="text1"/>
          <w:highlight w:val="none"/>
          <w:lang w:val="en-US" w:eastAsia="zh-CN"/>
        </w:rPr>
        <w:t>。</w:t>
      </w:r>
    </w:p>
    <w:p w14:paraId="4703462A">
      <w:pPr>
        <w:pStyle w:val="16"/>
        <w:spacing w:line="240" w:lineRule="auto"/>
        <w:ind w:left="0" w:leftChars="0" w:firstLine="0" w:firstLineChars="0"/>
        <w:rPr>
          <w:rFonts w:hint="eastAsia" w:ascii="Times New Roman" w:eastAsia="宋体"/>
          <w:color w:val="000000" w:themeColor="text1"/>
          <w:szCs w:val="32"/>
          <w:highlight w:val="none"/>
          <w:lang w:eastAsia="zh-CN"/>
        </w:rPr>
      </w:pPr>
      <w:r>
        <w:rPr>
          <w:color w:val="000000" w:themeColor="text1"/>
          <w:highlight w:val="none"/>
        </w:rPr>
        <w:drawing>
          <wp:inline distT="0" distB="0" distL="114300" distR="114300">
            <wp:extent cx="5272405" cy="1650365"/>
            <wp:effectExtent l="0" t="0" r="4445" b="6985"/>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27"/>
                    <a:stretch>
                      <a:fillRect/>
                    </a:stretch>
                  </pic:blipFill>
                  <pic:spPr>
                    <a:xfrm>
                      <a:off x="0" y="0"/>
                      <a:ext cx="5272405" cy="1650365"/>
                    </a:xfrm>
                    <a:prstGeom prst="rect">
                      <a:avLst/>
                    </a:prstGeom>
                    <a:noFill/>
                    <a:ln>
                      <a:noFill/>
                    </a:ln>
                  </pic:spPr>
                </pic:pic>
              </a:graphicData>
            </a:graphic>
          </wp:inline>
        </w:drawing>
      </w:r>
    </w:p>
    <w:p w14:paraId="6B62D002">
      <w:pPr>
        <w:pageBreakBefore w:val="0"/>
        <w:wordWrap/>
        <w:topLinePunct w:val="0"/>
        <w:bidi w:val="0"/>
        <w:spacing w:line="360" w:lineRule="auto"/>
        <w:ind w:firstLine="482"/>
        <w:jc w:val="center"/>
        <w:rPr>
          <w:rFonts w:hint="default" w:eastAsia="宋体"/>
          <w:b/>
          <w:bCs/>
          <w:color w:val="000000" w:themeColor="text1"/>
          <w:highlight w:val="none"/>
          <w:lang w:val="en-US" w:eastAsia="zh-CN"/>
        </w:rPr>
      </w:pPr>
      <w:r>
        <w:rPr>
          <w:b/>
          <w:bCs/>
          <w:color w:val="000000" w:themeColor="text1"/>
          <w:highlight w:val="none"/>
        </w:rPr>
        <w:t xml:space="preserve">图3.1-1  </w:t>
      </w:r>
      <w:r>
        <w:rPr>
          <w:rFonts w:hint="eastAsia"/>
          <w:b/>
          <w:bCs/>
          <w:color w:val="000000" w:themeColor="text1"/>
          <w:highlight w:val="none"/>
          <w:lang w:val="en-US" w:eastAsia="zh-CN"/>
        </w:rPr>
        <w:t>新建填方路基</w:t>
      </w:r>
    </w:p>
    <w:p w14:paraId="3DD50A69">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rPr>
        <w:t>挖方路段</w:t>
      </w:r>
      <w:r>
        <w:rPr>
          <w:rFonts w:hint="eastAsia"/>
          <w:color w:val="000000" w:themeColor="text1"/>
          <w:highlight w:val="none"/>
          <w:lang w:eastAsia="zh-CN"/>
        </w:rPr>
        <w:t>：</w:t>
      </w:r>
      <w:r>
        <w:rPr>
          <w:rFonts w:hint="eastAsia"/>
          <w:color w:val="000000" w:themeColor="text1"/>
          <w:highlight w:val="none"/>
        </w:rPr>
        <w:t>路基宽度12.0m</w:t>
      </w:r>
      <w:r>
        <w:rPr>
          <w:rFonts w:hint="eastAsia"/>
          <w:color w:val="000000" w:themeColor="text1"/>
          <w:highlight w:val="none"/>
          <w:lang w:eastAsia="zh-CN"/>
        </w:rPr>
        <w:t>，</w:t>
      </w:r>
      <w:r>
        <w:rPr>
          <w:rFonts w:hint="eastAsia"/>
          <w:color w:val="000000" w:themeColor="text1"/>
          <w:highlight w:val="none"/>
        </w:rPr>
        <w:t>路面宽度12.0m</w:t>
      </w:r>
      <w:r>
        <w:rPr>
          <w:rFonts w:hint="eastAsia"/>
          <w:color w:val="000000" w:themeColor="text1"/>
          <w:highlight w:val="none"/>
          <w:lang w:eastAsia="zh-CN"/>
        </w:rPr>
        <w:t>，</w:t>
      </w:r>
      <w:r>
        <w:rPr>
          <w:rFonts w:hint="eastAsia"/>
          <w:color w:val="000000" w:themeColor="text1"/>
          <w:highlight w:val="none"/>
        </w:rPr>
        <w:t>路基横断面布置形式为</w:t>
      </w:r>
      <w:r>
        <w:rPr>
          <w:rFonts w:hint="eastAsia"/>
          <w:color w:val="000000" w:themeColor="text1"/>
          <w:highlight w:val="none"/>
          <w:lang w:eastAsia="zh-CN"/>
        </w:rPr>
        <w:t>：</w:t>
      </w:r>
      <w:r>
        <w:rPr>
          <w:rFonts w:hint="eastAsia"/>
          <w:color w:val="000000" w:themeColor="text1"/>
          <w:highlight w:val="none"/>
        </w:rPr>
        <w:t>行车道宽度2×3.75m</w:t>
      </w:r>
      <w:r>
        <w:rPr>
          <w:rFonts w:hint="eastAsia"/>
          <w:color w:val="000000" w:themeColor="text1"/>
          <w:highlight w:val="none"/>
          <w:lang w:eastAsia="zh-CN"/>
        </w:rPr>
        <w:t>，</w:t>
      </w:r>
      <w:r>
        <w:rPr>
          <w:rFonts w:hint="eastAsia"/>
          <w:color w:val="000000" w:themeColor="text1"/>
          <w:highlight w:val="none"/>
        </w:rPr>
        <w:t>硬路肩2×2.25m</w:t>
      </w:r>
      <w:r>
        <w:rPr>
          <w:rFonts w:hint="eastAsia"/>
          <w:color w:val="000000" w:themeColor="text1"/>
          <w:highlight w:val="none"/>
          <w:lang w:eastAsia="zh-CN"/>
        </w:rPr>
        <w:t>。</w:t>
      </w:r>
    </w:p>
    <w:p w14:paraId="2F6C24C9">
      <w:pPr>
        <w:pageBreakBefore w:val="0"/>
        <w:wordWrap/>
        <w:topLinePunct w:val="0"/>
        <w:bidi w:val="0"/>
        <w:spacing w:line="360" w:lineRule="auto"/>
        <w:ind w:firstLine="482"/>
        <w:jc w:val="center"/>
        <w:rPr>
          <w:rFonts w:hint="default"/>
          <w:b/>
          <w:bCs/>
          <w:color w:val="000000" w:themeColor="text1"/>
          <w:highlight w:val="none"/>
          <w:lang w:val="en-US"/>
        </w:rPr>
      </w:pPr>
      <w:r>
        <w:rPr>
          <w:b/>
          <w:bCs/>
          <w:color w:val="000000" w:themeColor="text1"/>
          <w:highlight w:val="none"/>
        </w:rPr>
        <w:drawing>
          <wp:inline distT="0" distB="0" distL="114300" distR="114300">
            <wp:extent cx="5271135" cy="2228215"/>
            <wp:effectExtent l="0" t="0" r="5715" b="635"/>
            <wp:docPr id="32" name="图片 32" descr="1740709299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740709299550"/>
                    <pic:cNvPicPr>
                      <a:picLocks noChangeAspect="1"/>
                    </pic:cNvPicPr>
                  </pic:nvPicPr>
                  <pic:blipFill>
                    <a:blip r:embed="rId28"/>
                    <a:stretch>
                      <a:fillRect/>
                    </a:stretch>
                  </pic:blipFill>
                  <pic:spPr>
                    <a:xfrm>
                      <a:off x="0" y="0"/>
                      <a:ext cx="5271135" cy="2228215"/>
                    </a:xfrm>
                    <a:prstGeom prst="rect">
                      <a:avLst/>
                    </a:prstGeom>
                  </pic:spPr>
                </pic:pic>
              </a:graphicData>
            </a:graphic>
          </wp:inline>
        </w:drawing>
      </w:r>
      <w:r>
        <w:rPr>
          <w:b/>
          <w:bCs/>
          <w:color w:val="000000" w:themeColor="text1"/>
          <w:highlight w:val="none"/>
        </w:rPr>
        <w:t xml:space="preserve">图3.1-2  </w:t>
      </w:r>
      <w:r>
        <w:rPr>
          <w:rFonts w:hint="eastAsia"/>
          <w:b/>
          <w:bCs/>
          <w:color w:val="000000" w:themeColor="text1"/>
          <w:highlight w:val="none"/>
          <w:lang w:val="en-US" w:eastAsia="zh-CN"/>
        </w:rPr>
        <w:t>新建挖方路基</w:t>
      </w:r>
    </w:p>
    <w:p w14:paraId="623C2A90">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3.1.4.2</w:t>
      </w:r>
      <w:r>
        <w:rPr>
          <w:rFonts w:hint="eastAsia"/>
          <w:color w:val="000000" w:themeColor="text1"/>
          <w:highlight w:val="none"/>
          <w:lang w:val="en-US" w:eastAsia="zh-CN"/>
        </w:rPr>
        <w:t>路拱横坡、超高渐变率及超高方式</w:t>
      </w:r>
    </w:p>
    <w:p w14:paraId="00762896">
      <w:pPr>
        <w:pageBreakBefore w:val="0"/>
        <w:wordWrap/>
        <w:topLinePunct w:val="0"/>
        <w:bidi w:val="0"/>
        <w:spacing w:line="360" w:lineRule="auto"/>
        <w:rPr>
          <w:color w:val="000000" w:themeColor="text1"/>
          <w:highlight w:val="none"/>
        </w:rPr>
      </w:pPr>
      <w:r>
        <w:rPr>
          <w:rFonts w:hint="eastAsia"/>
          <w:color w:val="000000" w:themeColor="text1"/>
          <w:highlight w:val="none"/>
        </w:rPr>
        <w:t>考虑路面排水需要，路面越粗糙，要求路拱横坡越大，但路拱坡度太大对行车不利。根据本项目路面类型、当地自然条件等因素，从满足规范要求、方便施工等方面考虑。全线正常路段行车道、硬路肩路拱横坡均为2.0%，土路肩横坡均为3.0%，以利于路面排水。当圆曲线半径R1500m时，在曲线上设置超高，超高方式采用绕路基中心旋转，超高渐变率采用1/175。圆曲线最大超高值按《公路路线设计规范》中积雪冰冻地区6%取用。本项目圆曲线半径均大于250m</w:t>
      </w:r>
      <w:r>
        <w:rPr>
          <w:rFonts w:hint="eastAsia"/>
          <w:color w:val="000000" w:themeColor="text1"/>
          <w:highlight w:val="none"/>
          <w:lang w:eastAsia="zh-CN"/>
        </w:rPr>
        <w:t>，</w:t>
      </w:r>
      <w:r>
        <w:rPr>
          <w:rFonts w:hint="eastAsia"/>
          <w:color w:val="000000" w:themeColor="text1"/>
          <w:highlight w:val="none"/>
        </w:rPr>
        <w:t>无圆曲线加宽路段。</w:t>
      </w:r>
    </w:p>
    <w:p w14:paraId="62F6189E">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3.1.4.3</w:t>
      </w:r>
      <w:r>
        <w:rPr>
          <w:rFonts w:hint="eastAsia"/>
          <w:color w:val="000000" w:themeColor="text1"/>
          <w:highlight w:val="none"/>
          <w:lang w:val="en-US" w:eastAsia="zh-CN"/>
        </w:rPr>
        <w:t>路基填土高度、挖方深度、路堤或路堑最大、最小高度及其控制因素</w:t>
      </w:r>
    </w:p>
    <w:p w14:paraId="5B27B075">
      <w:pPr>
        <w:pageBreakBefore w:val="0"/>
        <w:numPr>
          <w:ilvl w:val="0"/>
          <w:numId w:val="0"/>
        </w:numPr>
        <w:wordWrap/>
        <w:topLinePunct w:val="0"/>
        <w:bidi w:val="0"/>
        <w:spacing w:line="360" w:lineRule="auto"/>
        <w:ind w:firstLine="480" w:firstLineChars="200"/>
        <w:rPr>
          <w:rFonts w:hint="eastAsia"/>
          <w:color w:val="000000" w:themeColor="text1"/>
          <w:highlight w:val="none"/>
          <w:lang w:val="en-US" w:eastAsia="zh-CN"/>
        </w:rPr>
      </w:pPr>
      <w:r>
        <w:rPr>
          <w:rFonts w:hint="eastAsia" w:ascii="Times New Roman" w:hAnsi="Times New Roman" w:eastAsia="宋体" w:cs="Times New Roman"/>
          <w:color w:val="000000" w:themeColor="text1"/>
          <w:kern w:val="2"/>
          <w:sz w:val="24"/>
          <w:szCs w:val="24"/>
          <w:highlight w:val="none"/>
          <w:lang w:val="en-US" w:eastAsia="zh-CN" w:bidi="ar-SA"/>
        </w:rPr>
        <w:t>（1）</w:t>
      </w:r>
      <w:r>
        <w:rPr>
          <w:rFonts w:hint="eastAsia"/>
          <w:color w:val="000000" w:themeColor="text1"/>
          <w:highlight w:val="none"/>
          <w:lang w:val="en-US" w:eastAsia="zh-CN"/>
        </w:rPr>
        <w:t>路堤填高及其控制因素</w:t>
      </w:r>
    </w:p>
    <w:p w14:paraId="14BF09D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基高度的设计，首先满足《公路工程技术标准》规定的路基高度要求。路基边缘高出路基两侧地面积水高度；同时满足在地下水、毛细水和冰冻的作用下，不致影响路基的强度和稳定性；满足桥涵泄洪要求的最小高度；满足路基稳定要求的最小高度。</w:t>
      </w:r>
    </w:p>
    <w:p w14:paraId="10E4883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a 路基设计标高</w:t>
      </w:r>
    </w:p>
    <w:p w14:paraId="6DF48D8D">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路基设计标高为路中心线标高。</w:t>
      </w:r>
    </w:p>
    <w:p w14:paraId="46D14D4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b 路基最小填土高度</w:t>
      </w:r>
    </w:p>
    <w:p w14:paraId="7B1071B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新建一般路段路基最小填土高度应按1.5m控制，使路床处于干燥状态；水田、路侧积水及低洼积水路段路基最小填土高度按2.0m控制。对于本项目积水路段均设置碎石功能层方案。当受其他因素影响，路基填高较小时，应采取相应的处理、排水设计方案，以保证路基及路面结构的稳定和安全。本项目路堤最大填土高度为10.67m。</w:t>
      </w:r>
    </w:p>
    <w:p w14:paraId="196ED47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（2）挖方深度及其控制因素</w:t>
      </w:r>
    </w:p>
    <w:p w14:paraId="55F5948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浅挖或土质路堑地段，根据地下水的埋藏深度对路床的影响控制挖方深度。</w:t>
      </w:r>
    </w:p>
    <w:p w14:paraId="7EDAF72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一般挖方路段，根据路基土石方平衡及弃方情况对挖方深度进行控制，并与纵坡设计相协调。本项目最大挖方深度为6.26m。</w:t>
      </w:r>
    </w:p>
    <w:p w14:paraId="1DA7F37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（3）路基边坡</w:t>
      </w:r>
    </w:p>
    <w:p w14:paraId="261ECFAF">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根据沿线岩土工程特性，参照《公路工程技术标准》（JTG B01-2014）及《公路路基设计规范》（JTG D30-2015）的有关要求，路基边坡设计如下：</w:t>
      </w:r>
    </w:p>
    <w:p w14:paraId="31636A3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a 路堤边坡</w:t>
      </w:r>
    </w:p>
    <w:p w14:paraId="7BD8DF8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本项目路堤边坡填土高度小于8m时，边坡坡率采用1:1.5，填土高度大于8m时，采用折线边坡，上部采用1:1.5，在8m处设置折角，下部采用1:1.75。</w:t>
      </w:r>
    </w:p>
    <w:p w14:paraId="1ECEA3C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b 路堑边坡</w:t>
      </w:r>
    </w:p>
    <w:p w14:paraId="3901D08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土质边坡边坡坡率采用1:1.5。</w:t>
      </w:r>
    </w:p>
    <w:p w14:paraId="4B5D45E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c 公路用地范围</w:t>
      </w:r>
    </w:p>
    <w:p w14:paraId="315A6A9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路堤为坡脚或边沟外缘1.0m，路堑为截水沟外缘以外1m，无截水沟时为坡顶外缘以外1m，桥梁路段以桥梁正投影以外1m为公路用地界。</w:t>
      </w:r>
    </w:p>
    <w:p w14:paraId="1AE3FD2D">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3.1.4.4</w:t>
      </w:r>
      <w:r>
        <w:rPr>
          <w:rFonts w:hint="eastAsia"/>
          <w:color w:val="000000" w:themeColor="text1"/>
          <w:highlight w:val="none"/>
          <w:lang w:val="en-US" w:eastAsia="zh-CN"/>
        </w:rPr>
        <w:t>路桥过渡设计方案</w:t>
      </w:r>
    </w:p>
    <w:p w14:paraId="68E7F6D3">
      <w:pPr>
        <w:pStyle w:val="86"/>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桥梁两侧可以采用换填砂砾和复合路基的方式，两种方式均可以减少路基与桥梁之间的不均匀沉降，但从造价比较来看，水泥搅拌桩路基的造价较换填砂砾高出很多，因此综合考虑采用换填砂砾的方式处理桥梁两侧路基。</w:t>
      </w:r>
    </w:p>
    <w:p w14:paraId="196A1035">
      <w:pPr>
        <w:pStyle w:val="86"/>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为保证桥头及涵洞路基的压实和避免产生跳车现象，在连接处设置过渡段，填筑水性良好的砂砾，过渡段长度:桥梁底面换填长度采用2倍台背填土高度+3m，纵向采用1:1的坡率与路基衔接，并围绕放坡预留台阶；若顶面换填长度小于搭板长度时，顶面换填长度采用搭板长度。</w:t>
      </w:r>
    </w:p>
    <w:p w14:paraId="4CD32A61">
      <w:pPr>
        <w:pStyle w:val="86"/>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暗涵换填高度为涌洞顶面标高，底面换填长度采用2倍涌背填土高度+3m，纵向采用1:1的坡率与路基衔接，并围绕放坡预留台阶。</w:t>
      </w:r>
    </w:p>
    <w:p w14:paraId="7FA935B5">
      <w:pPr>
        <w:pStyle w:val="86"/>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桥台台后填土高度为路基高度减去路面厚度，台后换填宽度采用路基宽度减去两侧各1m的粘性土包边，台后路基压实度不应小于96%。</w:t>
      </w:r>
    </w:p>
    <w:p w14:paraId="002FDE7F">
      <w:pPr>
        <w:pStyle w:val="86"/>
        <w:pageBreakBefore w:val="0"/>
        <w:wordWrap/>
        <w:topLinePunct w:val="0"/>
        <w:bidi w:val="0"/>
        <w:spacing w:line="360" w:lineRule="auto"/>
        <w:rPr>
          <w:color w:val="000000" w:themeColor="text1"/>
          <w:kern w:val="0"/>
          <w:highlight w:val="none"/>
        </w:rPr>
      </w:pPr>
      <w:r>
        <w:rPr>
          <w:rFonts w:hint="eastAsia"/>
          <w:color w:val="000000" w:themeColor="text1"/>
          <w:kern w:val="0"/>
          <w:highlight w:val="none"/>
          <w:lang w:val="en-US" w:eastAsia="zh-CN"/>
        </w:rPr>
        <w:t>台后地基：台后为不良地质地段按照特殊路基考虑，清表路段采用清基后换填砂砾的处理方式</w:t>
      </w:r>
      <w:r>
        <w:rPr>
          <w:rFonts w:hint="eastAsia"/>
          <w:color w:val="000000" w:themeColor="text1"/>
          <w:kern w:val="0"/>
          <w:highlight w:val="none"/>
        </w:rPr>
        <w:t>。</w:t>
      </w:r>
    </w:p>
    <w:p w14:paraId="74DD778B">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3.1.4.5</w:t>
      </w:r>
      <w:r>
        <w:rPr>
          <w:rFonts w:hint="eastAsia"/>
          <w:color w:val="000000" w:themeColor="text1"/>
          <w:highlight w:val="none"/>
          <w:lang w:val="en-US" w:eastAsia="zh-CN"/>
        </w:rPr>
        <w:t>不良地质地段路基设计</w:t>
      </w:r>
    </w:p>
    <w:p w14:paraId="7821D9D3">
      <w:pPr>
        <w:pageBreakBefore w:val="0"/>
        <w:widowControl/>
        <w:wordWrap/>
        <w:topLinePunct w:val="0"/>
        <w:bidi w:val="0"/>
        <w:spacing w:line="360" w:lineRule="auto"/>
        <w:jc w:val="left"/>
        <w:rPr>
          <w:rFonts w:hint="eastAsia"/>
          <w:color w:val="000000" w:themeColor="text1"/>
          <w:highlight w:val="none"/>
          <w:lang w:val="en-US" w:eastAsia="zh-CN"/>
        </w:rPr>
      </w:pPr>
      <w:r>
        <w:rPr>
          <w:rFonts w:hint="eastAsia"/>
          <w:color w:val="000000" w:themeColor="text1"/>
          <w:highlight w:val="none"/>
          <w:lang w:val="en-US" w:eastAsia="zh-CN"/>
        </w:rPr>
        <w:t>全线不良地质路段类型有水田、路侧积水及低洼积水路段。不良地质路段表层为软塑粉质黏土，土质结构疏松，孔隙比大，含水量高，承载力低，具有强冻胀性，易形成翻及施工后路基下沉。本次设计根据地勘资料及现场调查结果，确定不良地质路段段落及不良土层厚度。</w:t>
      </w:r>
    </w:p>
    <w:p w14:paraId="1DF4E899">
      <w:pPr>
        <w:pageBreakBefore w:val="0"/>
        <w:widowControl/>
        <w:wordWrap/>
        <w:topLinePunct w:val="0"/>
        <w:bidi w:val="0"/>
        <w:spacing w:line="360" w:lineRule="auto"/>
        <w:jc w:val="left"/>
        <w:rPr>
          <w:rFonts w:hint="eastAsia" w:eastAsia="宋体"/>
          <w:color w:val="000000" w:themeColor="text1"/>
          <w:highlight w:val="none"/>
          <w:lang w:eastAsia="zh-CN"/>
        </w:rPr>
      </w:pPr>
      <w:r>
        <w:rPr>
          <w:rFonts w:hint="eastAsia"/>
          <w:color w:val="000000" w:themeColor="text1"/>
          <w:highlight w:val="none"/>
        </w:rPr>
        <w:t>根据黑龙江省其他工程软弱地基处治设计、施工经验及公路运营情况，结合本项目软弱地基特点，确定处治方式如下</w:t>
      </w:r>
      <w:r>
        <w:rPr>
          <w:rFonts w:hint="eastAsia"/>
          <w:color w:val="000000" w:themeColor="text1"/>
          <w:highlight w:val="none"/>
          <w:lang w:eastAsia="zh-CN"/>
        </w:rPr>
        <w:t>：</w:t>
      </w:r>
    </w:p>
    <w:p w14:paraId="40DF713B">
      <w:pPr>
        <w:pageBreakBefore w:val="0"/>
        <w:widowControl/>
        <w:wordWrap/>
        <w:topLinePunct w:val="0"/>
        <w:bidi w:val="0"/>
        <w:spacing w:line="360" w:lineRule="auto"/>
        <w:jc w:val="left"/>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rPr>
        <w:t>水田路基</w:t>
      </w:r>
    </w:p>
    <w:p w14:paraId="25BF59F8">
      <w:pPr>
        <w:pageBreakBefore w:val="0"/>
        <w:widowControl/>
        <w:wordWrap/>
        <w:topLinePunct w:val="0"/>
        <w:bidi w:val="0"/>
        <w:spacing w:line="360" w:lineRule="auto"/>
        <w:jc w:val="left"/>
        <w:rPr>
          <w:rFonts w:hint="eastAsia"/>
          <w:color w:val="000000" w:themeColor="text1"/>
          <w:highlight w:val="none"/>
        </w:rPr>
      </w:pPr>
      <w:r>
        <w:rPr>
          <w:rFonts w:hint="eastAsia"/>
          <w:color w:val="000000" w:themeColor="text1"/>
          <w:highlight w:val="none"/>
        </w:rPr>
        <w:t>路线穿过水田路段，地面以下挖除全部不良土质，采取清基后换填未分碎石的措施，填筑高度高出原地面50cm。</w:t>
      </w:r>
    </w:p>
    <w:p w14:paraId="73C7ABBC">
      <w:pPr>
        <w:pageBreakBefore w:val="0"/>
        <w:widowControl/>
        <w:wordWrap/>
        <w:topLinePunct w:val="0"/>
        <w:bidi w:val="0"/>
        <w:spacing w:line="360" w:lineRule="auto"/>
        <w:jc w:val="left"/>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rPr>
        <w:t>低洼积水路基</w:t>
      </w:r>
    </w:p>
    <w:p w14:paraId="426AEF2D">
      <w:pPr>
        <w:pageBreakBefore w:val="0"/>
        <w:widowControl/>
        <w:wordWrap/>
        <w:topLinePunct w:val="0"/>
        <w:bidi w:val="0"/>
        <w:spacing w:line="360" w:lineRule="auto"/>
        <w:jc w:val="left"/>
        <w:rPr>
          <w:rFonts w:hint="eastAsia"/>
          <w:color w:val="000000" w:themeColor="text1"/>
          <w:highlight w:val="none"/>
        </w:rPr>
      </w:pPr>
      <w:r>
        <w:rPr>
          <w:rFonts w:hint="eastAsia"/>
          <w:color w:val="000000" w:themeColor="text1"/>
          <w:highlight w:val="none"/>
        </w:rPr>
        <w:t>路线穿过低洼积水路段，地面以下挖除全部不良土质，采取清基后换填未分碎石的措施，填筑高度高出原地面30cm。</w:t>
      </w:r>
    </w:p>
    <w:p w14:paraId="035EC741">
      <w:pPr>
        <w:pageBreakBefore w:val="0"/>
        <w:widowControl/>
        <w:wordWrap/>
        <w:topLinePunct w:val="0"/>
        <w:bidi w:val="0"/>
        <w:spacing w:line="360" w:lineRule="auto"/>
        <w:jc w:val="left"/>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rPr>
        <w:t>路侧边沟积水路基</w:t>
      </w:r>
    </w:p>
    <w:p w14:paraId="49FB8B61">
      <w:pPr>
        <w:pageBreakBefore w:val="0"/>
        <w:widowControl/>
        <w:wordWrap/>
        <w:topLinePunct w:val="0"/>
        <w:bidi w:val="0"/>
        <w:spacing w:line="360" w:lineRule="auto"/>
        <w:jc w:val="left"/>
        <w:rPr>
          <w:color w:val="000000" w:themeColor="text1"/>
          <w:highlight w:val="none"/>
        </w:rPr>
      </w:pPr>
      <w:r>
        <w:rPr>
          <w:rFonts w:hint="eastAsia"/>
          <w:color w:val="000000" w:themeColor="text1"/>
          <w:highlight w:val="none"/>
        </w:rPr>
        <w:t>路线穿过旧路两侧边沟积水路段，地面以下挖除全部不良土质，采取清基后换填未筛分碎石的措施</w:t>
      </w:r>
      <w:r>
        <w:rPr>
          <w:color w:val="000000" w:themeColor="text1"/>
          <w:highlight w:val="none"/>
        </w:rPr>
        <w:t>。</w:t>
      </w:r>
    </w:p>
    <w:p w14:paraId="36BEE489">
      <w:pPr>
        <w:pStyle w:val="5"/>
        <w:pageBreakBefore w:val="0"/>
        <w:wordWrap/>
        <w:topLinePunct w:val="0"/>
        <w:bidi w:val="0"/>
        <w:spacing w:before="156" w:line="360" w:lineRule="auto"/>
        <w:rPr>
          <w:rFonts w:hint="default"/>
          <w:color w:val="000000" w:themeColor="text1"/>
          <w:highlight w:val="none"/>
          <w:lang w:val="en-US"/>
        </w:rPr>
      </w:pPr>
      <w:r>
        <w:rPr>
          <w:rFonts w:hint="eastAsia"/>
          <w:color w:val="000000" w:themeColor="text1"/>
          <w:highlight w:val="none"/>
        </w:rPr>
        <w:t>3.1.4.6</w:t>
      </w:r>
      <w:r>
        <w:rPr>
          <w:rFonts w:hint="eastAsia"/>
          <w:color w:val="000000" w:themeColor="text1"/>
          <w:highlight w:val="none"/>
          <w:lang w:val="en-US" w:eastAsia="zh-CN"/>
        </w:rPr>
        <w:t>其他路基设计</w:t>
      </w:r>
    </w:p>
    <w:p w14:paraId="024B3048">
      <w:pPr>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（1）路基表土剥离</w:t>
      </w:r>
    </w:p>
    <w:p w14:paraId="4BCD82EE">
      <w:pPr>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填方路段清除表层腐质土，平整碾压基底后回填路基土方，计列碾压面积。挖方路段无论是林地、旱地及草地均应清表土。清表土应根据调查的表土厚度具体确定处理厚度。一般耕地及荒地清30cm地表种植土，林地段应清除树根腐殖土，挖除植物根系，处理深度为40cm。清除的表土暂按表土剥离要求运送至指定位置集中堆放，妥善储存，后期按地方政府要求使用。</w:t>
      </w:r>
    </w:p>
    <w:p w14:paraId="5B270D6A">
      <w:pPr>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（2）低填浅挖及路槽处理</w:t>
      </w:r>
    </w:p>
    <w:p w14:paraId="305FD005">
      <w:pPr>
        <w:pageBreakBefore w:val="0"/>
        <w:wordWrap/>
        <w:topLinePunct w:val="0"/>
        <w:bidi w:val="0"/>
        <w:spacing w:line="360" w:lineRule="auto"/>
        <w:rPr>
          <w:rFonts w:hint="eastAsia"/>
          <w:color w:val="000000" w:themeColor="text1"/>
          <w:kern w:val="0"/>
          <w:highlight w:val="none"/>
          <w:lang w:val="en-US" w:eastAsia="zh-CN"/>
        </w:rPr>
      </w:pPr>
      <w:r>
        <w:rPr>
          <w:rFonts w:hint="eastAsia"/>
          <w:color w:val="000000" w:themeColor="text1"/>
          <w:kern w:val="0"/>
          <w:highlight w:val="none"/>
          <w:lang w:val="en-US" w:eastAsia="zh-CN"/>
        </w:rPr>
        <w:t>路基填土高度小于路面结构厚度与路床80cm高度之和时，归类为低填浅挖路基。低填浅挖路基，为保证路槽底0--80cm压实度，并使路面结构层处于干燥状态须进行槽下处理。低填浅挖段挖除路面结构层下80cm路床范围内土方，并换碎石土。</w:t>
      </w:r>
    </w:p>
    <w:p w14:paraId="60CEDAE7">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3.1.4.7</w:t>
      </w:r>
      <w:r>
        <w:rPr>
          <w:rFonts w:hint="eastAsia"/>
          <w:color w:val="000000" w:themeColor="text1"/>
          <w:highlight w:val="none"/>
          <w:lang w:val="en-US" w:eastAsia="zh-CN"/>
        </w:rPr>
        <w:t>路基防护工程</w:t>
      </w:r>
    </w:p>
    <w:p w14:paraId="7BBB898E">
      <w:pPr>
        <w:pageBreakBefore w:val="0"/>
        <w:wordWrap/>
        <w:topLinePunct w:val="0"/>
        <w:bidi w:val="0"/>
        <w:spacing w:line="360" w:lineRule="auto"/>
        <w:rPr>
          <w:rFonts w:hint="eastAsia"/>
          <w:color w:val="000000" w:themeColor="text1"/>
          <w:kern w:val="0"/>
          <w:highlight w:val="none"/>
          <w:lang w:eastAsia="zh-CN"/>
        </w:rPr>
      </w:pPr>
      <w:r>
        <w:rPr>
          <w:rFonts w:hint="eastAsia"/>
          <w:color w:val="000000" w:themeColor="text1"/>
          <w:kern w:val="0"/>
          <w:highlight w:val="none"/>
          <w:lang w:eastAsia="zh-CN"/>
        </w:rPr>
        <w:t>路基边坡防护以安全、经济、实用、美观且施工方便为原则，根据本项目水文情况、工程地质条件及筑路材料来源情况，以保证边坡稳定为前提，以固土为本，采取以绿色生物防护为主的防护方案。</w:t>
      </w:r>
    </w:p>
    <w:p w14:paraId="31F9E244">
      <w:pPr>
        <w:pageBreakBefore w:val="0"/>
        <w:wordWrap/>
        <w:topLinePunct w:val="0"/>
        <w:bidi w:val="0"/>
        <w:spacing w:line="360" w:lineRule="auto"/>
        <w:rPr>
          <w:rFonts w:hint="eastAsia"/>
          <w:color w:val="000000" w:themeColor="text1"/>
          <w:kern w:val="0"/>
          <w:highlight w:val="none"/>
          <w:lang w:eastAsia="zh-CN"/>
        </w:rPr>
      </w:pPr>
      <w:r>
        <w:rPr>
          <w:rFonts w:hint="eastAsia"/>
          <w:color w:val="000000" w:themeColor="text1"/>
          <w:kern w:val="0"/>
          <w:highlight w:val="none"/>
          <w:lang w:eastAsia="zh-CN"/>
        </w:rPr>
        <w:t>本项目较适宜采用的防护形式有：边坡植物防护、砌片石满铺防护、流水带拱形防护+物防护等。</w:t>
      </w:r>
    </w:p>
    <w:p w14:paraId="4E5A89FB">
      <w:pPr>
        <w:pageBreakBefore w:val="0"/>
        <w:wordWrap/>
        <w:topLinePunct w:val="0"/>
        <w:bidi w:val="0"/>
        <w:spacing w:line="360" w:lineRule="auto"/>
        <w:rPr>
          <w:rFonts w:hint="eastAsia"/>
          <w:color w:val="000000" w:themeColor="text1"/>
          <w:kern w:val="0"/>
          <w:highlight w:val="none"/>
          <w:lang w:eastAsia="zh-CN"/>
        </w:rPr>
      </w:pPr>
      <w:r>
        <w:rPr>
          <w:rFonts w:hint="eastAsia"/>
          <w:color w:val="000000" w:themeColor="text1"/>
          <w:kern w:val="0"/>
          <w:highlight w:val="none"/>
          <w:lang w:eastAsia="zh-CN"/>
        </w:rPr>
        <w:t>根据本项目实际情况：</w:t>
      </w:r>
    </w:p>
    <w:p w14:paraId="4FA09114">
      <w:pPr>
        <w:pageBreakBefore w:val="0"/>
        <w:wordWrap/>
        <w:topLinePunct w:val="0"/>
        <w:bidi w:val="0"/>
        <w:spacing w:line="360" w:lineRule="auto"/>
        <w:rPr>
          <w:rFonts w:hint="eastAsia"/>
          <w:color w:val="000000" w:themeColor="text1"/>
          <w:kern w:val="0"/>
          <w:highlight w:val="none"/>
          <w:lang w:eastAsia="zh-CN"/>
        </w:rPr>
      </w:pPr>
      <w:r>
        <w:rPr>
          <w:rFonts w:hint="eastAsia"/>
          <w:color w:val="000000" w:themeColor="text1"/>
          <w:kern w:val="0"/>
          <w:highlight w:val="none"/>
          <w:lang w:eastAsia="zh-CN"/>
        </w:rPr>
        <w:t>填方路基防护：当路堤边坡高度小于4m时，采用植物防护（植草）；当路堤边坡高度大于4m时，采用流水带拱形防护。</w:t>
      </w:r>
    </w:p>
    <w:p w14:paraId="3A0A0D38">
      <w:pPr>
        <w:pageBreakBefore w:val="0"/>
        <w:wordWrap/>
        <w:topLinePunct w:val="0"/>
        <w:bidi w:val="0"/>
        <w:spacing w:line="360" w:lineRule="auto"/>
        <w:rPr>
          <w:rFonts w:hint="eastAsia"/>
          <w:color w:val="000000" w:themeColor="text1"/>
          <w:kern w:val="0"/>
          <w:highlight w:val="none"/>
          <w:lang w:eastAsia="zh-CN"/>
        </w:rPr>
      </w:pPr>
      <w:r>
        <w:rPr>
          <w:rFonts w:hint="eastAsia"/>
          <w:color w:val="000000" w:themeColor="text1"/>
          <w:kern w:val="0"/>
          <w:highlight w:val="none"/>
          <w:lang w:eastAsia="zh-CN"/>
        </w:rPr>
        <w:t>挖方路堑防护：当路堑边坡高度小于4m时，采用植物防护（植草）；当路堑边坡高度大于4m时，采用流水带拱形防护。</w:t>
      </w:r>
    </w:p>
    <w:p w14:paraId="6748E19E">
      <w:pPr>
        <w:pageBreakBefore w:val="0"/>
        <w:wordWrap/>
        <w:topLinePunct w:val="0"/>
        <w:bidi w:val="0"/>
        <w:spacing w:line="360" w:lineRule="auto"/>
        <w:rPr>
          <w:rFonts w:hint="eastAsia"/>
          <w:color w:val="000000" w:themeColor="text1"/>
          <w:kern w:val="0"/>
          <w:highlight w:val="none"/>
        </w:rPr>
      </w:pPr>
      <w:r>
        <w:rPr>
          <w:rFonts w:hint="eastAsia"/>
          <w:color w:val="000000" w:themeColor="text1"/>
          <w:kern w:val="0"/>
          <w:highlight w:val="none"/>
          <w:lang w:eastAsia="zh-CN"/>
        </w:rPr>
        <w:t>桥头路基、浸水路基防护：路基边坡采用浆砌片石进行护坡。结合本项目的实际情况，本次设计采取边坡满铺防护的设计方案。</w:t>
      </w:r>
    </w:p>
    <w:p w14:paraId="5A4958B3">
      <w:pPr>
        <w:pStyle w:val="4"/>
        <w:pageBreakBefore w:val="0"/>
        <w:wordWrap/>
        <w:topLinePunct w:val="0"/>
        <w:bidi w:val="0"/>
        <w:spacing w:before="156" w:line="360" w:lineRule="auto"/>
        <w:rPr>
          <w:color w:val="000000" w:themeColor="text1"/>
          <w:highlight w:val="none"/>
        </w:rPr>
      </w:pPr>
      <w:bookmarkStart w:id="244" w:name="_Toc23074"/>
      <w:bookmarkStart w:id="245" w:name="_Toc14792"/>
      <w:r>
        <w:rPr>
          <w:rFonts w:hint="eastAsia"/>
          <w:color w:val="000000" w:themeColor="text1"/>
          <w:highlight w:val="none"/>
        </w:rPr>
        <w:t>3.1.5</w:t>
      </w:r>
      <w:r>
        <w:rPr>
          <w:color w:val="000000" w:themeColor="text1"/>
          <w:highlight w:val="none"/>
        </w:rPr>
        <w:t>路面工程</w:t>
      </w:r>
      <w:bookmarkEnd w:id="244"/>
      <w:bookmarkEnd w:id="245"/>
    </w:p>
    <w:p w14:paraId="2FCE9208">
      <w:pPr>
        <w:pStyle w:val="5"/>
        <w:pageBreakBefore w:val="0"/>
        <w:wordWrap/>
        <w:topLinePunct w:val="0"/>
        <w:bidi w:val="0"/>
        <w:spacing w:before="156" w:line="360" w:lineRule="auto"/>
        <w:rPr>
          <w:rFonts w:hint="default"/>
          <w:color w:val="000000" w:themeColor="text1"/>
          <w:highlight w:val="none"/>
          <w:lang w:val="en-US"/>
        </w:rPr>
      </w:pPr>
      <w:r>
        <w:rPr>
          <w:rFonts w:hint="eastAsia"/>
          <w:color w:val="000000" w:themeColor="text1"/>
          <w:highlight w:val="none"/>
        </w:rPr>
        <w:t>3.1.</w:t>
      </w:r>
      <w:r>
        <w:rPr>
          <w:rFonts w:hint="eastAsia"/>
          <w:color w:val="000000" w:themeColor="text1"/>
          <w:highlight w:val="none"/>
          <w:lang w:val="en-US" w:eastAsia="zh-CN"/>
        </w:rPr>
        <w:t>5</w:t>
      </w:r>
      <w:r>
        <w:rPr>
          <w:rFonts w:hint="eastAsia"/>
          <w:color w:val="000000" w:themeColor="text1"/>
          <w:highlight w:val="none"/>
        </w:rPr>
        <w:t>.1</w:t>
      </w:r>
      <w:r>
        <w:rPr>
          <w:rFonts w:hint="eastAsia"/>
          <w:color w:val="000000" w:themeColor="text1"/>
          <w:highlight w:val="none"/>
          <w:lang w:val="en-US" w:eastAsia="zh-CN"/>
        </w:rPr>
        <w:t>路面设计原则、设计依据</w:t>
      </w:r>
    </w:p>
    <w:p w14:paraId="34B852E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面设计根据公路的功能、使用要求、预测交通量及所处地区的气候、水文、地质等自然条件，结合黑龙江省地区二级公路路面设计及施工经验，进行本项目路面结构综合设计；同时本着技术先进、经济合理、安全适用、因地制宜、合理选材、方便施工、利于养护的原则进行路面方案的比选论证。</w:t>
      </w:r>
    </w:p>
    <w:p w14:paraId="52B4B98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路面设计的依据包括：</w:t>
      </w:r>
    </w:p>
    <w:p w14:paraId="6004E44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《公路沥青路面设计规范》（JTG D50-2017）；</w:t>
      </w:r>
    </w:p>
    <w:p w14:paraId="486DA0EB">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《公路水泥混凝土路面设计规范》（JTG D40-2011）；</w:t>
      </w:r>
    </w:p>
    <w:p w14:paraId="5521D4D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《公路沥青路面施工技术规范》（JTG F40-2004）；</w:t>
      </w:r>
    </w:p>
    <w:p w14:paraId="4A91A972">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《公路水泥混凝土路面施工技术细则》（TTG/T F30-2014）；</w:t>
      </w:r>
    </w:p>
    <w:p w14:paraId="77E970A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《公路路面基层施工技术细则》（JTJ/T F20-2015）；</w:t>
      </w:r>
    </w:p>
    <w:p w14:paraId="729B81D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《公路工程沥青及沥青混合料试验规程》（JTG E20-2011）；</w:t>
      </w:r>
    </w:p>
    <w:p w14:paraId="22D7873C">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《公路工程水泥及水泥混凝土试验规程》（JTG E30-2005）。</w:t>
      </w:r>
    </w:p>
    <w:p w14:paraId="4A682BDA">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w:t>
      </w:r>
      <w:r>
        <w:rPr>
          <w:rFonts w:hint="eastAsia"/>
          <w:color w:val="000000" w:themeColor="text1"/>
          <w:highlight w:val="none"/>
          <w:lang w:val="en-US" w:eastAsia="zh-CN"/>
        </w:rPr>
        <w:t>5</w:t>
      </w:r>
      <w:r>
        <w:rPr>
          <w:rFonts w:hint="eastAsia"/>
          <w:color w:val="000000" w:themeColor="text1"/>
          <w:highlight w:val="none"/>
        </w:rPr>
        <w:t>.</w:t>
      </w:r>
      <w:r>
        <w:rPr>
          <w:rFonts w:hint="eastAsia"/>
          <w:color w:val="000000" w:themeColor="text1"/>
          <w:highlight w:val="none"/>
          <w:lang w:val="en-US" w:eastAsia="zh-CN"/>
        </w:rPr>
        <w:t>2设计标准</w:t>
      </w:r>
    </w:p>
    <w:p w14:paraId="326A1665">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沥青混凝土路面设计采用双园垂直均布荷载作用下的多层弹性连续体系理论，以沥青混合料层疲劳开裂、无机结合料层疲劳开裂、沥青混合料层永久变形量、路基顶面竖向压应变和低温开裂指数作为设计指标，计算路面结构厚度。</w:t>
      </w:r>
    </w:p>
    <w:p w14:paraId="16F65BEC">
      <w:pPr>
        <w:pageBreakBefore w:val="0"/>
        <w:wordWrap/>
        <w:topLinePunct w:val="0"/>
        <w:bidi w:val="0"/>
        <w:spacing w:line="360" w:lineRule="auto"/>
        <w:ind w:left="0" w:leftChars="0" w:firstLine="480" w:firstLineChars="200"/>
        <w:rPr>
          <w:rFonts w:hint="default" w:ascii="Times New Roman" w:hAnsi="Times New Roman" w:cs="Times New Roman"/>
          <w:color w:val="000000" w:themeColor="text1"/>
          <w:highlight w:val="none"/>
          <w:lang w:val="en-US" w:eastAsia="zh-CN"/>
        </w:rPr>
      </w:pPr>
      <w:r>
        <w:rPr>
          <w:rFonts w:hint="eastAsia"/>
          <w:color w:val="000000" w:themeColor="text1"/>
          <w:highlight w:val="none"/>
          <w:lang w:val="en-US" w:eastAsia="zh-CN"/>
        </w:rPr>
        <w:t>沥青混凝土路面设计采用轴重100KN的单轴-双轮组轴载作为设计轴载，设计年</w:t>
      </w:r>
      <w:r>
        <w:rPr>
          <w:rFonts w:hint="default" w:ascii="Times New Roman" w:hAnsi="Times New Roman" w:cs="Times New Roman"/>
          <w:color w:val="000000" w:themeColor="text1"/>
          <w:highlight w:val="none"/>
          <w:lang w:val="en-US" w:eastAsia="zh-CN"/>
        </w:rPr>
        <w:t>限为12年，交通等级属于中等交通。本项目所在自然区划为Ⅱ1a区。</w:t>
      </w:r>
      <w:r>
        <w:rPr>
          <w:rFonts w:hint="eastAsia" w:ascii="Times New Roman" w:hAnsi="Times New Roman" w:cs="Times New Roman"/>
          <w:color w:val="000000" w:themeColor="text1"/>
          <w:highlight w:val="none"/>
          <w:lang w:val="en-US" w:eastAsia="zh-CN"/>
        </w:rPr>
        <w:t>（</w:t>
      </w:r>
      <w:r>
        <w:rPr>
          <w:rFonts w:hint="default" w:ascii="Times New Roman" w:hAnsi="Times New Roman" w:cs="Times New Roman"/>
          <w:color w:val="000000" w:themeColor="text1"/>
          <w:highlight w:val="none"/>
          <w:lang w:val="en-US" w:eastAsia="zh-CN"/>
        </w:rPr>
        <w:t>路面结构计算结果详见计算书</w:t>
      </w:r>
      <w:r>
        <w:rPr>
          <w:rFonts w:hint="eastAsia" w:ascii="Times New Roman" w:hAnsi="Times New Roman" w:cs="Times New Roman"/>
          <w:color w:val="000000" w:themeColor="text1"/>
          <w:highlight w:val="none"/>
          <w:lang w:val="en-US" w:eastAsia="zh-CN"/>
        </w:rPr>
        <w:t>）</w:t>
      </w:r>
    </w:p>
    <w:p w14:paraId="1CAB97D7">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default" w:ascii="Times New Roman" w:hAnsi="Times New Roman" w:cs="Times New Roman"/>
          <w:color w:val="000000" w:themeColor="text1"/>
          <w:highlight w:val="none"/>
          <w:lang w:val="en-US" w:eastAsia="zh-CN"/>
        </w:rPr>
        <w:t>本项目采用轴重100KN单轴-双轮组荷载作为设计轴载，对沥青混合料层疲劳开裂损坏、无机结合料稳定层疲劳开裂损坏、沥青混合料层永久变形</w:t>
      </w:r>
      <w:r>
        <w:rPr>
          <w:rFonts w:hint="eastAsia"/>
          <w:color w:val="000000" w:themeColor="text1"/>
          <w:highlight w:val="none"/>
          <w:lang w:val="en-US" w:eastAsia="zh-CN"/>
        </w:rPr>
        <w:t>量、路基顶面竖向压应变，以及路面低温开裂进行验算。计算得到本公路设计使用年限内设计车道累计大型客车和货车交通量为4,074,852，交通等级属于中等交通。</w:t>
      </w:r>
    </w:p>
    <w:p w14:paraId="27F72B7A">
      <w:pPr>
        <w:pageBreakBefore w:val="0"/>
        <w:wordWrap/>
        <w:topLinePunct w:val="0"/>
        <w:bidi w:val="0"/>
        <w:spacing w:line="360" w:lineRule="auto"/>
        <w:ind w:firstLine="482"/>
        <w:jc w:val="center"/>
        <w:rPr>
          <w:rFonts w:hint="default" w:eastAsia="宋体"/>
          <w:b/>
          <w:color w:val="000000" w:themeColor="text1"/>
          <w:highlight w:val="none"/>
          <w:lang w:val="en-US" w:eastAsia="zh-CN"/>
        </w:rPr>
      </w:pPr>
      <w:r>
        <w:rPr>
          <w:b/>
          <w:color w:val="000000" w:themeColor="text1"/>
          <w:highlight w:val="none"/>
        </w:rPr>
        <w:t>表3.1-</w:t>
      </w:r>
      <w:r>
        <w:rPr>
          <w:rFonts w:hint="eastAsia"/>
          <w:b/>
          <w:color w:val="000000" w:themeColor="text1"/>
          <w:highlight w:val="none"/>
          <w:lang w:val="en-US" w:eastAsia="zh-CN"/>
        </w:rPr>
        <w:t>8</w:t>
      </w:r>
      <w:r>
        <w:rPr>
          <w:b/>
          <w:color w:val="000000" w:themeColor="text1"/>
          <w:highlight w:val="none"/>
        </w:rPr>
        <w:t xml:space="preserve">  路面</w:t>
      </w:r>
      <w:r>
        <w:rPr>
          <w:rFonts w:hint="eastAsia"/>
          <w:b/>
          <w:color w:val="000000" w:themeColor="text1"/>
          <w:highlight w:val="none"/>
          <w:lang w:val="en-US" w:eastAsia="zh-CN"/>
        </w:rPr>
        <w:t>设计指标表</w:t>
      </w:r>
    </w:p>
    <w:tbl>
      <w:tblPr>
        <w:tblStyle w:val="132"/>
        <w:tblW w:w="8072" w:type="dxa"/>
        <w:jc w:val="center"/>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fixed"/>
        <w:tblCellMar>
          <w:top w:w="0" w:type="dxa"/>
          <w:left w:w="0" w:type="dxa"/>
          <w:bottom w:w="0" w:type="dxa"/>
          <w:right w:w="0" w:type="dxa"/>
        </w:tblCellMar>
      </w:tblPr>
      <w:tblGrid>
        <w:gridCol w:w="2150"/>
        <w:gridCol w:w="2854"/>
        <w:gridCol w:w="1568"/>
        <w:gridCol w:w="1500"/>
      </w:tblGrid>
      <w:tr w14:paraId="02164403">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150" w:type="dxa"/>
            <w:tcBorders>
              <w:tl2br w:val="nil"/>
              <w:tr2bl w:val="nil"/>
            </w:tcBorders>
            <w:vAlign w:val="center"/>
          </w:tcPr>
          <w:p w14:paraId="5AAED15C">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验算内容</w:t>
            </w:r>
          </w:p>
        </w:tc>
        <w:tc>
          <w:tcPr>
            <w:tcW w:w="2854" w:type="dxa"/>
            <w:tcBorders>
              <w:tl2br w:val="nil"/>
              <w:tr2bl w:val="nil"/>
            </w:tcBorders>
            <w:vAlign w:val="center"/>
          </w:tcPr>
          <w:p w14:paraId="7D42CADB">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计算值</w:t>
            </w:r>
          </w:p>
        </w:tc>
        <w:tc>
          <w:tcPr>
            <w:tcW w:w="1568" w:type="dxa"/>
            <w:tcBorders>
              <w:tl2br w:val="nil"/>
              <w:tr2bl w:val="nil"/>
            </w:tcBorders>
            <w:vAlign w:val="center"/>
          </w:tcPr>
          <w:p w14:paraId="324B401C">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对比值</w:t>
            </w:r>
          </w:p>
        </w:tc>
        <w:tc>
          <w:tcPr>
            <w:tcW w:w="1500" w:type="dxa"/>
            <w:tcBorders>
              <w:tl2br w:val="nil"/>
              <w:tr2bl w:val="nil"/>
            </w:tcBorders>
            <w:vAlign w:val="center"/>
          </w:tcPr>
          <w:p w14:paraId="7CAD2668">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是否满足</w:t>
            </w:r>
          </w:p>
        </w:tc>
      </w:tr>
      <w:tr w14:paraId="2A400AF0">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PrEx>
        <w:trPr>
          <w:trHeight w:val="340" w:hRule="atLeast"/>
          <w:jc w:val="center"/>
        </w:trPr>
        <w:tc>
          <w:tcPr>
            <w:tcW w:w="2150" w:type="dxa"/>
            <w:tcBorders>
              <w:tl2br w:val="nil"/>
              <w:tr2bl w:val="nil"/>
            </w:tcBorders>
            <w:vAlign w:val="center"/>
          </w:tcPr>
          <w:p w14:paraId="37281973">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沥青层车辙（mm）</w:t>
            </w:r>
          </w:p>
        </w:tc>
        <w:tc>
          <w:tcPr>
            <w:tcW w:w="2854" w:type="dxa"/>
            <w:tcBorders>
              <w:tl2br w:val="nil"/>
              <w:tr2bl w:val="nil"/>
            </w:tcBorders>
            <w:vAlign w:val="center"/>
          </w:tcPr>
          <w:p w14:paraId="3CADDD77">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1.2</w:t>
            </w:r>
          </w:p>
        </w:tc>
        <w:tc>
          <w:tcPr>
            <w:tcW w:w="1568" w:type="dxa"/>
            <w:tcBorders>
              <w:tl2br w:val="nil"/>
              <w:tr2bl w:val="nil"/>
            </w:tcBorders>
            <w:shd w:val="clear" w:color="auto" w:fill="auto"/>
            <w:vAlign w:val="center"/>
          </w:tcPr>
          <w:p w14:paraId="5581E3F8">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20.0</w:t>
            </w:r>
          </w:p>
        </w:tc>
        <w:tc>
          <w:tcPr>
            <w:tcW w:w="1500" w:type="dxa"/>
            <w:tcBorders>
              <w:tl2br w:val="nil"/>
              <w:tr2bl w:val="nil"/>
            </w:tcBorders>
            <w:vAlign w:val="center"/>
          </w:tcPr>
          <w:p w14:paraId="21F634DD">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是</w:t>
            </w:r>
          </w:p>
        </w:tc>
      </w:tr>
      <w:tr w14:paraId="68BB50B3">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150" w:type="dxa"/>
            <w:tcBorders>
              <w:tl2br w:val="nil"/>
              <w:tr2bl w:val="nil"/>
            </w:tcBorders>
            <w:vAlign w:val="center"/>
          </w:tcPr>
          <w:p w14:paraId="5F942023">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半刚性层疲劳开裂对应的累积当量轴次</w:t>
            </w:r>
          </w:p>
        </w:tc>
        <w:tc>
          <w:tcPr>
            <w:tcW w:w="2854" w:type="dxa"/>
            <w:tcBorders>
              <w:tl2br w:val="nil"/>
              <w:tr2bl w:val="nil"/>
            </w:tcBorders>
            <w:vAlign w:val="center"/>
          </w:tcPr>
          <w:p w14:paraId="72E0D622">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9,359,970,120</w:t>
            </w:r>
          </w:p>
        </w:tc>
        <w:tc>
          <w:tcPr>
            <w:tcW w:w="1568" w:type="dxa"/>
            <w:tcBorders>
              <w:tl2br w:val="nil"/>
              <w:tr2bl w:val="nil"/>
            </w:tcBorders>
            <w:shd w:val="clear" w:color="auto" w:fill="auto"/>
            <w:vAlign w:val="center"/>
          </w:tcPr>
          <w:p w14:paraId="6A153445">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459,234,982</w:t>
            </w:r>
          </w:p>
        </w:tc>
        <w:tc>
          <w:tcPr>
            <w:tcW w:w="1500" w:type="dxa"/>
            <w:tcBorders>
              <w:tl2br w:val="nil"/>
              <w:tr2bl w:val="nil"/>
            </w:tcBorders>
            <w:vAlign w:val="center"/>
          </w:tcPr>
          <w:p w14:paraId="77E98BD9">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是</w:t>
            </w:r>
          </w:p>
        </w:tc>
      </w:tr>
      <w:tr w14:paraId="19F03B7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150" w:type="dxa"/>
            <w:tcBorders>
              <w:tl2br w:val="nil"/>
              <w:tr2bl w:val="nil"/>
            </w:tcBorders>
            <w:vAlign w:val="center"/>
          </w:tcPr>
          <w:p w14:paraId="0593AD07">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沥青层贯入强度</w:t>
            </w:r>
          </w:p>
        </w:tc>
        <w:tc>
          <w:tcPr>
            <w:tcW w:w="2854" w:type="dxa"/>
            <w:tcBorders>
              <w:tl2br w:val="nil"/>
              <w:tr2bl w:val="nil"/>
            </w:tcBorders>
            <w:vAlign w:val="center"/>
          </w:tcPr>
          <w:p w14:paraId="3FCB52DA">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1.00</w:t>
            </w:r>
          </w:p>
        </w:tc>
        <w:tc>
          <w:tcPr>
            <w:tcW w:w="1568" w:type="dxa"/>
            <w:tcBorders>
              <w:tl2br w:val="nil"/>
              <w:tr2bl w:val="nil"/>
            </w:tcBorders>
            <w:shd w:val="clear" w:color="auto" w:fill="auto"/>
            <w:vAlign w:val="center"/>
          </w:tcPr>
          <w:p w14:paraId="638835BB">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0.40</w:t>
            </w:r>
          </w:p>
        </w:tc>
        <w:tc>
          <w:tcPr>
            <w:tcW w:w="1500" w:type="dxa"/>
            <w:tcBorders>
              <w:tl2br w:val="nil"/>
              <w:tr2bl w:val="nil"/>
            </w:tcBorders>
            <w:vAlign w:val="center"/>
          </w:tcPr>
          <w:p w14:paraId="6D7AD079">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是</w:t>
            </w:r>
          </w:p>
        </w:tc>
      </w:tr>
      <w:tr w14:paraId="6BC9057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150" w:type="dxa"/>
            <w:tcBorders>
              <w:tl2br w:val="nil"/>
              <w:tr2bl w:val="nil"/>
            </w:tcBorders>
            <w:vAlign w:val="center"/>
          </w:tcPr>
          <w:p w14:paraId="1837AF5A">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低温开裂指数</w:t>
            </w:r>
          </w:p>
        </w:tc>
        <w:tc>
          <w:tcPr>
            <w:tcW w:w="2854" w:type="dxa"/>
            <w:tcBorders>
              <w:tl2br w:val="nil"/>
              <w:tr2bl w:val="nil"/>
            </w:tcBorders>
            <w:vAlign w:val="center"/>
          </w:tcPr>
          <w:p w14:paraId="3E0E1104">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4.9</w:t>
            </w:r>
          </w:p>
        </w:tc>
        <w:tc>
          <w:tcPr>
            <w:tcW w:w="1568" w:type="dxa"/>
            <w:tcBorders>
              <w:tl2br w:val="nil"/>
              <w:tr2bl w:val="nil"/>
            </w:tcBorders>
            <w:shd w:val="clear" w:color="auto" w:fill="auto"/>
            <w:vAlign w:val="center"/>
          </w:tcPr>
          <w:p w14:paraId="284E740C">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5.0</w:t>
            </w:r>
          </w:p>
        </w:tc>
        <w:tc>
          <w:tcPr>
            <w:tcW w:w="1500" w:type="dxa"/>
            <w:tcBorders>
              <w:tl2br w:val="nil"/>
              <w:tr2bl w:val="nil"/>
            </w:tcBorders>
            <w:vAlign w:val="center"/>
          </w:tcPr>
          <w:p w14:paraId="3020B49E">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是</w:t>
            </w:r>
          </w:p>
        </w:tc>
      </w:tr>
      <w:tr w14:paraId="3925A48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150" w:type="dxa"/>
            <w:tcBorders>
              <w:tl2br w:val="nil"/>
              <w:tr2bl w:val="nil"/>
            </w:tcBorders>
            <w:vAlign w:val="center"/>
          </w:tcPr>
          <w:p w14:paraId="340D0C16">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防冻厚度（mm）</w:t>
            </w:r>
          </w:p>
        </w:tc>
        <w:tc>
          <w:tcPr>
            <w:tcW w:w="2854" w:type="dxa"/>
            <w:tcBorders>
              <w:tl2br w:val="nil"/>
              <w:tr2bl w:val="nil"/>
            </w:tcBorders>
            <w:vAlign w:val="center"/>
          </w:tcPr>
          <w:p w14:paraId="780DBEE7">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640.0</w:t>
            </w:r>
          </w:p>
        </w:tc>
        <w:tc>
          <w:tcPr>
            <w:tcW w:w="1568" w:type="dxa"/>
            <w:tcBorders>
              <w:tl2br w:val="nil"/>
              <w:tr2bl w:val="nil"/>
            </w:tcBorders>
            <w:shd w:val="clear" w:color="auto" w:fill="auto"/>
            <w:vAlign w:val="center"/>
          </w:tcPr>
          <w:p w14:paraId="51DF7193">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590.0</w:t>
            </w:r>
          </w:p>
        </w:tc>
        <w:tc>
          <w:tcPr>
            <w:tcW w:w="1500" w:type="dxa"/>
            <w:tcBorders>
              <w:tl2br w:val="nil"/>
              <w:tr2bl w:val="nil"/>
            </w:tcBorders>
            <w:vAlign w:val="center"/>
          </w:tcPr>
          <w:p w14:paraId="65597C2B">
            <w:pPr>
              <w:pStyle w:val="131"/>
              <w:keepNext w:val="0"/>
              <w:keepLines w:val="0"/>
              <w:widowControl/>
              <w:suppressLineNumbers w:val="0"/>
              <w:bidi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是</w:t>
            </w:r>
          </w:p>
        </w:tc>
      </w:tr>
    </w:tbl>
    <w:p w14:paraId="5D443B5E">
      <w:pPr>
        <w:pStyle w:val="5"/>
        <w:pageBreakBefore w:val="0"/>
        <w:wordWrap/>
        <w:topLinePunct w:val="0"/>
        <w:bidi w:val="0"/>
        <w:spacing w:before="156" w:line="360" w:lineRule="auto"/>
        <w:rPr>
          <w:rFonts w:hint="eastAsia"/>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5</w:t>
      </w:r>
      <w:r>
        <w:rPr>
          <w:rFonts w:hint="eastAsia"/>
          <w:color w:val="000000" w:themeColor="text1"/>
          <w:highlight w:val="none"/>
        </w:rPr>
        <w:t>.</w:t>
      </w:r>
      <w:r>
        <w:rPr>
          <w:rFonts w:hint="eastAsia"/>
          <w:color w:val="000000" w:themeColor="text1"/>
          <w:highlight w:val="none"/>
          <w:lang w:val="en-US" w:eastAsia="zh-CN"/>
        </w:rPr>
        <w:t>3路面结构设计</w:t>
      </w:r>
    </w:p>
    <w:p w14:paraId="4B987962">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本项目路面结构设计方案如下：</w:t>
      </w:r>
    </w:p>
    <w:p w14:paraId="44B60909">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上面层：5cm中粒式改性沥青混凝土（AC-16）</w:t>
      </w:r>
    </w:p>
    <w:p w14:paraId="34BB9CFE">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下面层：7cm中粒式沥青混凝土（AC-20）</w:t>
      </w:r>
    </w:p>
    <w:p w14:paraId="111A973E">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基层：20m4.5%水泥稳定级配碎石</w:t>
      </w:r>
    </w:p>
    <w:p w14:paraId="550FE93F">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底基层：32cm4.0%水泥稳定级配碎石</w:t>
      </w:r>
    </w:p>
    <w:p w14:paraId="6818FE64">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碎石功能层：20cm（中湿路段）</w:t>
      </w:r>
    </w:p>
    <w:p w14:paraId="656D6DDA">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沥青混凝土路面设计在基层顶面撒铺透层油，透层油采用道路用阳离子乳化沥青PC-2，用量为1.1kg/m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。沥青面层之间撒铺粘层油，粘层油采用改性乳化沥青PCR，沥青用量为0.446kg/m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。在基层顶面设置的封层采用撒布热基质沥青（90号）后，铺设4.75~9.5mm碎石的结构，热沥青撒铺量为1.0kg/m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，碎石用量为4.99m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/1000m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，碎石撒布量为满铺的70%。</w:t>
      </w:r>
    </w:p>
    <w:p w14:paraId="2FFA5A4B">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水稳基层之间及基层与底基层之间洒布水泥净浆,配比采用25:100（水泥质量:水的质量），每平方米撒布量为2.0kg/m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p>
    <w:p w14:paraId="783C6B4B">
      <w:pPr>
        <w:pStyle w:val="4"/>
        <w:pageBreakBefore w:val="0"/>
        <w:wordWrap/>
        <w:topLinePunct w:val="0"/>
        <w:bidi w:val="0"/>
        <w:spacing w:before="156" w:line="360" w:lineRule="auto"/>
        <w:rPr>
          <w:rFonts w:hint="default" w:eastAsia="宋体"/>
          <w:color w:val="000000" w:themeColor="text1"/>
          <w:highlight w:val="none"/>
          <w:lang w:val="en-US" w:eastAsia="zh-CN"/>
        </w:rPr>
      </w:pPr>
      <w:bookmarkStart w:id="246" w:name="_Toc252"/>
      <w:bookmarkStart w:id="247" w:name="_Toc22788"/>
      <w:r>
        <w:rPr>
          <w:rFonts w:hint="eastAsia"/>
          <w:color w:val="000000" w:themeColor="text1"/>
          <w:highlight w:val="none"/>
        </w:rPr>
        <w:t>3.1.6</w:t>
      </w:r>
      <w:r>
        <w:rPr>
          <w:rFonts w:hint="eastAsia"/>
          <w:color w:val="000000" w:themeColor="text1"/>
          <w:highlight w:val="none"/>
          <w:lang w:val="en-US" w:eastAsia="zh-CN"/>
        </w:rPr>
        <w:t>路基、路面排水设计</w:t>
      </w:r>
    </w:p>
    <w:p w14:paraId="7257C22C">
      <w:pPr>
        <w:pStyle w:val="5"/>
        <w:pageBreakBefore w:val="0"/>
        <w:wordWrap/>
        <w:topLinePunct w:val="0"/>
        <w:bidi w:val="0"/>
        <w:spacing w:before="156" w:line="360" w:lineRule="auto"/>
        <w:rPr>
          <w:rFonts w:hint="default"/>
          <w:color w:val="000000" w:themeColor="text1"/>
          <w:highlight w:val="none"/>
          <w:lang w:val="en-US"/>
        </w:rPr>
      </w:pPr>
      <w:r>
        <w:rPr>
          <w:rFonts w:hint="eastAsia"/>
          <w:color w:val="000000" w:themeColor="text1"/>
          <w:highlight w:val="none"/>
        </w:rPr>
        <w:t>3.1.6.1</w:t>
      </w:r>
      <w:r>
        <w:rPr>
          <w:rFonts w:hint="eastAsia"/>
          <w:color w:val="000000" w:themeColor="text1"/>
          <w:highlight w:val="none"/>
          <w:lang w:val="en-US" w:eastAsia="zh-CN"/>
        </w:rPr>
        <w:t>路基、路面排水设计原则</w:t>
      </w:r>
    </w:p>
    <w:p w14:paraId="42950CF0">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为了排除路基、路面范围内的地表水，保证路基路面的稳定，防止路面积水影响行车安全，应对路基路面排水进行综合设计。排水设计应根据地形、地质、桥位置等考虑，合理布置。同时还应注意满足环境保护的要求，防止水土流失和对河流、水渠的水质污染。</w:t>
      </w:r>
    </w:p>
    <w:p w14:paraId="0F236510">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各种排水设施的尺寸和形式根据公路等级、降雨量、汇水面积等实际情况选择:地表排水设施设计降雨的重现期为10年，路面排水设计重现期为5年。排水设施的防护按排水流速不大于冲刷允许的最大速度并不小于出现淤积的最小速度控制。</w:t>
      </w:r>
    </w:p>
    <w:p w14:paraId="0CAAF586">
      <w:pPr>
        <w:pStyle w:val="5"/>
        <w:pageBreakBefore w:val="0"/>
        <w:wordWrap/>
        <w:topLinePunct w:val="0"/>
        <w:bidi w:val="0"/>
        <w:spacing w:before="156" w:line="360" w:lineRule="auto"/>
        <w:rPr>
          <w:rFonts w:hint="default"/>
          <w:color w:val="000000" w:themeColor="text1"/>
          <w:highlight w:val="none"/>
          <w:lang w:val="en-US"/>
        </w:rPr>
      </w:pPr>
      <w:r>
        <w:rPr>
          <w:rFonts w:hint="eastAsia"/>
          <w:color w:val="000000" w:themeColor="text1"/>
          <w:highlight w:val="none"/>
        </w:rPr>
        <w:t>3.1.6.</w:t>
      </w:r>
      <w:r>
        <w:rPr>
          <w:rFonts w:hint="eastAsia"/>
          <w:color w:val="000000" w:themeColor="text1"/>
          <w:highlight w:val="none"/>
          <w:lang w:val="en-US" w:eastAsia="zh-CN"/>
        </w:rPr>
        <w:t>2路基排水设计</w:t>
      </w:r>
    </w:p>
    <w:p w14:paraId="49B337B6">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填方路段采用梯形边沟，沟深0.6m，沟底宽0.6m，边坡内侧采用1:1。沟底纵坡小于3%时，采用土质边沟；沟底纵坡大于3%时，采用浆砌片石边沟。</w:t>
      </w:r>
    </w:p>
    <w:p w14:paraId="317D170E">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挖方路段采用浆砌片石矩形盖板边沟，沟深0.45m，沟底宽0.6m，壁厚0.3m，内外侧边坡直立，盖板厚0.15m。</w:t>
      </w:r>
    </w:p>
    <w:p w14:paraId="6F9471C2">
      <w:pPr>
        <w:pStyle w:val="5"/>
        <w:pageBreakBefore w:val="0"/>
        <w:wordWrap/>
        <w:topLinePunct w:val="0"/>
        <w:bidi w:val="0"/>
        <w:spacing w:before="156" w:line="360" w:lineRule="auto"/>
        <w:rPr>
          <w:rFonts w:hint="default"/>
          <w:color w:val="000000" w:themeColor="text1"/>
          <w:highlight w:val="none"/>
          <w:lang w:val="en-US"/>
        </w:rPr>
      </w:pPr>
      <w:r>
        <w:rPr>
          <w:rFonts w:hint="eastAsia"/>
          <w:color w:val="000000" w:themeColor="text1"/>
          <w:highlight w:val="none"/>
        </w:rPr>
        <w:t>3.1.6.</w:t>
      </w:r>
      <w:r>
        <w:rPr>
          <w:rFonts w:hint="eastAsia"/>
          <w:color w:val="000000" w:themeColor="text1"/>
          <w:highlight w:val="none"/>
          <w:lang w:val="en-US" w:eastAsia="zh-CN"/>
        </w:rPr>
        <w:t>3路面排水设计</w:t>
      </w:r>
    </w:p>
    <w:p w14:paraId="589B8FDA">
      <w:pPr>
        <w:pageBreakBefore w:val="0"/>
        <w:wordWrap/>
        <w:topLinePunct w:val="0"/>
        <w:bidi w:val="0"/>
        <w:spacing w:line="360" w:lineRule="auto"/>
        <w:ind w:left="0" w:leftChars="0" w:firstLine="480" w:firstLineChars="200"/>
        <w:rPr>
          <w:rFonts w:hint="default"/>
          <w:color w:val="000000" w:themeColor="text1"/>
          <w:highlight w:val="none"/>
          <w:lang w:val="en-US" w:eastAsia="zh-CN"/>
        </w:rPr>
      </w:pPr>
      <w:r>
        <w:rPr>
          <w:rFonts w:hint="eastAsia"/>
          <w:color w:val="000000" w:themeColor="text1"/>
          <w:highlight w:val="none"/>
          <w:lang w:val="en-US" w:eastAsia="zh-CN"/>
        </w:rPr>
        <w:t>（1）路面表面排水</w:t>
      </w:r>
    </w:p>
    <w:p w14:paraId="7C04B9BB">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路面表面水由路拱横坡向两侧分散排除，通过排水沟引入天然沟渠。通过比较认为，相比集中式排水，分散式排水排出路面积水的速度比较快，尤其是在暴雨季节的效果更理想，而且分散式排水的工程造价要低得多，路面渗水也较小，本项目路线纵横向起伏较小，排水条件差，路面排水宜采用分散排水的形式（由路面横坡、路肩、边坡防护组成）。综合各方面因素，推荐采用分散式排水。</w:t>
      </w:r>
    </w:p>
    <w:p w14:paraId="416FBDDE">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（2）路面内部排水</w:t>
      </w:r>
    </w:p>
    <w:p w14:paraId="5F592A6F">
      <w:pPr>
        <w:pageBreakBefore w:val="0"/>
        <w:wordWrap/>
        <w:topLinePunct w:val="0"/>
        <w:bidi w:val="0"/>
        <w:spacing w:line="360" w:lineRule="auto"/>
        <w:ind w:left="0" w:leftChars="0" w:firstLine="480" w:firstLineChars="200"/>
        <w:rPr>
          <w:rFonts w:hint="eastAsia"/>
          <w:color w:val="000000" w:themeColor="text1"/>
          <w:highlight w:val="none"/>
          <w:lang w:val="en-US" w:eastAsia="zh-CN"/>
        </w:rPr>
      </w:pPr>
      <w:r>
        <w:rPr>
          <w:rFonts w:hint="eastAsia"/>
          <w:color w:val="000000" w:themeColor="text1"/>
          <w:highlight w:val="none"/>
          <w:lang w:val="en-US" w:eastAsia="zh-CN"/>
        </w:rPr>
        <w:t>根据我省气候、水文地质情况，为排除路基中滞留的自由水，确保路基处于干燥状态，防止路基产生冻胀，设计时对于中湿状态的路基，路面结构应设置垫层。</w:t>
      </w:r>
    </w:p>
    <w:p w14:paraId="6216988D">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3.1.</w:t>
      </w:r>
      <w:r>
        <w:rPr>
          <w:rFonts w:hint="eastAsia"/>
          <w:color w:val="000000" w:themeColor="text1"/>
          <w:highlight w:val="none"/>
          <w:lang w:val="en-US" w:eastAsia="zh-CN"/>
        </w:rPr>
        <w:t>7</w:t>
      </w:r>
      <w:r>
        <w:rPr>
          <w:color w:val="000000" w:themeColor="text1"/>
          <w:highlight w:val="none"/>
        </w:rPr>
        <w:t>桥涵工程</w:t>
      </w:r>
      <w:bookmarkEnd w:id="246"/>
      <w:bookmarkEnd w:id="247"/>
    </w:p>
    <w:p w14:paraId="7D2D7B29">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w:t>
      </w:r>
      <w:r>
        <w:rPr>
          <w:rFonts w:hint="eastAsia"/>
          <w:color w:val="000000" w:themeColor="text1"/>
          <w:highlight w:val="none"/>
          <w:lang w:val="en-US" w:eastAsia="zh-CN"/>
        </w:rPr>
        <w:t>7</w:t>
      </w:r>
      <w:r>
        <w:rPr>
          <w:rFonts w:hint="eastAsia"/>
          <w:color w:val="000000" w:themeColor="text1"/>
          <w:highlight w:val="none"/>
        </w:rPr>
        <w:t>.1</w:t>
      </w:r>
      <w:r>
        <w:rPr>
          <w:rFonts w:hint="eastAsia"/>
          <w:color w:val="000000" w:themeColor="text1"/>
          <w:highlight w:val="none"/>
          <w:lang w:val="en-US" w:eastAsia="zh-CN"/>
        </w:rPr>
        <w:t>桥梁布设情况</w:t>
      </w:r>
    </w:p>
    <w:p w14:paraId="42DB0AB7">
      <w:pPr>
        <w:pStyle w:val="89"/>
        <w:pageBreakBefore w:val="0"/>
        <w:numPr>
          <w:ilvl w:val="0"/>
          <w:numId w:val="0"/>
        </w:numPr>
        <w:tabs>
          <w:tab w:val="left" w:pos="0"/>
        </w:tabs>
        <w:wordWrap/>
        <w:topLinePunct w:val="0"/>
        <w:bidi w:val="0"/>
        <w:adjustRightInd/>
        <w:spacing w:before="0" w:after="0" w:line="360" w:lineRule="auto"/>
        <w:ind w:firstLine="480" w:firstLineChars="200"/>
        <w:jc w:val="both"/>
        <w:rPr>
          <w:rFonts w:hint="eastAsia"/>
          <w:color w:val="000000" w:themeColor="text1"/>
          <w:highlight w:val="none"/>
        </w:rPr>
      </w:pPr>
      <w:r>
        <w:rPr>
          <w:rFonts w:hint="eastAsia"/>
          <w:color w:val="000000" w:themeColor="text1"/>
          <w:highlight w:val="none"/>
          <w:lang w:val="en-US" w:eastAsia="zh-CN"/>
        </w:rPr>
        <w:t>推荐方案桥梁布设情况如下表所列。</w:t>
      </w:r>
    </w:p>
    <w:p w14:paraId="0EEB179F">
      <w:pPr>
        <w:pStyle w:val="89"/>
        <w:pageBreakBefore w:val="0"/>
        <w:numPr>
          <w:ilvl w:val="0"/>
          <w:numId w:val="0"/>
        </w:numPr>
        <w:tabs>
          <w:tab w:val="left" w:pos="0"/>
        </w:tabs>
        <w:wordWrap/>
        <w:topLinePunct w:val="0"/>
        <w:bidi w:val="0"/>
        <w:adjustRightInd/>
        <w:spacing w:before="0" w:after="0" w:line="360" w:lineRule="auto"/>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9</w:t>
      </w:r>
      <w:r>
        <w:rPr>
          <w:b/>
          <w:color w:val="000000" w:themeColor="text1"/>
          <w:highlight w:val="none"/>
        </w:rPr>
        <w:t xml:space="preserve"> </w:t>
      </w:r>
      <w:r>
        <w:rPr>
          <w:rFonts w:hint="eastAsia"/>
          <w:b/>
          <w:color w:val="000000" w:themeColor="text1"/>
          <w:highlight w:val="none"/>
          <w:lang w:val="en-US" w:eastAsia="zh-CN"/>
        </w:rPr>
        <w:t xml:space="preserve"> 推荐方案桥涵列表</w:t>
      </w:r>
    </w:p>
    <w:tbl>
      <w:tblPr>
        <w:tblStyle w:val="132"/>
        <w:tblW w:w="8366" w:type="dxa"/>
        <w:tblInd w:w="159" w:type="dxa"/>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fixed"/>
        <w:tblCellMar>
          <w:top w:w="0" w:type="dxa"/>
          <w:left w:w="0" w:type="dxa"/>
          <w:bottom w:w="0" w:type="dxa"/>
          <w:right w:w="0" w:type="dxa"/>
        </w:tblCellMar>
      </w:tblPr>
      <w:tblGrid>
        <w:gridCol w:w="2607"/>
        <w:gridCol w:w="1221"/>
        <w:gridCol w:w="1698"/>
        <w:gridCol w:w="1559"/>
        <w:gridCol w:w="1281"/>
      </w:tblGrid>
      <w:tr w14:paraId="4A178420">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07" w:type="dxa"/>
            <w:tcBorders>
              <w:tl2br w:val="nil"/>
              <w:tr2bl w:val="nil"/>
            </w:tcBorders>
            <w:vAlign w:val="center"/>
          </w:tcPr>
          <w:p w14:paraId="338D5DC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桥涵名称</w:t>
            </w:r>
          </w:p>
        </w:tc>
        <w:tc>
          <w:tcPr>
            <w:tcW w:w="1221" w:type="dxa"/>
            <w:tcBorders>
              <w:tl2br w:val="nil"/>
              <w:tr2bl w:val="nil"/>
            </w:tcBorders>
            <w:vAlign w:val="center"/>
          </w:tcPr>
          <w:p w14:paraId="2F2BE66A">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桩号</w:t>
            </w:r>
          </w:p>
        </w:tc>
        <w:tc>
          <w:tcPr>
            <w:tcW w:w="1698" w:type="dxa"/>
            <w:tcBorders>
              <w:tl2br w:val="nil"/>
              <w:tr2bl w:val="nil"/>
            </w:tcBorders>
            <w:vAlign w:val="center"/>
          </w:tcPr>
          <w:p w14:paraId="6805897C">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桥涵结构类型</w:t>
            </w:r>
          </w:p>
        </w:tc>
        <w:tc>
          <w:tcPr>
            <w:tcW w:w="1559" w:type="dxa"/>
            <w:tcBorders>
              <w:tl2br w:val="nil"/>
              <w:tr2bl w:val="nil"/>
            </w:tcBorders>
            <w:vAlign w:val="center"/>
          </w:tcPr>
          <w:p w14:paraId="669E318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桥涵宽度（m）</w:t>
            </w:r>
          </w:p>
        </w:tc>
        <w:tc>
          <w:tcPr>
            <w:tcW w:w="1281" w:type="dxa"/>
            <w:tcBorders>
              <w:tl2br w:val="nil"/>
              <w:tr2bl w:val="nil"/>
            </w:tcBorders>
            <w:vAlign w:val="center"/>
          </w:tcPr>
          <w:p w14:paraId="086A629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eastAsia="zh-CN"/>
              </w:rPr>
            </w:pPr>
            <w:r>
              <w:rPr>
                <w:rFonts w:hint="default" w:ascii="Times New Roman" w:hAnsi="Times New Roman" w:eastAsia="宋体" w:cs="Times New Roman"/>
                <w:color w:val="000000" w:themeColor="text1"/>
                <w:spacing w:val="0"/>
                <w:sz w:val="21"/>
                <w:szCs w:val="21"/>
                <w:highlight w:val="none"/>
              </w:rPr>
              <w:t>桥涵长度</w:t>
            </w:r>
            <w:r>
              <w:rPr>
                <w:rFonts w:hint="eastAsia" w:ascii="Times New Roman" w:hAnsi="Times New Roman" w:cs="Times New Roman"/>
                <w:color w:val="000000" w:themeColor="text1"/>
                <w:spacing w:val="0"/>
                <w:sz w:val="21"/>
                <w:szCs w:val="21"/>
                <w:highlight w:val="none"/>
                <w:lang w:eastAsia="zh-CN"/>
              </w:rPr>
              <w:t>（</w:t>
            </w:r>
            <w:r>
              <w:rPr>
                <w:rFonts w:hint="default" w:ascii="Times New Roman" w:hAnsi="Times New Roman" w:eastAsia="宋体" w:cs="Times New Roman"/>
                <w:color w:val="000000" w:themeColor="text1"/>
                <w:spacing w:val="0"/>
                <w:sz w:val="21"/>
                <w:szCs w:val="21"/>
                <w:highlight w:val="none"/>
              </w:rPr>
              <w:t>m</w:t>
            </w:r>
            <w:r>
              <w:rPr>
                <w:rFonts w:hint="eastAsia" w:ascii="Times New Roman" w:hAnsi="Times New Roman" w:cs="Times New Roman"/>
                <w:color w:val="000000" w:themeColor="text1"/>
                <w:spacing w:val="0"/>
                <w:sz w:val="21"/>
                <w:szCs w:val="21"/>
                <w:highlight w:val="none"/>
                <w:lang w:eastAsia="zh-CN"/>
              </w:rPr>
              <w:t>）</w:t>
            </w:r>
          </w:p>
        </w:tc>
      </w:tr>
      <w:tr w14:paraId="3D8D862B">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07" w:type="dxa"/>
            <w:tcBorders>
              <w:tl2br w:val="nil"/>
              <w:tr2bl w:val="nil"/>
            </w:tcBorders>
            <w:vAlign w:val="center"/>
          </w:tcPr>
          <w:p w14:paraId="742F31F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机场进场路跨路北一支桥</w:t>
            </w:r>
          </w:p>
        </w:tc>
        <w:tc>
          <w:tcPr>
            <w:tcW w:w="1221" w:type="dxa"/>
            <w:tcBorders>
              <w:tl2br w:val="nil"/>
              <w:tr2bl w:val="nil"/>
            </w:tcBorders>
            <w:vAlign w:val="center"/>
          </w:tcPr>
          <w:p w14:paraId="4C9A10E3">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default" w:ascii="Times New Roman" w:hAnsi="Times New Roman" w:eastAsia="宋体" w:cs="Times New Roman"/>
                <w:color w:val="000000" w:themeColor="text1"/>
                <w:spacing w:val="0"/>
                <w:sz w:val="21"/>
                <w:szCs w:val="21"/>
                <w:highlight w:val="none"/>
              </w:rPr>
              <w:t>K2+52</w:t>
            </w:r>
            <w:r>
              <w:rPr>
                <w:rFonts w:hint="eastAsia" w:ascii="Times New Roman" w:hAnsi="Times New Roman" w:cs="Times New Roman"/>
                <w:color w:val="000000" w:themeColor="text1"/>
                <w:spacing w:val="0"/>
                <w:sz w:val="21"/>
                <w:szCs w:val="21"/>
                <w:highlight w:val="none"/>
                <w:lang w:val="en-US" w:eastAsia="zh-CN"/>
              </w:rPr>
              <w:t>3.5</w:t>
            </w:r>
          </w:p>
        </w:tc>
        <w:tc>
          <w:tcPr>
            <w:tcW w:w="1698" w:type="dxa"/>
            <w:tcBorders>
              <w:tl2br w:val="nil"/>
              <w:tr2bl w:val="nil"/>
            </w:tcBorders>
            <w:vAlign w:val="center"/>
          </w:tcPr>
          <w:p w14:paraId="121BAF4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2×13m矮T梁桥</w:t>
            </w:r>
          </w:p>
        </w:tc>
        <w:tc>
          <w:tcPr>
            <w:tcW w:w="1559" w:type="dxa"/>
            <w:tcBorders>
              <w:tl2br w:val="nil"/>
              <w:tr2bl w:val="nil"/>
            </w:tcBorders>
            <w:vAlign w:val="center"/>
          </w:tcPr>
          <w:p w14:paraId="4F5F4E6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12.0</w:t>
            </w:r>
          </w:p>
        </w:tc>
        <w:tc>
          <w:tcPr>
            <w:tcW w:w="1281" w:type="dxa"/>
            <w:tcBorders>
              <w:tl2br w:val="nil"/>
              <w:tr2bl w:val="nil"/>
            </w:tcBorders>
            <w:vAlign w:val="center"/>
          </w:tcPr>
          <w:p w14:paraId="406422C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26</w:t>
            </w:r>
          </w:p>
        </w:tc>
      </w:tr>
      <w:tr w14:paraId="58E04678">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07" w:type="dxa"/>
            <w:tcBorders>
              <w:tl2br w:val="nil"/>
              <w:tr2bl w:val="nil"/>
            </w:tcBorders>
            <w:vAlign w:val="center"/>
          </w:tcPr>
          <w:p w14:paraId="6690A99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机场进场路跨朝鲜河桥</w:t>
            </w:r>
          </w:p>
        </w:tc>
        <w:tc>
          <w:tcPr>
            <w:tcW w:w="1221" w:type="dxa"/>
            <w:tcBorders>
              <w:tl2br w:val="nil"/>
              <w:tr2bl w:val="nil"/>
            </w:tcBorders>
            <w:vAlign w:val="center"/>
          </w:tcPr>
          <w:p w14:paraId="0DFAE132">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default" w:ascii="Times New Roman" w:hAnsi="Times New Roman" w:eastAsia="宋体" w:cs="Times New Roman"/>
                <w:color w:val="000000" w:themeColor="text1"/>
                <w:spacing w:val="0"/>
                <w:sz w:val="21"/>
                <w:szCs w:val="21"/>
                <w:highlight w:val="none"/>
              </w:rPr>
              <w:t>K3+9</w:t>
            </w:r>
            <w:r>
              <w:rPr>
                <w:rFonts w:hint="eastAsia" w:ascii="Times New Roman" w:hAnsi="Times New Roman" w:cs="Times New Roman"/>
                <w:color w:val="000000" w:themeColor="text1"/>
                <w:spacing w:val="0"/>
                <w:sz w:val="21"/>
                <w:szCs w:val="21"/>
                <w:highlight w:val="none"/>
                <w:lang w:val="en-US" w:eastAsia="zh-CN"/>
              </w:rPr>
              <w:t>71</w:t>
            </w:r>
          </w:p>
        </w:tc>
        <w:tc>
          <w:tcPr>
            <w:tcW w:w="1698" w:type="dxa"/>
            <w:tcBorders>
              <w:tl2br w:val="nil"/>
              <w:tr2bl w:val="nil"/>
            </w:tcBorders>
            <w:vAlign w:val="center"/>
          </w:tcPr>
          <w:p w14:paraId="1C509B2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3×20m小箱梁桥</w:t>
            </w:r>
          </w:p>
        </w:tc>
        <w:tc>
          <w:tcPr>
            <w:tcW w:w="1559" w:type="dxa"/>
            <w:tcBorders>
              <w:tl2br w:val="nil"/>
              <w:tr2bl w:val="nil"/>
            </w:tcBorders>
            <w:vAlign w:val="center"/>
          </w:tcPr>
          <w:p w14:paraId="15F8D8D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default" w:ascii="Times New Roman" w:hAnsi="Times New Roman" w:eastAsia="宋体" w:cs="Times New Roman"/>
                <w:color w:val="000000" w:themeColor="text1"/>
                <w:spacing w:val="0"/>
                <w:sz w:val="21"/>
                <w:szCs w:val="21"/>
                <w:highlight w:val="none"/>
              </w:rPr>
              <w:t>12.0</w:t>
            </w:r>
          </w:p>
        </w:tc>
        <w:tc>
          <w:tcPr>
            <w:tcW w:w="1281" w:type="dxa"/>
            <w:tcBorders>
              <w:tl2br w:val="nil"/>
              <w:tr2bl w:val="nil"/>
            </w:tcBorders>
            <w:vAlign w:val="center"/>
          </w:tcPr>
          <w:p w14:paraId="0769E170">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60</w:t>
            </w:r>
          </w:p>
        </w:tc>
      </w:tr>
      <w:tr w14:paraId="2C80EA9B">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07" w:type="dxa"/>
            <w:tcBorders>
              <w:tl2br w:val="nil"/>
              <w:tr2bl w:val="nil"/>
            </w:tcBorders>
            <w:shd w:val="clear" w:color="auto" w:fill="auto"/>
            <w:vAlign w:val="center"/>
          </w:tcPr>
          <w:p w14:paraId="4AD09FBB">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en-US" w:bidi="ar-SA"/>
              </w:rPr>
            </w:pPr>
            <w:r>
              <w:rPr>
                <w:rFonts w:hint="default" w:ascii="Times New Roman" w:hAnsi="Times New Roman" w:eastAsia="宋体" w:cs="Times New Roman"/>
                <w:color w:val="000000" w:themeColor="text1"/>
                <w:spacing w:val="0"/>
                <w:sz w:val="21"/>
                <w:szCs w:val="21"/>
                <w:highlight w:val="none"/>
              </w:rPr>
              <w:t>机场进场路跨铁路桥</w:t>
            </w:r>
          </w:p>
        </w:tc>
        <w:tc>
          <w:tcPr>
            <w:tcW w:w="1221" w:type="dxa"/>
            <w:tcBorders>
              <w:tl2br w:val="nil"/>
              <w:tr2bl w:val="nil"/>
            </w:tcBorders>
            <w:shd w:val="clear" w:color="auto" w:fill="auto"/>
            <w:vAlign w:val="center"/>
          </w:tcPr>
          <w:p w14:paraId="7994A476">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en-US" w:bidi="ar-SA"/>
              </w:rPr>
            </w:pPr>
            <w:r>
              <w:rPr>
                <w:rFonts w:hint="default" w:ascii="Times New Roman" w:hAnsi="Times New Roman" w:eastAsia="宋体" w:cs="Times New Roman"/>
                <w:color w:val="000000" w:themeColor="text1"/>
                <w:spacing w:val="0"/>
                <w:sz w:val="21"/>
                <w:szCs w:val="21"/>
                <w:highlight w:val="none"/>
              </w:rPr>
              <w:t>K3+658.92~K3+877.08</w:t>
            </w:r>
          </w:p>
        </w:tc>
        <w:tc>
          <w:tcPr>
            <w:tcW w:w="1698" w:type="dxa"/>
            <w:tcBorders>
              <w:tl2br w:val="nil"/>
              <w:tr2bl w:val="nil"/>
            </w:tcBorders>
            <w:shd w:val="clear" w:color="auto" w:fill="auto"/>
            <w:vAlign w:val="center"/>
          </w:tcPr>
          <w:p w14:paraId="52FC75DD">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en-US" w:bidi="ar-SA"/>
              </w:rPr>
            </w:pPr>
            <w:r>
              <w:rPr>
                <w:rFonts w:hint="eastAsia" w:ascii="Times New Roman" w:hAnsi="Times New Roman" w:eastAsia="宋体" w:cs="Times New Roman"/>
                <w:color w:val="000000" w:themeColor="text1"/>
                <w:spacing w:val="0"/>
                <w:sz w:val="21"/>
                <w:szCs w:val="21"/>
                <w:highlight w:val="none"/>
                <w:lang w:val="en-US" w:eastAsia="zh-CN"/>
              </w:rPr>
              <w:t>7</w:t>
            </w:r>
            <w:r>
              <w:rPr>
                <w:rFonts w:hint="default" w:ascii="Times New Roman" w:hAnsi="Times New Roman" w:eastAsia="宋体" w:cs="Times New Roman"/>
                <w:color w:val="000000" w:themeColor="text1"/>
                <w:spacing w:val="0"/>
                <w:sz w:val="21"/>
                <w:szCs w:val="21"/>
                <w:highlight w:val="none"/>
              </w:rPr>
              <w:t>×</w:t>
            </w:r>
            <w:r>
              <w:rPr>
                <w:rFonts w:hint="eastAsia" w:ascii="Times New Roman" w:hAnsi="Times New Roman" w:eastAsia="宋体" w:cs="Times New Roman"/>
                <w:color w:val="000000" w:themeColor="text1"/>
                <w:spacing w:val="0"/>
                <w:sz w:val="21"/>
                <w:szCs w:val="21"/>
                <w:highlight w:val="none"/>
                <w:lang w:val="en-US" w:eastAsia="zh-CN"/>
              </w:rPr>
              <w:t>30</w:t>
            </w:r>
            <w:r>
              <w:rPr>
                <w:rFonts w:hint="default" w:ascii="Times New Roman" w:hAnsi="Times New Roman" w:eastAsia="宋体" w:cs="Times New Roman"/>
                <w:color w:val="000000" w:themeColor="text1"/>
                <w:spacing w:val="0"/>
                <w:sz w:val="21"/>
                <w:szCs w:val="21"/>
                <w:highlight w:val="none"/>
              </w:rPr>
              <w:t>m小箱梁桥</w:t>
            </w:r>
          </w:p>
        </w:tc>
        <w:tc>
          <w:tcPr>
            <w:tcW w:w="1559" w:type="dxa"/>
            <w:tcBorders>
              <w:tl2br w:val="nil"/>
              <w:tr2bl w:val="nil"/>
            </w:tcBorders>
            <w:shd w:val="clear" w:color="auto" w:fill="auto"/>
            <w:vAlign w:val="center"/>
          </w:tcPr>
          <w:p w14:paraId="3FA57419">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en-US" w:bidi="ar-SA"/>
              </w:rPr>
            </w:pPr>
            <w:r>
              <w:rPr>
                <w:rFonts w:hint="default" w:ascii="Times New Roman" w:hAnsi="Times New Roman" w:eastAsia="宋体" w:cs="Times New Roman"/>
                <w:color w:val="000000" w:themeColor="text1"/>
                <w:spacing w:val="0"/>
                <w:sz w:val="21"/>
                <w:szCs w:val="21"/>
                <w:highlight w:val="none"/>
              </w:rPr>
              <w:t>12.0</w:t>
            </w:r>
          </w:p>
        </w:tc>
        <w:tc>
          <w:tcPr>
            <w:tcW w:w="1281" w:type="dxa"/>
            <w:tcBorders>
              <w:tl2br w:val="nil"/>
              <w:tr2bl w:val="nil"/>
            </w:tcBorders>
            <w:shd w:val="clear" w:color="auto" w:fill="auto"/>
            <w:vAlign w:val="center"/>
          </w:tcPr>
          <w:p w14:paraId="61EAC2E7">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spacing w:val="0"/>
                <w:kern w:val="2"/>
                <w:sz w:val="21"/>
                <w:szCs w:val="21"/>
                <w:highlight w:val="none"/>
                <w:lang w:val="en-US" w:eastAsia="zh-CN" w:bidi="ar-SA"/>
              </w:rPr>
            </w:pPr>
            <w:r>
              <w:rPr>
                <w:rFonts w:hint="default" w:ascii="Times New Roman" w:hAnsi="Times New Roman" w:eastAsia="宋体" w:cs="Times New Roman"/>
                <w:color w:val="000000" w:themeColor="text1"/>
                <w:spacing w:val="0"/>
                <w:sz w:val="21"/>
                <w:szCs w:val="21"/>
                <w:highlight w:val="none"/>
              </w:rPr>
              <w:t>2</w:t>
            </w:r>
            <w:r>
              <w:rPr>
                <w:rFonts w:hint="eastAsia" w:ascii="Times New Roman" w:hAnsi="Times New Roman" w:eastAsia="宋体" w:cs="Times New Roman"/>
                <w:color w:val="000000" w:themeColor="text1"/>
                <w:spacing w:val="0"/>
                <w:sz w:val="21"/>
                <w:szCs w:val="21"/>
                <w:highlight w:val="none"/>
                <w:lang w:val="en-US" w:eastAsia="zh-CN"/>
              </w:rPr>
              <w:t>1</w:t>
            </w:r>
            <w:r>
              <w:rPr>
                <w:rFonts w:hint="default" w:ascii="Times New Roman" w:hAnsi="Times New Roman" w:eastAsia="宋体" w:cs="Times New Roman"/>
                <w:color w:val="000000" w:themeColor="text1"/>
                <w:spacing w:val="0"/>
                <w:sz w:val="21"/>
                <w:szCs w:val="21"/>
                <w:highlight w:val="none"/>
              </w:rPr>
              <w:t>0</w:t>
            </w:r>
          </w:p>
        </w:tc>
      </w:tr>
    </w:tbl>
    <w:p w14:paraId="2C30D583">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3.1.</w:t>
      </w:r>
      <w:r>
        <w:rPr>
          <w:rFonts w:hint="eastAsia"/>
          <w:color w:val="000000" w:themeColor="text1"/>
          <w:highlight w:val="none"/>
          <w:lang w:val="en-US" w:eastAsia="zh-CN"/>
        </w:rPr>
        <w:t>7</w:t>
      </w:r>
      <w:r>
        <w:rPr>
          <w:rFonts w:hint="eastAsia"/>
          <w:color w:val="000000" w:themeColor="text1"/>
          <w:highlight w:val="none"/>
        </w:rPr>
        <w:t>.</w:t>
      </w:r>
      <w:r>
        <w:rPr>
          <w:rFonts w:hint="eastAsia"/>
          <w:color w:val="000000" w:themeColor="text1"/>
          <w:highlight w:val="none"/>
          <w:lang w:val="en-US" w:eastAsia="zh-CN"/>
        </w:rPr>
        <w:t>2</w:t>
      </w:r>
      <w:r>
        <w:rPr>
          <w:color w:val="000000" w:themeColor="text1"/>
          <w:highlight w:val="none"/>
        </w:rPr>
        <w:t>技术标准</w:t>
      </w:r>
    </w:p>
    <w:p w14:paraId="3056493C">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（1）</w:t>
      </w:r>
      <w:r>
        <w:rPr>
          <w:rFonts w:hint="default"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汽车荷载等级</w:t>
      </w:r>
      <w:r>
        <w:rPr>
          <w:rFonts w:hint="eastAsia" w:ascii="Times New Roman" w:hAnsi="Times New Roman"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default"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公路-</w:t>
      </w:r>
      <w:r>
        <w:rPr>
          <w:rFonts w:hint="default" w:ascii="Times New Roman" w:hAnsi="Times New Roman" w:cs="Times New Roman"/>
          <w:color w:val="000000" w:themeColor="text1"/>
          <w:highlight w:val="none"/>
          <w:lang w:val="en-US" w:eastAsia="zh-CN"/>
        </w:rPr>
        <w:t>Ⅰ</w:t>
      </w:r>
      <w:r>
        <w:rPr>
          <w:rFonts w:hint="default"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级。</w:t>
      </w:r>
    </w:p>
    <w:p w14:paraId="21BCDB4C">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（2）</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桥涵设计洪水频率</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大中桥1/100、小桥涵洞1/50。</w:t>
      </w:r>
    </w:p>
    <w:p w14:paraId="40547EF6">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（3）</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桥涵宽度</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新建桥梁全宽12m，涵洞与路基同宽。</w:t>
      </w:r>
    </w:p>
    <w:p w14:paraId="332C747B">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（4）</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地震</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地震动峰值加速度</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0.1g。</w:t>
      </w:r>
    </w:p>
    <w:p w14:paraId="41B29D81">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（5）流冰：</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全线河流、沟渠无流冰。</w:t>
      </w:r>
    </w:p>
    <w:p w14:paraId="2A72C2F5">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（6）</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通航</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全线河流、沟渠无通航要求。</w:t>
      </w:r>
    </w:p>
    <w:p w14:paraId="6831A3FA">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（7）</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冻深</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根据调查，本项目所在区域标准冻深2.4m。</w:t>
      </w:r>
    </w:p>
    <w:p w14:paraId="7317AD2D">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（8）</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桥涵结构设计安全等级</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桥梁一级、涵洞二级。</w:t>
      </w:r>
    </w:p>
    <w:p w14:paraId="68564675">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（9）</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环境</w:t>
      </w:r>
      <w:r>
        <w:rPr>
          <w:rFonts w:hint="default"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类别</w:t>
      </w:r>
      <w:r>
        <w:rPr>
          <w:rFonts w:hint="default" w:ascii="Times New Roman" w:hAnsi="Times New Roman"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default"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Ⅱ类。</w:t>
      </w:r>
    </w:p>
    <w:p w14:paraId="0B027221">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（10）</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桥涵结构设计基准期</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100年。</w:t>
      </w:r>
    </w:p>
    <w:p w14:paraId="0DF1F3B9">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（11）</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桥涵设计使用年限</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中桥50年、洞、小桥30年，护栏、伸缩装置、支座1</w:t>
      </w: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5</w:t>
      </w:r>
      <w:r>
        <w:rPr>
          <w:rFonts w:hint="eastAsia" w:ascii="Times New Roman" w:hAnsi="Times New Roman" w:eastAsia="宋体"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年。</w:t>
      </w:r>
    </w:p>
    <w:p w14:paraId="40FB7FAA">
      <w:pPr>
        <w:pStyle w:val="5"/>
        <w:pageBreakBefore w:val="0"/>
        <w:wordWrap/>
        <w:topLinePunct w:val="0"/>
        <w:bidi w:val="0"/>
        <w:spacing w:before="156" w:line="360" w:lineRule="auto"/>
        <w:rPr>
          <w:rFonts w:hint="eastAsia"/>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7</w:t>
      </w:r>
      <w:r>
        <w:rPr>
          <w:rFonts w:hint="eastAsia"/>
          <w:color w:val="000000" w:themeColor="text1"/>
          <w:highlight w:val="none"/>
        </w:rPr>
        <w:t>.</w:t>
      </w:r>
      <w:r>
        <w:rPr>
          <w:rFonts w:hint="eastAsia"/>
          <w:color w:val="000000" w:themeColor="text1"/>
          <w:highlight w:val="none"/>
          <w:lang w:val="en-US" w:eastAsia="zh-CN"/>
        </w:rPr>
        <w:t>3推荐方案桥梁设计方案</w:t>
      </w:r>
    </w:p>
    <w:p w14:paraId="61D9029F">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rPr>
        <w:t>（1）机场进场路跨路北一支桥</w:t>
      </w:r>
    </w:p>
    <w:p w14:paraId="7BC4D121">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rPr>
        <w:t>机场进场路路线与路北一支相交，根据现场实际情况，需要设置跨越路北一支桥梁一座。</w:t>
      </w:r>
    </w:p>
    <w:p w14:paraId="3E7BBF42">
      <w:pPr>
        <w:pStyle w:val="122"/>
        <w:pageBreakBefore w:val="0"/>
        <w:wordWrap/>
        <w:topLinePunct w:val="0"/>
        <w:bidi w:val="0"/>
        <w:spacing w:line="360" w:lineRule="auto"/>
        <w:ind w:left="0" w:leftChars="0" w:firstLine="0" w:firstLineChars="0"/>
        <w:jc w:val="center"/>
        <w:rPr>
          <w:rFonts w:hint="eastAsia" w:ascii="Times New Roman" w:hAnsi="Times New Roman" w:eastAsia="宋体"/>
          <w:b/>
          <w:bCs/>
          <w:snapToGrid/>
          <w:color w:val="000000" w:themeColor="text1"/>
          <w:spacing w:val="0"/>
          <w:kern w:val="2"/>
          <w:highlight w:val="none"/>
          <w:lang w:eastAsia="zh-CN"/>
        </w:rPr>
      </w:pPr>
      <w:r>
        <w:rPr>
          <w:rFonts w:hint="eastAsia" w:ascii="Times New Roman" w:hAnsi="Times New Roman" w:eastAsia="宋体"/>
          <w:b/>
          <w:bCs/>
          <w:snapToGrid/>
          <w:color w:val="000000" w:themeColor="text1"/>
          <w:spacing w:val="0"/>
          <w:kern w:val="2"/>
          <w:highlight w:val="none"/>
          <w:lang w:eastAsia="zh-CN"/>
        </w:rPr>
        <w:drawing>
          <wp:inline distT="0" distB="0" distL="114300" distR="114300">
            <wp:extent cx="5264785" cy="3512820"/>
            <wp:effectExtent l="0" t="0" r="8255" b="7620"/>
            <wp:docPr id="72" name="图片 72" descr="e47f3b38-cfb1-4987-9989-73ba2ca4e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e47f3b38-cfb1-4987-9989-73ba2ca4e459"/>
                    <pic:cNvPicPr>
                      <a:picLocks noChangeAspect="1"/>
                    </pic:cNvPicPr>
                  </pic:nvPicPr>
                  <pic:blipFill>
                    <a:blip r:embed="rId29"/>
                    <a:stretch>
                      <a:fillRect/>
                    </a:stretch>
                  </pic:blipFill>
                  <pic:spPr>
                    <a:xfrm>
                      <a:off x="0" y="0"/>
                      <a:ext cx="5264785" cy="3512820"/>
                    </a:xfrm>
                    <a:prstGeom prst="rect">
                      <a:avLst/>
                    </a:prstGeom>
                  </pic:spPr>
                </pic:pic>
              </a:graphicData>
            </a:graphic>
          </wp:inline>
        </w:drawing>
      </w:r>
    </w:p>
    <w:p w14:paraId="1D4422CE">
      <w:pPr>
        <w:pStyle w:val="122"/>
        <w:pageBreakBefore w:val="0"/>
        <w:wordWrap/>
        <w:topLinePunct w:val="0"/>
        <w:bidi w:val="0"/>
        <w:spacing w:line="360" w:lineRule="auto"/>
        <w:ind w:left="0" w:leftChars="0" w:firstLine="0" w:firstLineChars="0"/>
        <w:jc w:val="center"/>
        <w:rPr>
          <w:rFonts w:hint="eastAsia" w:ascii="Times New Roman" w:hAnsi="Times New Roman" w:eastAsia="宋体"/>
          <w:b/>
          <w:bCs/>
          <w:snapToGrid/>
          <w:color w:val="000000" w:themeColor="text1"/>
          <w:spacing w:val="0"/>
          <w:kern w:val="2"/>
          <w:highlight w:val="none"/>
        </w:rPr>
      </w:pPr>
      <w:r>
        <w:rPr>
          <w:rFonts w:hint="eastAsia" w:ascii="Times New Roman" w:hAnsi="Times New Roman" w:eastAsia="宋体"/>
          <w:b/>
          <w:bCs/>
          <w:snapToGrid/>
          <w:color w:val="000000" w:themeColor="text1"/>
          <w:spacing w:val="0"/>
          <w:kern w:val="2"/>
          <w:highlight w:val="none"/>
        </w:rPr>
        <w:t>图3.1-</w:t>
      </w:r>
      <w:r>
        <w:rPr>
          <w:rFonts w:hint="eastAsia" w:ascii="Times New Roman" w:hAnsi="Times New Roman" w:eastAsia="宋体"/>
          <w:b/>
          <w:bCs/>
          <w:snapToGrid/>
          <w:color w:val="000000" w:themeColor="text1"/>
          <w:spacing w:val="0"/>
          <w:kern w:val="2"/>
          <w:highlight w:val="none"/>
          <w:lang w:val="en-US" w:eastAsia="zh-CN"/>
        </w:rPr>
        <w:t>3</w:t>
      </w:r>
      <w:r>
        <w:rPr>
          <w:rFonts w:hint="eastAsia" w:ascii="Times New Roman" w:hAnsi="Times New Roman" w:eastAsia="宋体"/>
          <w:b/>
          <w:bCs/>
          <w:snapToGrid/>
          <w:color w:val="000000" w:themeColor="text1"/>
          <w:spacing w:val="0"/>
          <w:kern w:val="2"/>
          <w:highlight w:val="none"/>
        </w:rPr>
        <w:t xml:space="preserve">  </w:t>
      </w:r>
      <w:r>
        <w:rPr>
          <w:rFonts w:hint="eastAsia" w:ascii="Times New Roman" w:hAnsi="Times New Roman" w:eastAsia="宋体"/>
          <w:b/>
          <w:bCs/>
          <w:snapToGrid/>
          <w:color w:val="000000" w:themeColor="text1"/>
          <w:spacing w:val="0"/>
          <w:kern w:val="2"/>
          <w:highlight w:val="none"/>
          <w:lang w:val="en-US" w:eastAsia="zh-CN"/>
        </w:rPr>
        <w:t>桥型布置图</w:t>
      </w:r>
    </w:p>
    <w:p w14:paraId="3D71BDB8">
      <w:pPr>
        <w:pStyle w:val="122"/>
        <w:pageBreakBefore w:val="0"/>
        <w:wordWrap/>
        <w:topLinePunct w:val="0"/>
        <w:bidi w:val="0"/>
        <w:spacing w:line="360" w:lineRule="auto"/>
        <w:ind w:left="0" w:leftChars="0" w:firstLine="0" w:firstLineChars="0"/>
        <w:jc w:val="center"/>
        <w:rPr>
          <w:rFonts w:hint="eastAsia" w:ascii="Times New Roman" w:hAnsi="Times New Roman" w:eastAsia="宋体"/>
          <w:snapToGrid/>
          <w:color w:val="000000" w:themeColor="text1"/>
          <w:spacing w:val="0"/>
          <w:kern w:val="2"/>
          <w:highlight w:val="none"/>
          <w:lang w:val="en-US" w:eastAsia="zh-CN"/>
        </w:rPr>
      </w:pPr>
    </w:p>
    <w:p w14:paraId="1FB465CA">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lang w:val="en-US" w:eastAsia="zh-CN"/>
        </w:rPr>
      </w:pPr>
      <w:r>
        <w:rPr>
          <w:rFonts w:hint="eastAsia" w:ascii="宋体" w:hAnsi="宋体" w:eastAsia="宋体" w:cs="宋体"/>
          <w:snapToGrid/>
          <w:color w:val="000000" w:themeColor="text1"/>
          <w:spacing w:val="0"/>
          <w:kern w:val="2"/>
          <w:highlight w:val="none"/>
          <w:lang w:val="en-US" w:eastAsia="zh-CN"/>
        </w:rPr>
        <w:t>①</w:t>
      </w:r>
      <w:r>
        <w:rPr>
          <w:rFonts w:hint="eastAsia" w:ascii="Times New Roman" w:hAnsi="Times New Roman" w:eastAsia="宋体"/>
          <w:snapToGrid/>
          <w:color w:val="000000" w:themeColor="text1"/>
          <w:spacing w:val="0"/>
          <w:kern w:val="2"/>
          <w:highlight w:val="none"/>
          <w:lang w:val="en-US" w:eastAsia="zh-CN"/>
        </w:rPr>
        <w:t>桥梁上部结构</w:t>
      </w:r>
    </w:p>
    <w:p w14:paraId="14C62F45">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上部结构为10m装配式预应力混凝土（后张法）简支矮T梁，桥面连续，梁高70cm。</w:t>
      </w:r>
    </w:p>
    <w:p w14:paraId="4EDFAA90">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lang w:val="en-US" w:eastAsia="zh-CN"/>
        </w:rPr>
      </w:pPr>
      <w:r>
        <w:rPr>
          <w:rFonts w:hint="eastAsia" w:ascii="宋体" w:hAnsi="宋体" w:eastAsia="宋体" w:cs="宋体"/>
          <w:snapToGrid/>
          <w:color w:val="000000" w:themeColor="text1"/>
          <w:spacing w:val="0"/>
          <w:kern w:val="2"/>
          <w:highlight w:val="none"/>
          <w:lang w:val="en-US" w:eastAsia="zh-CN"/>
        </w:rPr>
        <w:t>②</w:t>
      </w:r>
      <w:r>
        <w:rPr>
          <w:rFonts w:hint="eastAsia" w:ascii="Times New Roman" w:hAnsi="Times New Roman" w:eastAsia="宋体"/>
          <w:snapToGrid/>
          <w:color w:val="000000" w:themeColor="text1"/>
          <w:spacing w:val="0"/>
          <w:kern w:val="2"/>
          <w:highlight w:val="none"/>
          <w:lang w:val="en-US" w:eastAsia="zh-CN"/>
        </w:rPr>
        <w:t>桥梁下部结构</w:t>
      </w:r>
    </w:p>
    <w:p w14:paraId="0770CD9B">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桥台采用柱式桥台，桥墩采用柱式桥墩。</w:t>
      </w:r>
    </w:p>
    <w:p w14:paraId="5EE0A60A">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钻孔桩、台柱、墩柱、盖梁均为钢筋混凝土结构。</w:t>
      </w:r>
    </w:p>
    <w:p w14:paraId="1324C7BE">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lang w:val="en-US" w:eastAsia="zh-CN"/>
        </w:rPr>
      </w:pPr>
      <w:r>
        <w:rPr>
          <w:rFonts w:hint="eastAsia" w:ascii="宋体" w:hAnsi="宋体" w:eastAsia="宋体" w:cs="宋体"/>
          <w:snapToGrid/>
          <w:color w:val="000000" w:themeColor="text1"/>
          <w:spacing w:val="0"/>
          <w:kern w:val="2"/>
          <w:highlight w:val="none"/>
          <w:lang w:val="en-US" w:eastAsia="zh-CN"/>
        </w:rPr>
        <w:t>③</w:t>
      </w:r>
      <w:r>
        <w:rPr>
          <w:rFonts w:hint="eastAsia" w:ascii="Times New Roman" w:hAnsi="Times New Roman" w:eastAsia="宋体"/>
          <w:snapToGrid/>
          <w:color w:val="000000" w:themeColor="text1"/>
          <w:spacing w:val="0"/>
          <w:kern w:val="2"/>
          <w:highlight w:val="none"/>
          <w:lang w:val="en-US" w:eastAsia="zh-CN"/>
        </w:rPr>
        <w:t>附属工程</w:t>
      </w:r>
    </w:p>
    <w:p w14:paraId="5ED4498A">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护栏：A级波形梁护栏。</w:t>
      </w:r>
    </w:p>
    <w:p w14:paraId="6ED9EB90">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支座：采用HDR(Ⅱ)型高阻尼隔震橡胶支座及LNR(H)型隔震天然橡胶支座。</w:t>
      </w:r>
    </w:p>
    <w:p w14:paraId="29455FFD">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仲缩装置：80型伸缩装置</w:t>
      </w:r>
    </w:p>
    <w:p w14:paraId="7E57AD71">
      <w:pPr>
        <w:pStyle w:val="122"/>
        <w:pageBreakBefore w:val="0"/>
        <w:wordWrap/>
        <w:topLinePunct w:val="0"/>
        <w:bidi w:val="0"/>
        <w:spacing w:line="360" w:lineRule="auto"/>
        <w:ind w:firstLine="480"/>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rPr>
        <w:t>（2）</w:t>
      </w:r>
      <w:r>
        <w:rPr>
          <w:rFonts w:hint="eastAsia" w:ascii="Times New Roman" w:hAnsi="Times New Roman" w:eastAsia="宋体"/>
          <w:snapToGrid/>
          <w:color w:val="000000" w:themeColor="text1"/>
          <w:spacing w:val="0"/>
          <w:kern w:val="2"/>
          <w:highlight w:val="none"/>
          <w:lang w:val="en-US" w:eastAsia="zh-CN"/>
        </w:rPr>
        <w:t>机场公路</w:t>
      </w:r>
      <w:r>
        <w:rPr>
          <w:rFonts w:hint="eastAsia" w:ascii="Times New Roman" w:hAnsi="Times New Roman" w:eastAsia="宋体"/>
          <w:snapToGrid/>
          <w:color w:val="000000" w:themeColor="text1"/>
          <w:spacing w:val="0"/>
          <w:kern w:val="2"/>
          <w:highlight w:val="none"/>
        </w:rPr>
        <w:t>进场路</w:t>
      </w:r>
      <w:r>
        <w:rPr>
          <w:rFonts w:hint="eastAsia" w:ascii="Times New Roman" w:hAnsi="Times New Roman" w:eastAsia="宋体"/>
          <w:snapToGrid/>
          <w:color w:val="000000" w:themeColor="text1"/>
          <w:spacing w:val="0"/>
          <w:kern w:val="2"/>
          <w:highlight w:val="none"/>
          <w:lang w:val="en-US" w:eastAsia="zh-CN"/>
        </w:rPr>
        <w:t>跨铁路桥</w:t>
      </w:r>
    </w:p>
    <w:p w14:paraId="5B79A29D">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机场</w:t>
      </w:r>
      <w:r>
        <w:rPr>
          <w:rFonts w:hint="eastAsia" w:ascii="Times New Roman" w:hAnsi="Times New Roman" w:eastAsia="宋体"/>
          <w:snapToGrid/>
          <w:color w:val="000000" w:themeColor="text1"/>
          <w:spacing w:val="0"/>
          <w:kern w:val="2"/>
          <w:highlight w:val="none"/>
        </w:rPr>
        <w:t>进场路</w:t>
      </w:r>
      <w:r>
        <w:rPr>
          <w:rFonts w:hint="eastAsia" w:ascii="Times New Roman" w:hAnsi="Times New Roman" w:eastAsia="宋体"/>
          <w:snapToGrid/>
          <w:color w:val="000000" w:themeColor="text1"/>
          <w:spacing w:val="0"/>
          <w:kern w:val="2"/>
          <w:highlight w:val="none"/>
          <w:lang w:val="en-US" w:eastAsia="zh-CN"/>
        </w:rPr>
        <w:t>路线与鹤北铁路相交，根据现场实际情况，需要设置跨越鹤北铁路桥梁一座</w:t>
      </w:r>
      <w:r>
        <w:rPr>
          <w:rFonts w:hint="eastAsia" w:ascii="Times New Roman" w:hAnsi="Times New Roman" w:eastAsia="宋体"/>
          <w:snapToGrid/>
          <w:color w:val="000000" w:themeColor="text1"/>
          <w:spacing w:val="0"/>
          <w:kern w:val="2"/>
          <w:highlight w:val="none"/>
        </w:rPr>
        <w:t>。</w:t>
      </w:r>
    </w:p>
    <w:p w14:paraId="0B210852">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eastAsia="zh-CN"/>
        </w:rPr>
      </w:pPr>
      <w:r>
        <w:rPr>
          <w:rFonts w:hint="eastAsia" w:ascii="Times New Roman" w:hAnsi="Times New Roman" w:eastAsia="宋体"/>
          <w:snapToGrid/>
          <w:color w:val="000000" w:themeColor="text1"/>
          <w:spacing w:val="0"/>
          <w:kern w:val="2"/>
          <w:highlight w:val="none"/>
          <w:lang w:eastAsia="zh-CN"/>
        </w:rPr>
        <w:drawing>
          <wp:inline distT="0" distB="0" distL="114300" distR="114300">
            <wp:extent cx="4473575" cy="3654425"/>
            <wp:effectExtent l="0" t="0" r="6985" b="3175"/>
            <wp:docPr id="73" name="图片 73" descr="2465d385-7de7-48bc-bf95-587701a74e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2465d385-7de7-48bc-bf95-587701a74e2b"/>
                    <pic:cNvPicPr>
                      <a:picLocks noChangeAspect="1"/>
                    </pic:cNvPicPr>
                  </pic:nvPicPr>
                  <pic:blipFill>
                    <a:blip r:embed="rId30"/>
                    <a:stretch>
                      <a:fillRect/>
                    </a:stretch>
                  </pic:blipFill>
                  <pic:spPr>
                    <a:xfrm>
                      <a:off x="0" y="0"/>
                      <a:ext cx="4473575" cy="3654425"/>
                    </a:xfrm>
                    <a:prstGeom prst="rect">
                      <a:avLst/>
                    </a:prstGeom>
                  </pic:spPr>
                </pic:pic>
              </a:graphicData>
            </a:graphic>
          </wp:inline>
        </w:drawing>
      </w:r>
    </w:p>
    <w:p w14:paraId="0EE15F36">
      <w:pPr>
        <w:pStyle w:val="122"/>
        <w:pageBreakBefore w:val="0"/>
        <w:wordWrap/>
        <w:topLinePunct w:val="0"/>
        <w:bidi w:val="0"/>
        <w:spacing w:line="360" w:lineRule="auto"/>
        <w:ind w:left="0" w:leftChars="0" w:firstLine="0" w:firstLineChars="0"/>
        <w:jc w:val="center"/>
        <w:rPr>
          <w:rFonts w:hint="eastAsia" w:ascii="Times New Roman" w:hAnsi="Times New Roman" w:eastAsia="宋体"/>
          <w:b/>
          <w:bCs/>
          <w:snapToGrid/>
          <w:color w:val="000000" w:themeColor="text1"/>
          <w:spacing w:val="0"/>
          <w:kern w:val="2"/>
          <w:highlight w:val="none"/>
        </w:rPr>
      </w:pPr>
      <w:r>
        <w:rPr>
          <w:rFonts w:hint="eastAsia" w:ascii="Times New Roman" w:hAnsi="Times New Roman" w:eastAsia="宋体"/>
          <w:b/>
          <w:bCs/>
          <w:snapToGrid/>
          <w:color w:val="000000" w:themeColor="text1"/>
          <w:spacing w:val="0"/>
          <w:kern w:val="2"/>
          <w:highlight w:val="none"/>
        </w:rPr>
        <w:t>图3.1-</w:t>
      </w:r>
      <w:r>
        <w:rPr>
          <w:rFonts w:hint="eastAsia" w:ascii="Times New Roman" w:hAnsi="Times New Roman" w:eastAsia="宋体"/>
          <w:b/>
          <w:bCs/>
          <w:snapToGrid/>
          <w:color w:val="000000" w:themeColor="text1"/>
          <w:spacing w:val="0"/>
          <w:kern w:val="2"/>
          <w:highlight w:val="none"/>
          <w:lang w:val="en-US" w:eastAsia="zh-CN"/>
        </w:rPr>
        <w:t>4</w:t>
      </w:r>
      <w:r>
        <w:rPr>
          <w:rFonts w:hint="eastAsia" w:ascii="Times New Roman" w:hAnsi="Times New Roman" w:eastAsia="宋体"/>
          <w:b/>
          <w:bCs/>
          <w:snapToGrid/>
          <w:color w:val="000000" w:themeColor="text1"/>
          <w:spacing w:val="0"/>
          <w:kern w:val="2"/>
          <w:highlight w:val="none"/>
        </w:rPr>
        <w:t xml:space="preserve">  </w:t>
      </w:r>
      <w:r>
        <w:rPr>
          <w:rFonts w:hint="eastAsia" w:ascii="Times New Roman" w:hAnsi="Times New Roman" w:eastAsia="宋体"/>
          <w:b/>
          <w:bCs/>
          <w:snapToGrid/>
          <w:color w:val="000000" w:themeColor="text1"/>
          <w:spacing w:val="0"/>
          <w:kern w:val="2"/>
          <w:highlight w:val="none"/>
          <w:lang w:val="en-US" w:eastAsia="zh-CN"/>
        </w:rPr>
        <w:t>桥型布置图</w:t>
      </w:r>
    </w:p>
    <w:p w14:paraId="382E7EC0">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宋体" w:hAnsi="宋体" w:eastAsia="宋体" w:cs="宋体"/>
          <w:snapToGrid/>
          <w:color w:val="000000" w:themeColor="text1"/>
          <w:spacing w:val="0"/>
          <w:kern w:val="2"/>
          <w:highlight w:val="none"/>
          <w:lang w:val="en-US" w:eastAsia="zh-CN"/>
        </w:rPr>
        <w:t>①</w:t>
      </w:r>
      <w:r>
        <w:rPr>
          <w:rFonts w:hint="eastAsia" w:ascii="Times New Roman" w:hAnsi="Times New Roman" w:eastAsia="宋体"/>
          <w:snapToGrid/>
          <w:color w:val="000000" w:themeColor="text1"/>
          <w:spacing w:val="0"/>
          <w:kern w:val="2"/>
          <w:highlight w:val="none"/>
          <w:lang w:val="en-US" w:eastAsia="zh-CN"/>
        </w:rPr>
        <w:t xml:space="preserve">桥梁跨径布置：第一联（4×20）m+第二联（3×20）m+第三联（4×20）m=220m简支转连续小箱梁桥。 </w:t>
      </w:r>
    </w:p>
    <w:p w14:paraId="05518393">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宋体" w:hAnsi="宋体" w:eastAsia="宋体" w:cs="宋体"/>
          <w:snapToGrid/>
          <w:color w:val="000000" w:themeColor="text1"/>
          <w:spacing w:val="0"/>
          <w:kern w:val="2"/>
          <w:highlight w:val="none"/>
          <w:lang w:val="en-US" w:eastAsia="zh-CN"/>
        </w:rPr>
        <w:t>②</w:t>
      </w:r>
      <w:r>
        <w:rPr>
          <w:rFonts w:hint="eastAsia" w:ascii="Times New Roman" w:hAnsi="Times New Roman" w:eastAsia="宋体"/>
          <w:snapToGrid/>
          <w:color w:val="000000" w:themeColor="text1"/>
          <w:spacing w:val="0"/>
          <w:kern w:val="2"/>
          <w:highlight w:val="none"/>
          <w:lang w:val="en-US" w:eastAsia="zh-CN"/>
        </w:rPr>
        <w:t xml:space="preserve">上部结构：上部结构采用后张法单跨20m简转连续小箱梁桥，梁高1.2m，单幅设置。桥梁标准横断面布置：0.5m防撞护栏+11.0车行道+0.5m防撞护栏=12.0m。 </w:t>
      </w:r>
    </w:p>
    <w:p w14:paraId="35F41FC2">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宋体" w:hAnsi="宋体" w:eastAsia="宋体" w:cs="宋体"/>
          <w:snapToGrid/>
          <w:color w:val="000000" w:themeColor="text1"/>
          <w:spacing w:val="0"/>
          <w:kern w:val="2"/>
          <w:highlight w:val="none"/>
          <w:lang w:val="en-US" w:eastAsia="zh-CN"/>
        </w:rPr>
        <w:t>③</w:t>
      </w:r>
      <w:r>
        <w:rPr>
          <w:rFonts w:hint="eastAsia" w:ascii="Times New Roman" w:hAnsi="Times New Roman" w:eastAsia="宋体"/>
          <w:snapToGrid/>
          <w:color w:val="000000" w:themeColor="text1"/>
          <w:spacing w:val="0"/>
          <w:kern w:val="2"/>
          <w:highlight w:val="none"/>
          <w:lang w:val="en-US" w:eastAsia="zh-CN"/>
        </w:rPr>
        <w:t>下部结构：桥台采用肋板式桥台，基础采用双排1.0m钻孔灌注桩，上接工字型承台。中墩采用桩接柱桥墩，上接盖梁，墩柱间设置系梁；墩柱直径1.3m，桩基直径1.5m。</w:t>
      </w:r>
    </w:p>
    <w:p w14:paraId="607362E4">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宋体" w:hAnsi="宋体" w:eastAsia="宋体" w:cs="宋体"/>
          <w:snapToGrid/>
          <w:color w:val="000000" w:themeColor="text1"/>
          <w:spacing w:val="0"/>
          <w:kern w:val="2"/>
          <w:highlight w:val="none"/>
          <w:lang w:val="en-US" w:eastAsia="zh-CN"/>
        </w:rPr>
        <w:t>④</w:t>
      </w:r>
      <w:r>
        <w:rPr>
          <w:rFonts w:hint="eastAsia" w:ascii="Times New Roman" w:hAnsi="Times New Roman" w:eastAsia="宋体"/>
          <w:snapToGrid/>
          <w:color w:val="000000" w:themeColor="text1"/>
          <w:spacing w:val="0"/>
          <w:kern w:val="2"/>
          <w:highlight w:val="none"/>
          <w:lang w:val="en-US" w:eastAsia="zh-CN"/>
        </w:rPr>
        <w:t xml:space="preserve">桥下净空：≥6.55m。 </w:t>
      </w:r>
    </w:p>
    <w:p w14:paraId="4885019A">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宋体" w:hAnsi="宋体" w:eastAsia="宋体" w:cs="宋体"/>
          <w:snapToGrid/>
          <w:color w:val="000000" w:themeColor="text1"/>
          <w:spacing w:val="0"/>
          <w:kern w:val="2"/>
          <w:highlight w:val="none"/>
          <w:lang w:val="en-US" w:eastAsia="zh-CN"/>
        </w:rPr>
        <w:t>⑤</w:t>
      </w:r>
      <w:r>
        <w:rPr>
          <w:rFonts w:hint="eastAsia" w:ascii="Times New Roman" w:hAnsi="Times New Roman" w:eastAsia="宋体"/>
          <w:snapToGrid/>
          <w:color w:val="000000" w:themeColor="text1"/>
          <w:spacing w:val="0"/>
          <w:kern w:val="2"/>
          <w:highlight w:val="none"/>
          <w:lang w:val="en-US" w:eastAsia="zh-CN"/>
        </w:rPr>
        <w:t xml:space="preserve">附属结构： </w:t>
      </w:r>
    </w:p>
    <w:p w14:paraId="287BD5C6">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防撞护栏：防撞护栏采用混凝土护栏。 </w:t>
      </w:r>
    </w:p>
    <w:p w14:paraId="26F9D684">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桥梁伸缩装置：采用80型伸缩装、160型伸缩装。 </w:t>
      </w:r>
    </w:p>
    <w:p w14:paraId="07A3202B">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支座：采用板式橡胶支座。 </w:t>
      </w:r>
    </w:p>
    <w:p w14:paraId="4F4C7C7D">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桥台与路面过度处理：采用半埋式8米搭板过渡，搭板的纵坡、横坡度同道路设计。 </w:t>
      </w:r>
    </w:p>
    <w:p w14:paraId="281042D2">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桥面排水系统：全桥设置泄水孔将桥面雨水引入桥下。 </w:t>
      </w:r>
    </w:p>
    <w:p w14:paraId="71A5A522">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宋体" w:hAnsi="宋体" w:eastAsia="宋体" w:cs="宋体"/>
          <w:snapToGrid/>
          <w:color w:val="000000" w:themeColor="text1"/>
          <w:spacing w:val="0"/>
          <w:kern w:val="2"/>
          <w:highlight w:val="none"/>
          <w:lang w:val="en-US" w:eastAsia="zh-CN"/>
        </w:rPr>
        <w:t>⑥</w:t>
      </w:r>
      <w:r>
        <w:rPr>
          <w:rFonts w:hint="eastAsia" w:ascii="Times New Roman" w:hAnsi="Times New Roman" w:eastAsia="宋体"/>
          <w:snapToGrid/>
          <w:color w:val="000000" w:themeColor="text1"/>
          <w:spacing w:val="0"/>
          <w:kern w:val="2"/>
          <w:highlight w:val="none"/>
          <w:lang w:val="en-US" w:eastAsia="zh-CN"/>
        </w:rPr>
        <w:t xml:space="preserve">主要材料 </w:t>
      </w:r>
    </w:p>
    <w:p w14:paraId="18B55845">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混凝土材料：后张简支变连续土小箱梁：C50；盖梁、墩柱、桥台、肋板：C35；钻孔灌注桩：C35 水下；垫层：C20。 </w:t>
      </w:r>
    </w:p>
    <w:p w14:paraId="03A4F9F5">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钢绞线及锚具：钢绞线采用符合标准的高强度低松弛预应力钢绞线，其强度性能如下：f</w:t>
      </w:r>
      <w:r>
        <w:rPr>
          <w:rFonts w:hint="eastAsia" w:ascii="Times New Roman" w:hAnsi="Times New Roman" w:eastAsia="宋体"/>
          <w:snapToGrid/>
          <w:color w:val="000000" w:themeColor="text1"/>
          <w:spacing w:val="0"/>
          <w:kern w:val="2"/>
          <w:highlight w:val="none"/>
          <w:vertAlign w:val="subscript"/>
          <w:lang w:val="en-US" w:eastAsia="zh-CN"/>
        </w:rPr>
        <w:t>pk</w:t>
      </w:r>
      <w:r>
        <w:rPr>
          <w:rFonts w:hint="eastAsia" w:ascii="Times New Roman" w:hAnsi="Times New Roman" w:eastAsia="宋体"/>
          <w:snapToGrid/>
          <w:color w:val="000000" w:themeColor="text1"/>
          <w:spacing w:val="0"/>
          <w:kern w:val="2"/>
          <w:highlight w:val="none"/>
          <w:lang w:val="en-US" w:eastAsia="zh-CN"/>
        </w:rPr>
        <w:t>=1860MPa，E</w:t>
      </w:r>
      <w:r>
        <w:rPr>
          <w:rFonts w:hint="eastAsia" w:ascii="Times New Roman" w:hAnsi="Times New Roman" w:eastAsia="宋体"/>
          <w:snapToGrid/>
          <w:color w:val="000000" w:themeColor="text1"/>
          <w:spacing w:val="0"/>
          <w:kern w:val="2"/>
          <w:highlight w:val="none"/>
          <w:vertAlign w:val="subscript"/>
          <w:lang w:val="en-US" w:eastAsia="zh-CN"/>
        </w:rPr>
        <w:t>p</w:t>
      </w:r>
      <w:r>
        <w:rPr>
          <w:rFonts w:hint="eastAsia" w:ascii="Times New Roman" w:hAnsi="Times New Roman" w:eastAsia="宋体"/>
          <w:snapToGrid/>
          <w:color w:val="000000" w:themeColor="text1"/>
          <w:spacing w:val="0"/>
          <w:kern w:val="2"/>
          <w:highlight w:val="none"/>
          <w:lang w:val="en-US" w:eastAsia="zh-CN"/>
        </w:rPr>
        <w:t>=1.9</w:t>
      </w:r>
      <w:r>
        <w:rPr>
          <w:rFonts w:hint="default" w:ascii="Times New Roman" w:hAnsi="Times New Roman" w:eastAsia="宋体" w:cs="Times New Roman"/>
          <w:snapToGrid/>
          <w:color w:val="000000" w:themeColor="text1"/>
          <w:spacing w:val="0"/>
          <w:kern w:val="2"/>
          <w:highlight w:val="none"/>
          <w:lang w:val="en-US" w:eastAsia="zh-CN"/>
        </w:rPr>
        <w:t>5×10</w:t>
      </w:r>
      <w:r>
        <w:rPr>
          <w:rFonts w:hint="default" w:ascii="Times New Roman" w:hAnsi="Times New Roman" w:eastAsia="宋体" w:cs="Times New Roman"/>
          <w:snapToGrid/>
          <w:color w:val="000000" w:themeColor="text1"/>
          <w:spacing w:val="0"/>
          <w:kern w:val="2"/>
          <w:highlight w:val="none"/>
          <w:vertAlign w:val="superscript"/>
          <w:lang w:val="en-US" w:eastAsia="zh-CN"/>
        </w:rPr>
        <w:t>5</w:t>
      </w:r>
      <w:r>
        <w:rPr>
          <w:rFonts w:hint="eastAsia" w:ascii="Times New Roman" w:hAnsi="Times New Roman" w:eastAsia="宋体"/>
          <w:snapToGrid/>
          <w:color w:val="000000" w:themeColor="text1"/>
          <w:spacing w:val="0"/>
          <w:kern w:val="2"/>
          <w:highlight w:val="none"/>
          <w:lang w:val="en-US" w:eastAsia="zh-CN"/>
        </w:rPr>
        <w:t>Mpa，整根钢绞线公称截面积为139mm</w:t>
      </w:r>
      <w:r>
        <w:rPr>
          <w:rFonts w:hint="eastAsia" w:ascii="Times New Roman" w:hAnsi="Times New Roman" w:eastAsia="宋体"/>
          <w:snapToGrid/>
          <w:color w:val="000000" w:themeColor="text1"/>
          <w:spacing w:val="0"/>
          <w:kern w:val="2"/>
          <w:highlight w:val="none"/>
          <w:vertAlign w:val="superscript"/>
          <w:lang w:val="en-US" w:eastAsia="zh-CN"/>
        </w:rPr>
        <w:t>2</w:t>
      </w:r>
      <w:r>
        <w:rPr>
          <w:rFonts w:hint="eastAsia" w:ascii="Times New Roman" w:hAnsi="Times New Roman" w:eastAsia="宋体"/>
          <w:snapToGrid/>
          <w:color w:val="000000" w:themeColor="text1"/>
          <w:spacing w:val="0"/>
          <w:kern w:val="2"/>
          <w:highlight w:val="none"/>
          <w:lang w:val="en-US" w:eastAsia="zh-CN"/>
        </w:rPr>
        <w:t xml:space="preserve">。 </w:t>
      </w:r>
    </w:p>
    <w:p w14:paraId="535C1A3C">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锚具：选用符合国家相应技术标准的系列锚具。 </w:t>
      </w:r>
    </w:p>
    <w:p w14:paraId="5A511D21">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锚垫板：选用与锚具配套的定型产品（即带螺旋筋的锚垫板）。 </w:t>
      </w:r>
    </w:p>
    <w:p w14:paraId="12804E97">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波纹管：塑料波纹管。 </w:t>
      </w:r>
    </w:p>
    <w:p w14:paraId="7A2E0378">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 xml:space="preserve">普通钢筋：HPB300钢筋、HRB400钢筋；钢材：Q235。 </w:t>
      </w:r>
    </w:p>
    <w:p w14:paraId="3B50F9F1">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桥面铺装：采用沥青混凝土桥面铺装。</w:t>
      </w:r>
    </w:p>
    <w:p w14:paraId="32E56770">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（3）机场</w:t>
      </w:r>
      <w:r>
        <w:rPr>
          <w:rFonts w:hint="eastAsia" w:ascii="Times New Roman" w:hAnsi="Times New Roman" w:eastAsia="宋体"/>
          <w:snapToGrid/>
          <w:color w:val="000000" w:themeColor="text1"/>
          <w:spacing w:val="0"/>
          <w:kern w:val="2"/>
          <w:highlight w:val="none"/>
        </w:rPr>
        <w:t>进场路</w:t>
      </w:r>
      <w:r>
        <w:rPr>
          <w:rFonts w:hint="eastAsia" w:ascii="Times New Roman" w:hAnsi="Times New Roman" w:eastAsia="宋体"/>
          <w:snapToGrid/>
          <w:color w:val="000000" w:themeColor="text1"/>
          <w:spacing w:val="0"/>
          <w:kern w:val="2"/>
          <w:highlight w:val="none"/>
          <w:lang w:val="en-US" w:eastAsia="zh-CN"/>
        </w:rPr>
        <w:t>跨朝鲜河桥</w:t>
      </w:r>
    </w:p>
    <w:p w14:paraId="75412B87">
      <w:pPr>
        <w:pStyle w:val="122"/>
        <w:pageBreakBefore w:val="0"/>
        <w:wordWrap/>
        <w:topLinePunct w:val="0"/>
        <w:bidi w:val="0"/>
        <w:spacing w:line="360" w:lineRule="auto"/>
        <w:ind w:firstLine="480"/>
        <w:jc w:val="left"/>
        <w:rPr>
          <w:rFonts w:hint="eastAsia" w:ascii="Times New Roman" w:hAnsi="Times New Roman" w:eastAsia="宋体"/>
          <w:b/>
          <w:bCs/>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lang w:val="en-US" w:eastAsia="zh-CN"/>
        </w:rPr>
        <w:t>机场</w:t>
      </w:r>
      <w:r>
        <w:rPr>
          <w:rFonts w:hint="eastAsia" w:ascii="Times New Roman" w:hAnsi="Times New Roman" w:eastAsia="宋体"/>
          <w:snapToGrid/>
          <w:color w:val="000000" w:themeColor="text1"/>
          <w:spacing w:val="0"/>
          <w:kern w:val="2"/>
          <w:highlight w:val="none"/>
        </w:rPr>
        <w:t>进场路</w:t>
      </w:r>
      <w:r>
        <w:rPr>
          <w:rFonts w:hint="eastAsia" w:ascii="Times New Roman" w:hAnsi="Times New Roman" w:eastAsia="宋体"/>
          <w:snapToGrid/>
          <w:color w:val="000000" w:themeColor="text1"/>
          <w:spacing w:val="0"/>
          <w:kern w:val="2"/>
          <w:highlight w:val="none"/>
          <w:lang w:val="en-US" w:eastAsia="zh-CN"/>
        </w:rPr>
        <w:t>路线与朝鲜河相交，根据现场实际情况，需要设置跨越朝鲜河桥梁一座。</w:t>
      </w:r>
    </w:p>
    <w:p w14:paraId="066C40AE">
      <w:pPr>
        <w:pStyle w:val="122"/>
        <w:pageBreakBefore w:val="0"/>
        <w:wordWrap/>
        <w:topLinePunct w:val="0"/>
        <w:bidi w:val="0"/>
        <w:spacing w:line="360" w:lineRule="auto"/>
        <w:ind w:left="0" w:leftChars="0" w:firstLine="0" w:firstLineChars="0"/>
        <w:jc w:val="center"/>
        <w:rPr>
          <w:rFonts w:hint="eastAsia" w:ascii="Times New Roman" w:hAnsi="Times New Roman" w:eastAsia="宋体"/>
          <w:b/>
          <w:bCs/>
          <w:snapToGrid/>
          <w:color w:val="000000" w:themeColor="text1"/>
          <w:spacing w:val="0"/>
          <w:kern w:val="2"/>
          <w:highlight w:val="none"/>
          <w:lang w:eastAsia="zh-CN"/>
        </w:rPr>
      </w:pPr>
      <w:r>
        <w:rPr>
          <w:rFonts w:hint="eastAsia" w:ascii="Times New Roman" w:hAnsi="Times New Roman" w:eastAsia="宋体"/>
          <w:b/>
          <w:bCs/>
          <w:snapToGrid/>
          <w:color w:val="000000" w:themeColor="text1"/>
          <w:spacing w:val="0"/>
          <w:kern w:val="2"/>
          <w:highlight w:val="none"/>
          <w:lang w:eastAsia="zh-CN"/>
        </w:rPr>
        <w:drawing>
          <wp:inline distT="0" distB="0" distL="114300" distR="114300">
            <wp:extent cx="5273675" cy="3644900"/>
            <wp:effectExtent l="0" t="0" r="14605" b="12700"/>
            <wp:docPr id="71" name="图片 71" descr="6b60e42e-02b7-4de0-a211-a5a645ee2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6b60e42e-02b7-4de0-a211-a5a645ee2e77"/>
                    <pic:cNvPicPr>
                      <a:picLocks noChangeAspect="1"/>
                    </pic:cNvPicPr>
                  </pic:nvPicPr>
                  <pic:blipFill>
                    <a:blip r:embed="rId31"/>
                    <a:stretch>
                      <a:fillRect/>
                    </a:stretch>
                  </pic:blipFill>
                  <pic:spPr>
                    <a:xfrm>
                      <a:off x="0" y="0"/>
                      <a:ext cx="5273675" cy="3644900"/>
                    </a:xfrm>
                    <a:prstGeom prst="rect">
                      <a:avLst/>
                    </a:prstGeom>
                  </pic:spPr>
                </pic:pic>
              </a:graphicData>
            </a:graphic>
          </wp:inline>
        </w:drawing>
      </w:r>
    </w:p>
    <w:p w14:paraId="66C22A84">
      <w:pPr>
        <w:pStyle w:val="122"/>
        <w:pageBreakBefore w:val="0"/>
        <w:wordWrap/>
        <w:topLinePunct w:val="0"/>
        <w:bidi w:val="0"/>
        <w:spacing w:line="360" w:lineRule="auto"/>
        <w:ind w:left="0" w:leftChars="0" w:firstLine="0" w:firstLineChars="0"/>
        <w:jc w:val="center"/>
        <w:rPr>
          <w:rFonts w:hint="eastAsia" w:ascii="Times New Roman" w:hAnsi="Times New Roman" w:eastAsia="宋体"/>
          <w:b/>
          <w:bCs/>
          <w:snapToGrid/>
          <w:color w:val="000000" w:themeColor="text1"/>
          <w:spacing w:val="0"/>
          <w:kern w:val="2"/>
          <w:highlight w:val="none"/>
          <w:lang w:val="en-US" w:eastAsia="zh-CN"/>
        </w:rPr>
      </w:pPr>
      <w:r>
        <w:rPr>
          <w:rFonts w:hint="eastAsia" w:ascii="Times New Roman" w:hAnsi="Times New Roman" w:eastAsia="宋体"/>
          <w:b/>
          <w:bCs/>
          <w:snapToGrid/>
          <w:color w:val="000000" w:themeColor="text1"/>
          <w:spacing w:val="0"/>
          <w:kern w:val="2"/>
          <w:highlight w:val="none"/>
        </w:rPr>
        <w:t>图3.1-</w:t>
      </w:r>
      <w:r>
        <w:rPr>
          <w:rFonts w:hint="eastAsia" w:ascii="Times New Roman" w:hAnsi="Times New Roman" w:eastAsia="宋体"/>
          <w:b/>
          <w:bCs/>
          <w:snapToGrid/>
          <w:color w:val="000000" w:themeColor="text1"/>
          <w:spacing w:val="0"/>
          <w:kern w:val="2"/>
          <w:highlight w:val="none"/>
          <w:lang w:val="en-US" w:eastAsia="zh-CN"/>
        </w:rPr>
        <w:t>5</w:t>
      </w:r>
      <w:r>
        <w:rPr>
          <w:rFonts w:hint="eastAsia" w:ascii="Times New Roman" w:hAnsi="Times New Roman" w:eastAsia="宋体"/>
          <w:b/>
          <w:bCs/>
          <w:snapToGrid/>
          <w:color w:val="000000" w:themeColor="text1"/>
          <w:spacing w:val="0"/>
          <w:kern w:val="2"/>
          <w:highlight w:val="none"/>
        </w:rPr>
        <w:t xml:space="preserve">  </w:t>
      </w:r>
      <w:r>
        <w:rPr>
          <w:rFonts w:hint="eastAsia" w:ascii="Times New Roman" w:hAnsi="Times New Roman" w:eastAsia="宋体"/>
          <w:b/>
          <w:bCs/>
          <w:snapToGrid/>
          <w:color w:val="000000" w:themeColor="text1"/>
          <w:spacing w:val="0"/>
          <w:kern w:val="2"/>
          <w:highlight w:val="none"/>
          <w:lang w:val="en-US" w:eastAsia="zh-CN"/>
        </w:rPr>
        <w:t>桥型布置图</w:t>
      </w:r>
    </w:p>
    <w:p w14:paraId="1D962DED">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宋体" w:hAnsi="宋体" w:eastAsia="宋体" w:cs="宋体"/>
          <w:snapToGrid/>
          <w:color w:val="000000" w:themeColor="text1"/>
          <w:spacing w:val="0"/>
          <w:kern w:val="2"/>
          <w:highlight w:val="none"/>
          <w:lang w:val="en-US" w:eastAsia="zh-CN"/>
        </w:rPr>
        <w:t>①</w:t>
      </w:r>
      <w:r>
        <w:rPr>
          <w:rFonts w:hint="eastAsia" w:ascii="Times New Roman" w:hAnsi="Times New Roman" w:eastAsia="宋体"/>
          <w:snapToGrid/>
          <w:color w:val="000000" w:themeColor="text1"/>
          <w:spacing w:val="0"/>
          <w:kern w:val="2"/>
          <w:highlight w:val="none"/>
          <w:lang w:val="en-US" w:eastAsia="zh-CN"/>
        </w:rPr>
        <w:t>桥梁上部结构</w:t>
      </w:r>
    </w:p>
    <w:p w14:paraId="2F1FF02A">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上部结构为20m装配式预应力混凝土（后张法）简支转连续小箱梁。</w:t>
      </w:r>
    </w:p>
    <w:p w14:paraId="30C13EEC">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宋体" w:hAnsi="宋体" w:eastAsia="宋体" w:cs="宋体"/>
          <w:snapToGrid/>
          <w:color w:val="000000" w:themeColor="text1"/>
          <w:spacing w:val="0"/>
          <w:kern w:val="2"/>
          <w:highlight w:val="none"/>
          <w:lang w:val="en-US" w:eastAsia="zh-CN"/>
        </w:rPr>
        <w:t>②</w:t>
      </w:r>
      <w:r>
        <w:rPr>
          <w:rFonts w:hint="eastAsia" w:ascii="Times New Roman" w:hAnsi="Times New Roman" w:eastAsia="宋体"/>
          <w:snapToGrid/>
          <w:color w:val="000000" w:themeColor="text1"/>
          <w:spacing w:val="0"/>
          <w:kern w:val="2"/>
          <w:highlight w:val="none"/>
          <w:lang w:val="en-US" w:eastAsia="zh-CN"/>
        </w:rPr>
        <w:t>桥梁下部结构</w:t>
      </w:r>
    </w:p>
    <w:p w14:paraId="787EB730">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桥台采用肋式桥台，中100cm钻孔桩接承台，承台上接肋板、盖梁。桥采用柱式桥钻孔桩、承台、肋板、墩柱、盖梁均为钢筋混凝土结构。</w:t>
      </w:r>
    </w:p>
    <w:p w14:paraId="5C5369BA">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宋体" w:hAnsi="宋体" w:eastAsia="宋体" w:cs="宋体"/>
          <w:snapToGrid/>
          <w:color w:val="000000" w:themeColor="text1"/>
          <w:spacing w:val="0"/>
          <w:kern w:val="2"/>
          <w:highlight w:val="none"/>
          <w:lang w:val="en-US" w:eastAsia="zh-CN"/>
        </w:rPr>
        <w:t>③</w:t>
      </w:r>
      <w:r>
        <w:rPr>
          <w:rFonts w:hint="eastAsia" w:ascii="Times New Roman" w:hAnsi="Times New Roman" w:eastAsia="宋体"/>
          <w:snapToGrid/>
          <w:color w:val="000000" w:themeColor="text1"/>
          <w:spacing w:val="0"/>
          <w:kern w:val="2"/>
          <w:highlight w:val="none"/>
          <w:lang w:val="en-US" w:eastAsia="zh-CN"/>
        </w:rPr>
        <w:t>附属工程</w:t>
      </w:r>
    </w:p>
    <w:p w14:paraId="45BFC406">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护栏：SB级金属梁柱式护栏。</w:t>
      </w:r>
    </w:p>
    <w:p w14:paraId="3B6889A0">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支座：采用HDR(I)型高阻尼隔震橡胶支座及LNR(H)型隔震天然橡胶支座</w:t>
      </w:r>
    </w:p>
    <w:p w14:paraId="356D9F9B">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伸缩装置：80型伸缩装置。</w:t>
      </w:r>
    </w:p>
    <w:p w14:paraId="35CF5C3B">
      <w:pPr>
        <w:pStyle w:val="5"/>
        <w:pageBreakBefore w:val="0"/>
        <w:wordWrap/>
        <w:topLinePunct w:val="0"/>
        <w:bidi w:val="0"/>
        <w:spacing w:before="156" w:line="360" w:lineRule="auto"/>
        <w:rPr>
          <w:rFonts w:hint="default"/>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7</w:t>
      </w:r>
      <w:r>
        <w:rPr>
          <w:rFonts w:hint="eastAsia"/>
          <w:color w:val="000000" w:themeColor="text1"/>
          <w:highlight w:val="none"/>
        </w:rPr>
        <w:t>.</w:t>
      </w:r>
      <w:r>
        <w:rPr>
          <w:rFonts w:hint="eastAsia"/>
          <w:color w:val="000000" w:themeColor="text1"/>
          <w:highlight w:val="none"/>
          <w:lang w:val="en-US" w:eastAsia="zh-CN"/>
        </w:rPr>
        <w:t>4涵洞水文计算成果</w:t>
      </w:r>
    </w:p>
    <w:p w14:paraId="76BB1F08">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rPr>
        <w:t>本项目路线位于平原微丘区，涵洞布设与水利排水、灌溉渠道及路线排水系统相配合。不降低原有排水、灌溉渠道排水能力，不压缩渠道。</w:t>
      </w:r>
    </w:p>
    <w:p w14:paraId="13D687E8">
      <w:pPr>
        <w:pStyle w:val="122"/>
        <w:pageBreakBefore w:val="0"/>
        <w:wordWrap/>
        <w:topLinePunct w:val="0"/>
        <w:bidi w:val="0"/>
        <w:spacing w:line="360" w:lineRule="auto"/>
        <w:ind w:firstLine="480"/>
        <w:jc w:val="left"/>
        <w:rPr>
          <w:rFonts w:ascii="Times New Roman" w:hAnsi="Times New Roman" w:eastAsia="宋体"/>
          <w:snapToGrid/>
          <w:color w:val="000000" w:themeColor="text1"/>
          <w:spacing w:val="0"/>
          <w:kern w:val="2"/>
          <w:highlight w:val="none"/>
        </w:rPr>
      </w:pPr>
      <w:r>
        <w:rPr>
          <w:rFonts w:hint="eastAsia" w:ascii="Times New Roman" w:hAnsi="Times New Roman" w:eastAsia="宋体"/>
          <w:snapToGrid/>
          <w:color w:val="000000" w:themeColor="text1"/>
          <w:spacing w:val="0"/>
          <w:kern w:val="2"/>
          <w:highlight w:val="none"/>
        </w:rPr>
        <w:t>低洼汇水区域涵洞设计流量采用黑龙江省公路系统暴雨径流公式计算设计流量，见洞水文计算成果表。</w:t>
      </w:r>
    </w:p>
    <w:p w14:paraId="3129FD6B">
      <w:pPr>
        <w:pStyle w:val="89"/>
        <w:pageBreakBefore w:val="0"/>
        <w:numPr>
          <w:ilvl w:val="0"/>
          <w:numId w:val="0"/>
        </w:numPr>
        <w:tabs>
          <w:tab w:val="left" w:pos="0"/>
        </w:tabs>
        <w:wordWrap/>
        <w:topLinePunct w:val="0"/>
        <w:bidi w:val="0"/>
        <w:adjustRightInd/>
        <w:spacing w:before="0" w:after="0" w:line="360" w:lineRule="auto"/>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10</w:t>
      </w:r>
      <w:r>
        <w:rPr>
          <w:b/>
          <w:color w:val="000000" w:themeColor="text1"/>
          <w:highlight w:val="none"/>
        </w:rPr>
        <w:t xml:space="preserve"> </w:t>
      </w:r>
      <w:r>
        <w:rPr>
          <w:rFonts w:hint="eastAsia"/>
          <w:b/>
          <w:color w:val="000000" w:themeColor="text1"/>
          <w:highlight w:val="none"/>
          <w:lang w:val="en-US" w:eastAsia="zh-CN"/>
        </w:rPr>
        <w:t xml:space="preserve"> 涵洞水文计算成果表</w:t>
      </w:r>
    </w:p>
    <w:tbl>
      <w:tblPr>
        <w:tblStyle w:val="132"/>
        <w:tblW w:w="5090" w:type="pct"/>
        <w:tblInd w:w="0" w:type="dxa"/>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autofit"/>
        <w:tblCellMar>
          <w:top w:w="0" w:type="dxa"/>
          <w:left w:w="0" w:type="dxa"/>
          <w:bottom w:w="0" w:type="dxa"/>
          <w:right w:w="0" w:type="dxa"/>
        </w:tblCellMar>
      </w:tblPr>
      <w:tblGrid>
        <w:gridCol w:w="487"/>
        <w:gridCol w:w="1204"/>
        <w:gridCol w:w="846"/>
        <w:gridCol w:w="846"/>
        <w:gridCol w:w="846"/>
        <w:gridCol w:w="1076"/>
        <w:gridCol w:w="615"/>
        <w:gridCol w:w="846"/>
        <w:gridCol w:w="846"/>
        <w:gridCol w:w="854"/>
      </w:tblGrid>
      <w:tr w14:paraId="572062C5">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vMerge w:val="restart"/>
            <w:tcBorders>
              <w:tl2br w:val="nil"/>
              <w:tr2bl w:val="nil"/>
            </w:tcBorders>
            <w:vAlign w:val="center"/>
          </w:tcPr>
          <w:p w14:paraId="4079BE9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序号</w:t>
            </w:r>
          </w:p>
        </w:tc>
        <w:tc>
          <w:tcPr>
            <w:tcW w:w="710" w:type="pct"/>
            <w:vMerge w:val="restart"/>
            <w:tcBorders>
              <w:tl2br w:val="nil"/>
              <w:tr2bl w:val="nil"/>
            </w:tcBorders>
            <w:vAlign w:val="center"/>
          </w:tcPr>
          <w:p w14:paraId="0663B65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桩号</w:t>
            </w:r>
          </w:p>
        </w:tc>
        <w:tc>
          <w:tcPr>
            <w:tcW w:w="499" w:type="pct"/>
            <w:tcBorders>
              <w:tl2br w:val="nil"/>
              <w:tr2bl w:val="nil"/>
            </w:tcBorders>
            <w:vAlign w:val="center"/>
          </w:tcPr>
          <w:p w14:paraId="3F2DBBCC">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设计流量</w:t>
            </w:r>
          </w:p>
        </w:tc>
        <w:tc>
          <w:tcPr>
            <w:tcW w:w="499" w:type="pct"/>
            <w:tcBorders>
              <w:tl2br w:val="nil"/>
              <w:tr2bl w:val="nil"/>
            </w:tcBorders>
            <w:vAlign w:val="center"/>
          </w:tcPr>
          <w:p w14:paraId="5326D20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泄洪能力</w:t>
            </w:r>
          </w:p>
        </w:tc>
        <w:tc>
          <w:tcPr>
            <w:tcW w:w="499" w:type="pct"/>
            <w:tcBorders>
              <w:tl2br w:val="nil"/>
              <w:tr2bl w:val="nil"/>
            </w:tcBorders>
            <w:vAlign w:val="center"/>
          </w:tcPr>
          <w:p w14:paraId="2E1B8A6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交角</w:t>
            </w:r>
          </w:p>
        </w:tc>
        <w:tc>
          <w:tcPr>
            <w:tcW w:w="635" w:type="pct"/>
            <w:tcBorders>
              <w:tl2br w:val="nil"/>
              <w:tr2bl w:val="nil"/>
            </w:tcBorders>
            <w:vAlign w:val="center"/>
          </w:tcPr>
          <w:p w14:paraId="44A90800">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孔数-跨径</w:t>
            </w:r>
          </w:p>
        </w:tc>
        <w:tc>
          <w:tcPr>
            <w:tcW w:w="363" w:type="pct"/>
            <w:vMerge w:val="restart"/>
            <w:tcBorders>
              <w:tl2br w:val="nil"/>
              <w:tr2bl w:val="nil"/>
            </w:tcBorders>
            <w:vAlign w:val="center"/>
          </w:tcPr>
          <w:p w14:paraId="22F74B4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结构类型</w:t>
            </w:r>
          </w:p>
        </w:tc>
        <w:tc>
          <w:tcPr>
            <w:tcW w:w="499" w:type="pct"/>
            <w:vMerge w:val="restart"/>
            <w:tcBorders>
              <w:tl2br w:val="nil"/>
              <w:tr2bl w:val="nil"/>
            </w:tcBorders>
            <w:vAlign w:val="center"/>
          </w:tcPr>
          <w:p w14:paraId="3D07AFB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C</w:t>
            </w:r>
          </w:p>
        </w:tc>
        <w:tc>
          <w:tcPr>
            <w:tcW w:w="499" w:type="pct"/>
            <w:vMerge w:val="restart"/>
            <w:tcBorders>
              <w:tl2br w:val="nil"/>
              <w:tr2bl w:val="nil"/>
            </w:tcBorders>
            <w:vAlign w:val="center"/>
          </w:tcPr>
          <w:p w14:paraId="793CAC79">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I</w:t>
            </w:r>
          </w:p>
        </w:tc>
        <w:tc>
          <w:tcPr>
            <w:tcW w:w="504" w:type="pct"/>
            <w:tcBorders>
              <w:tl2br w:val="nil"/>
              <w:tr2bl w:val="nil"/>
            </w:tcBorders>
            <w:vAlign w:val="center"/>
          </w:tcPr>
          <w:p w14:paraId="714F3DF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F</w:t>
            </w:r>
          </w:p>
        </w:tc>
      </w:tr>
      <w:tr w14:paraId="31FD3D5B">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vMerge w:val="continue"/>
            <w:tcBorders>
              <w:tl2br w:val="nil"/>
              <w:tr2bl w:val="nil"/>
            </w:tcBorders>
            <w:vAlign w:val="center"/>
          </w:tcPr>
          <w:p w14:paraId="7A414F5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p>
        </w:tc>
        <w:tc>
          <w:tcPr>
            <w:tcW w:w="710" w:type="pct"/>
            <w:vMerge w:val="continue"/>
            <w:tcBorders>
              <w:tl2br w:val="nil"/>
              <w:tr2bl w:val="nil"/>
            </w:tcBorders>
            <w:vAlign w:val="center"/>
          </w:tcPr>
          <w:p w14:paraId="1EFDB3F7">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p>
        </w:tc>
        <w:tc>
          <w:tcPr>
            <w:tcW w:w="499" w:type="pct"/>
            <w:tcBorders>
              <w:tl2br w:val="nil"/>
              <w:tr2bl w:val="nil"/>
            </w:tcBorders>
            <w:vAlign w:val="center"/>
          </w:tcPr>
          <w:p w14:paraId="3A9D46A3">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(m</w:t>
            </w:r>
            <w:r>
              <w:rPr>
                <w:rFonts w:hint="eastAsia" w:ascii="Times New Roman" w:hAnsi="Times New Roman" w:cs="Times New Roman"/>
                <w:color w:val="000000" w:themeColor="text1"/>
                <w:spacing w:val="0"/>
                <w:sz w:val="21"/>
                <w:szCs w:val="21"/>
                <w:highlight w:val="none"/>
                <w:vertAlign w:val="superscript"/>
                <w:lang w:val="en-US" w:eastAsia="zh-CN"/>
              </w:rPr>
              <w:t>3</w:t>
            </w:r>
            <w:r>
              <w:rPr>
                <w:rFonts w:hint="eastAsia" w:ascii="Times New Roman" w:hAnsi="Times New Roman" w:cs="Times New Roman"/>
                <w:color w:val="000000" w:themeColor="text1"/>
                <w:spacing w:val="0"/>
                <w:sz w:val="21"/>
                <w:szCs w:val="21"/>
                <w:highlight w:val="none"/>
                <w:lang w:val="en-US" w:eastAsia="zh-CN"/>
              </w:rPr>
              <w:t>/s)</w:t>
            </w:r>
          </w:p>
        </w:tc>
        <w:tc>
          <w:tcPr>
            <w:tcW w:w="499" w:type="pct"/>
            <w:tcBorders>
              <w:tl2br w:val="nil"/>
              <w:tr2bl w:val="nil"/>
            </w:tcBorders>
            <w:vAlign w:val="center"/>
          </w:tcPr>
          <w:p w14:paraId="47BCF19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rPr>
            </w:pPr>
            <w:r>
              <w:rPr>
                <w:rFonts w:hint="eastAsia" w:ascii="Times New Roman" w:hAnsi="Times New Roman" w:cs="Times New Roman"/>
                <w:color w:val="000000" w:themeColor="text1"/>
                <w:spacing w:val="0"/>
                <w:sz w:val="21"/>
                <w:szCs w:val="21"/>
                <w:highlight w:val="none"/>
                <w:lang w:val="en-US" w:eastAsia="zh-CN"/>
              </w:rPr>
              <w:t>(m</w:t>
            </w:r>
            <w:r>
              <w:rPr>
                <w:rFonts w:hint="eastAsia" w:ascii="Times New Roman" w:hAnsi="Times New Roman" w:cs="Times New Roman"/>
                <w:color w:val="000000" w:themeColor="text1"/>
                <w:spacing w:val="0"/>
                <w:sz w:val="21"/>
                <w:szCs w:val="21"/>
                <w:highlight w:val="none"/>
                <w:vertAlign w:val="superscript"/>
                <w:lang w:val="en-US" w:eastAsia="zh-CN"/>
              </w:rPr>
              <w:t>3</w:t>
            </w:r>
            <w:r>
              <w:rPr>
                <w:rFonts w:hint="eastAsia" w:ascii="Times New Roman" w:hAnsi="Times New Roman" w:cs="Times New Roman"/>
                <w:color w:val="000000" w:themeColor="text1"/>
                <w:spacing w:val="0"/>
                <w:sz w:val="21"/>
                <w:szCs w:val="21"/>
                <w:highlight w:val="none"/>
                <w:lang w:val="en-US" w:eastAsia="zh-CN"/>
              </w:rPr>
              <w:t>/s)</w:t>
            </w:r>
          </w:p>
        </w:tc>
        <w:tc>
          <w:tcPr>
            <w:tcW w:w="499" w:type="pct"/>
            <w:tcBorders>
              <w:tl2br w:val="nil"/>
              <w:tr2bl w:val="nil"/>
            </w:tcBorders>
            <w:vAlign w:val="center"/>
          </w:tcPr>
          <w:p w14:paraId="76BD625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w:t>
            </w:r>
          </w:p>
        </w:tc>
        <w:tc>
          <w:tcPr>
            <w:tcW w:w="635" w:type="pct"/>
            <w:tcBorders>
              <w:tl2br w:val="nil"/>
              <w:tr2bl w:val="nil"/>
            </w:tcBorders>
            <w:vAlign w:val="center"/>
          </w:tcPr>
          <w:p w14:paraId="72BEA527">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(孔-m)</w:t>
            </w:r>
          </w:p>
        </w:tc>
        <w:tc>
          <w:tcPr>
            <w:tcW w:w="363" w:type="pct"/>
            <w:vMerge w:val="continue"/>
            <w:tcBorders>
              <w:tl2br w:val="nil"/>
              <w:tr2bl w:val="nil"/>
            </w:tcBorders>
            <w:vAlign w:val="center"/>
          </w:tcPr>
          <w:p w14:paraId="7B963AC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p>
        </w:tc>
        <w:tc>
          <w:tcPr>
            <w:tcW w:w="499" w:type="pct"/>
            <w:vMerge w:val="continue"/>
            <w:tcBorders>
              <w:tl2br w:val="nil"/>
              <w:tr2bl w:val="nil"/>
            </w:tcBorders>
            <w:vAlign w:val="center"/>
          </w:tcPr>
          <w:p w14:paraId="14F7EC62">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p>
        </w:tc>
        <w:tc>
          <w:tcPr>
            <w:tcW w:w="499" w:type="pct"/>
            <w:vMerge w:val="continue"/>
            <w:tcBorders>
              <w:tl2br w:val="nil"/>
              <w:tr2bl w:val="nil"/>
            </w:tcBorders>
            <w:vAlign w:val="center"/>
          </w:tcPr>
          <w:p w14:paraId="317582C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p>
        </w:tc>
        <w:tc>
          <w:tcPr>
            <w:tcW w:w="504" w:type="pct"/>
            <w:tcBorders>
              <w:tl2br w:val="nil"/>
              <w:tr2bl w:val="nil"/>
            </w:tcBorders>
            <w:vAlign w:val="center"/>
          </w:tcPr>
          <w:p w14:paraId="6EA113EA">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(km</w:t>
            </w:r>
            <w:r>
              <w:rPr>
                <w:rFonts w:hint="eastAsia" w:ascii="Times New Roman" w:hAnsi="Times New Roman" w:cs="Times New Roman"/>
                <w:color w:val="000000" w:themeColor="text1"/>
                <w:spacing w:val="0"/>
                <w:sz w:val="21"/>
                <w:szCs w:val="21"/>
                <w:highlight w:val="none"/>
                <w:vertAlign w:val="superscript"/>
                <w:lang w:val="en-US" w:eastAsia="zh-CN"/>
              </w:rPr>
              <w:t>2</w:t>
            </w:r>
            <w:r>
              <w:rPr>
                <w:rFonts w:hint="eastAsia" w:ascii="Times New Roman" w:hAnsi="Times New Roman" w:cs="Times New Roman"/>
                <w:color w:val="000000" w:themeColor="text1"/>
                <w:spacing w:val="0"/>
                <w:sz w:val="21"/>
                <w:szCs w:val="21"/>
                <w:highlight w:val="none"/>
                <w:lang w:val="en-US" w:eastAsia="zh-CN"/>
              </w:rPr>
              <w:t>)</w:t>
            </w:r>
          </w:p>
        </w:tc>
      </w:tr>
      <w:tr w14:paraId="24A6AD76">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53C0163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w:t>
            </w:r>
          </w:p>
        </w:tc>
        <w:tc>
          <w:tcPr>
            <w:tcW w:w="710" w:type="pct"/>
            <w:tcBorders>
              <w:tl2br w:val="nil"/>
              <w:tr2bl w:val="nil"/>
            </w:tcBorders>
            <w:vAlign w:val="center"/>
          </w:tcPr>
          <w:p w14:paraId="25476D8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K0+018.5</w:t>
            </w:r>
          </w:p>
        </w:tc>
        <w:tc>
          <w:tcPr>
            <w:tcW w:w="499" w:type="pct"/>
            <w:tcBorders>
              <w:tl2br w:val="nil"/>
              <w:tr2bl w:val="nil"/>
            </w:tcBorders>
            <w:vAlign w:val="center"/>
          </w:tcPr>
          <w:p w14:paraId="2486E07A">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w:t>
            </w:r>
          </w:p>
        </w:tc>
        <w:tc>
          <w:tcPr>
            <w:tcW w:w="499" w:type="pct"/>
            <w:tcBorders>
              <w:tl2br w:val="nil"/>
              <w:tr2bl w:val="nil"/>
            </w:tcBorders>
            <w:vAlign w:val="center"/>
          </w:tcPr>
          <w:p w14:paraId="0D825ED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vAlign w:val="center"/>
          </w:tcPr>
          <w:p w14:paraId="47E3033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vAlign w:val="center"/>
          </w:tcPr>
          <w:p w14:paraId="4B055D4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vAlign w:val="center"/>
          </w:tcPr>
          <w:p w14:paraId="1F815F0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vAlign w:val="center"/>
          </w:tcPr>
          <w:p w14:paraId="30EBF6C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29E66CEC">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0.017</w:t>
            </w:r>
          </w:p>
        </w:tc>
        <w:tc>
          <w:tcPr>
            <w:tcW w:w="504" w:type="pct"/>
            <w:tcBorders>
              <w:tl2br w:val="nil"/>
              <w:tr2bl w:val="nil"/>
            </w:tcBorders>
            <w:vAlign w:val="center"/>
          </w:tcPr>
          <w:p w14:paraId="3D6BE52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0.18</w:t>
            </w:r>
          </w:p>
        </w:tc>
      </w:tr>
      <w:tr w14:paraId="4795BE2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178A352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2</w:t>
            </w:r>
          </w:p>
        </w:tc>
        <w:tc>
          <w:tcPr>
            <w:tcW w:w="710" w:type="pct"/>
            <w:tcBorders>
              <w:tl2br w:val="nil"/>
              <w:tr2bl w:val="nil"/>
            </w:tcBorders>
            <w:vAlign w:val="center"/>
          </w:tcPr>
          <w:p w14:paraId="0B68841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K0+264.5</w:t>
            </w:r>
          </w:p>
        </w:tc>
        <w:tc>
          <w:tcPr>
            <w:tcW w:w="499" w:type="pct"/>
            <w:tcBorders>
              <w:tl2br w:val="nil"/>
              <w:tr2bl w:val="nil"/>
            </w:tcBorders>
            <w:vAlign w:val="center"/>
          </w:tcPr>
          <w:p w14:paraId="5DB13DB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23.1</w:t>
            </w:r>
          </w:p>
        </w:tc>
        <w:tc>
          <w:tcPr>
            <w:tcW w:w="499" w:type="pct"/>
            <w:tcBorders>
              <w:tl2br w:val="nil"/>
              <w:tr2bl w:val="nil"/>
            </w:tcBorders>
            <w:vAlign w:val="center"/>
          </w:tcPr>
          <w:p w14:paraId="314E044C">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30.7</w:t>
            </w:r>
          </w:p>
        </w:tc>
        <w:tc>
          <w:tcPr>
            <w:tcW w:w="499" w:type="pct"/>
            <w:tcBorders>
              <w:tl2br w:val="nil"/>
              <w:tr2bl w:val="nil"/>
            </w:tcBorders>
            <w:vAlign w:val="center"/>
          </w:tcPr>
          <w:p w14:paraId="04C5A90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vAlign w:val="center"/>
          </w:tcPr>
          <w:p w14:paraId="0DE15B20">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1 -4.0×3.0</w:t>
            </w:r>
          </w:p>
        </w:tc>
        <w:tc>
          <w:tcPr>
            <w:tcW w:w="363" w:type="pct"/>
            <w:tcBorders>
              <w:tl2br w:val="nil"/>
              <w:tr2bl w:val="nil"/>
            </w:tcBorders>
            <w:vAlign w:val="center"/>
          </w:tcPr>
          <w:p w14:paraId="01CF41B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vAlign w:val="center"/>
          </w:tcPr>
          <w:p w14:paraId="452BEC9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6B35E5A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0.012</w:t>
            </w:r>
          </w:p>
        </w:tc>
        <w:tc>
          <w:tcPr>
            <w:tcW w:w="504" w:type="pct"/>
            <w:tcBorders>
              <w:tl2br w:val="nil"/>
              <w:tr2bl w:val="nil"/>
            </w:tcBorders>
            <w:vAlign w:val="center"/>
          </w:tcPr>
          <w:p w14:paraId="10A8EBA7">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3.79</w:t>
            </w:r>
          </w:p>
        </w:tc>
      </w:tr>
      <w:tr w14:paraId="243BA0D1">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4EF360B8">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w:t>
            </w:r>
          </w:p>
        </w:tc>
        <w:tc>
          <w:tcPr>
            <w:tcW w:w="710" w:type="pct"/>
            <w:tcBorders>
              <w:tl2br w:val="nil"/>
              <w:tr2bl w:val="nil"/>
            </w:tcBorders>
            <w:vAlign w:val="center"/>
          </w:tcPr>
          <w:p w14:paraId="320DFFB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K1+199.0</w:t>
            </w:r>
          </w:p>
        </w:tc>
        <w:tc>
          <w:tcPr>
            <w:tcW w:w="499" w:type="pct"/>
            <w:tcBorders>
              <w:tl2br w:val="nil"/>
              <w:tr2bl w:val="nil"/>
            </w:tcBorders>
            <w:vAlign w:val="center"/>
          </w:tcPr>
          <w:p w14:paraId="29DEE9F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2.7</w:t>
            </w:r>
          </w:p>
        </w:tc>
        <w:tc>
          <w:tcPr>
            <w:tcW w:w="499" w:type="pct"/>
            <w:tcBorders>
              <w:tl2br w:val="nil"/>
              <w:tr2bl w:val="nil"/>
            </w:tcBorders>
            <w:vAlign w:val="center"/>
          </w:tcPr>
          <w:p w14:paraId="0545C06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4F9536AF">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vAlign w:val="center"/>
          </w:tcPr>
          <w:p w14:paraId="751E1F7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745BEEC0">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0BA4EEE6">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02D126D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0.036</w:t>
            </w:r>
          </w:p>
        </w:tc>
        <w:tc>
          <w:tcPr>
            <w:tcW w:w="504" w:type="pct"/>
            <w:tcBorders>
              <w:tl2br w:val="nil"/>
              <w:tr2bl w:val="nil"/>
            </w:tcBorders>
            <w:vAlign w:val="center"/>
          </w:tcPr>
          <w:p w14:paraId="290079E7">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0.12</w:t>
            </w:r>
          </w:p>
        </w:tc>
      </w:tr>
      <w:tr w14:paraId="7E1EA2E0">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11B9AF6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4</w:t>
            </w:r>
          </w:p>
        </w:tc>
        <w:tc>
          <w:tcPr>
            <w:tcW w:w="710" w:type="pct"/>
            <w:tcBorders>
              <w:tl2br w:val="nil"/>
              <w:tr2bl w:val="nil"/>
            </w:tcBorders>
            <w:vAlign w:val="center"/>
          </w:tcPr>
          <w:p w14:paraId="7554E269">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K1+726.0</w:t>
            </w:r>
          </w:p>
        </w:tc>
        <w:tc>
          <w:tcPr>
            <w:tcW w:w="499" w:type="pct"/>
            <w:tcBorders>
              <w:tl2br w:val="nil"/>
              <w:tr2bl w:val="nil"/>
            </w:tcBorders>
            <w:vAlign w:val="center"/>
          </w:tcPr>
          <w:p w14:paraId="76E11F3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2.1</w:t>
            </w:r>
          </w:p>
        </w:tc>
        <w:tc>
          <w:tcPr>
            <w:tcW w:w="499" w:type="pct"/>
            <w:tcBorders>
              <w:tl2br w:val="nil"/>
              <w:tr2bl w:val="nil"/>
            </w:tcBorders>
            <w:vAlign w:val="center"/>
          </w:tcPr>
          <w:p w14:paraId="2323B53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0ABFF715">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vAlign w:val="center"/>
          </w:tcPr>
          <w:p w14:paraId="53FDA1B3">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3FE34589">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589A25AA">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1A5C2DC7">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0.029</w:t>
            </w:r>
          </w:p>
        </w:tc>
        <w:tc>
          <w:tcPr>
            <w:tcW w:w="504" w:type="pct"/>
            <w:tcBorders>
              <w:tl2br w:val="nil"/>
              <w:tr2bl w:val="nil"/>
            </w:tcBorders>
            <w:vAlign w:val="center"/>
          </w:tcPr>
          <w:p w14:paraId="43C1D76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0.09</w:t>
            </w:r>
          </w:p>
        </w:tc>
      </w:tr>
      <w:tr w14:paraId="2105649D">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2A735BFD">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5</w:t>
            </w:r>
          </w:p>
        </w:tc>
        <w:tc>
          <w:tcPr>
            <w:tcW w:w="710" w:type="pct"/>
            <w:tcBorders>
              <w:tl2br w:val="nil"/>
              <w:tr2bl w:val="nil"/>
            </w:tcBorders>
            <w:vAlign w:val="center"/>
          </w:tcPr>
          <w:p w14:paraId="4DCC8978">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K2+751.0</w:t>
            </w:r>
          </w:p>
        </w:tc>
        <w:tc>
          <w:tcPr>
            <w:tcW w:w="499" w:type="pct"/>
            <w:tcBorders>
              <w:tl2br w:val="nil"/>
              <w:tr2bl w:val="nil"/>
            </w:tcBorders>
            <w:vAlign w:val="center"/>
          </w:tcPr>
          <w:p w14:paraId="72CE5EC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3.2</w:t>
            </w:r>
          </w:p>
        </w:tc>
        <w:tc>
          <w:tcPr>
            <w:tcW w:w="499" w:type="pct"/>
            <w:tcBorders>
              <w:tl2br w:val="nil"/>
              <w:tr2bl w:val="nil"/>
            </w:tcBorders>
            <w:shd w:val="clear" w:color="auto" w:fill="auto"/>
            <w:vAlign w:val="center"/>
          </w:tcPr>
          <w:p w14:paraId="2C6A7FF3">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4DAC2536">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vAlign w:val="center"/>
          </w:tcPr>
          <w:p w14:paraId="44DFCE1E">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78477B21">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6EC6DADD">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7F8D63D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0.001</w:t>
            </w:r>
          </w:p>
        </w:tc>
        <w:tc>
          <w:tcPr>
            <w:tcW w:w="504" w:type="pct"/>
            <w:tcBorders>
              <w:tl2br w:val="nil"/>
              <w:tr2bl w:val="nil"/>
            </w:tcBorders>
            <w:vAlign w:val="center"/>
          </w:tcPr>
          <w:p w14:paraId="4E9C6A6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0.54</w:t>
            </w:r>
          </w:p>
        </w:tc>
      </w:tr>
      <w:tr w14:paraId="1F53B3F6">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39DCA8D8">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6</w:t>
            </w:r>
          </w:p>
        </w:tc>
        <w:tc>
          <w:tcPr>
            <w:tcW w:w="710" w:type="pct"/>
            <w:tcBorders>
              <w:tl2br w:val="nil"/>
              <w:tr2bl w:val="nil"/>
            </w:tcBorders>
            <w:vAlign w:val="center"/>
          </w:tcPr>
          <w:p w14:paraId="3660C328">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K4+324.0</w:t>
            </w:r>
          </w:p>
        </w:tc>
        <w:tc>
          <w:tcPr>
            <w:tcW w:w="499" w:type="pct"/>
            <w:tcBorders>
              <w:tl2br w:val="nil"/>
              <w:tr2bl w:val="nil"/>
            </w:tcBorders>
            <w:vAlign w:val="center"/>
          </w:tcPr>
          <w:p w14:paraId="7B3C493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2.5</w:t>
            </w:r>
          </w:p>
        </w:tc>
        <w:tc>
          <w:tcPr>
            <w:tcW w:w="499" w:type="pct"/>
            <w:tcBorders>
              <w:tl2br w:val="nil"/>
              <w:tr2bl w:val="nil"/>
            </w:tcBorders>
            <w:shd w:val="clear" w:color="auto" w:fill="auto"/>
            <w:vAlign w:val="center"/>
          </w:tcPr>
          <w:p w14:paraId="4E32DA2E">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305E984B">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vAlign w:val="center"/>
          </w:tcPr>
          <w:p w14:paraId="1F7ED443">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378C3843">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636CE12B">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0E7CEE99">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0.005</w:t>
            </w:r>
          </w:p>
        </w:tc>
        <w:tc>
          <w:tcPr>
            <w:tcW w:w="504" w:type="pct"/>
            <w:tcBorders>
              <w:tl2br w:val="nil"/>
              <w:tr2bl w:val="nil"/>
            </w:tcBorders>
            <w:vAlign w:val="center"/>
          </w:tcPr>
          <w:p w14:paraId="722483D1">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0.22</w:t>
            </w:r>
          </w:p>
        </w:tc>
      </w:tr>
      <w:tr w14:paraId="58719FC4">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45F2898A">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7</w:t>
            </w:r>
          </w:p>
        </w:tc>
        <w:tc>
          <w:tcPr>
            <w:tcW w:w="710" w:type="pct"/>
            <w:tcBorders>
              <w:tl2br w:val="nil"/>
              <w:tr2bl w:val="nil"/>
            </w:tcBorders>
            <w:vAlign w:val="center"/>
          </w:tcPr>
          <w:p w14:paraId="6DC9342C">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K4+914.0</w:t>
            </w:r>
          </w:p>
        </w:tc>
        <w:tc>
          <w:tcPr>
            <w:tcW w:w="499" w:type="pct"/>
            <w:tcBorders>
              <w:tl2br w:val="nil"/>
              <w:tr2bl w:val="nil"/>
            </w:tcBorders>
            <w:vAlign w:val="center"/>
          </w:tcPr>
          <w:p w14:paraId="2275486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4</w:t>
            </w:r>
          </w:p>
        </w:tc>
        <w:tc>
          <w:tcPr>
            <w:tcW w:w="499" w:type="pct"/>
            <w:tcBorders>
              <w:tl2br w:val="nil"/>
              <w:tr2bl w:val="nil"/>
            </w:tcBorders>
            <w:shd w:val="clear" w:color="auto" w:fill="auto"/>
            <w:vAlign w:val="center"/>
          </w:tcPr>
          <w:p w14:paraId="6A25C120">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39597AFD">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shd w:val="clear" w:color="auto" w:fill="auto"/>
            <w:vAlign w:val="center"/>
          </w:tcPr>
          <w:p w14:paraId="53B8B9AE">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51CA8BC9">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0C53246A">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08CADE69">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0.015</w:t>
            </w:r>
          </w:p>
        </w:tc>
        <w:tc>
          <w:tcPr>
            <w:tcW w:w="504" w:type="pct"/>
            <w:tcBorders>
              <w:tl2br w:val="nil"/>
              <w:tr2bl w:val="nil"/>
            </w:tcBorders>
            <w:vAlign w:val="center"/>
          </w:tcPr>
          <w:p w14:paraId="2E3388DA">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0.29</w:t>
            </w:r>
          </w:p>
        </w:tc>
      </w:tr>
      <w:tr w14:paraId="0F1DA4F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4BA8D9D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8</w:t>
            </w:r>
          </w:p>
        </w:tc>
        <w:tc>
          <w:tcPr>
            <w:tcW w:w="710" w:type="pct"/>
            <w:tcBorders>
              <w:tl2br w:val="nil"/>
              <w:tr2bl w:val="nil"/>
            </w:tcBorders>
            <w:vAlign w:val="center"/>
          </w:tcPr>
          <w:p w14:paraId="631E597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K5+035.0</w:t>
            </w:r>
          </w:p>
        </w:tc>
        <w:tc>
          <w:tcPr>
            <w:tcW w:w="499" w:type="pct"/>
            <w:tcBorders>
              <w:tl2br w:val="nil"/>
              <w:tr2bl w:val="nil"/>
            </w:tcBorders>
            <w:vAlign w:val="center"/>
          </w:tcPr>
          <w:p w14:paraId="69B0D85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3.4</w:t>
            </w:r>
          </w:p>
        </w:tc>
        <w:tc>
          <w:tcPr>
            <w:tcW w:w="499" w:type="pct"/>
            <w:tcBorders>
              <w:tl2br w:val="nil"/>
              <w:tr2bl w:val="nil"/>
            </w:tcBorders>
            <w:shd w:val="clear" w:color="auto" w:fill="auto"/>
            <w:vAlign w:val="center"/>
          </w:tcPr>
          <w:p w14:paraId="1AA1790E">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3FA3948A">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shd w:val="clear" w:color="auto" w:fill="auto"/>
            <w:vAlign w:val="center"/>
          </w:tcPr>
          <w:p w14:paraId="6626D29B">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01DD69FE">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5548365C">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0F95657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0.01</w:t>
            </w:r>
          </w:p>
        </w:tc>
        <w:tc>
          <w:tcPr>
            <w:tcW w:w="504" w:type="pct"/>
            <w:tcBorders>
              <w:tl2br w:val="nil"/>
              <w:tr2bl w:val="nil"/>
            </w:tcBorders>
            <w:vAlign w:val="center"/>
          </w:tcPr>
          <w:p w14:paraId="75DF47A9">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0.26</w:t>
            </w:r>
          </w:p>
        </w:tc>
      </w:tr>
      <w:tr w14:paraId="7A6AF926">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065A4F3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9</w:t>
            </w:r>
          </w:p>
        </w:tc>
        <w:tc>
          <w:tcPr>
            <w:tcW w:w="710" w:type="pct"/>
            <w:tcBorders>
              <w:tl2br w:val="nil"/>
              <w:tr2bl w:val="nil"/>
            </w:tcBorders>
            <w:vAlign w:val="center"/>
          </w:tcPr>
          <w:p w14:paraId="0B7AE8D3">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K5+176.5</w:t>
            </w:r>
          </w:p>
        </w:tc>
        <w:tc>
          <w:tcPr>
            <w:tcW w:w="499" w:type="pct"/>
            <w:tcBorders>
              <w:tl2br w:val="nil"/>
              <w:tr2bl w:val="nil"/>
            </w:tcBorders>
            <w:vAlign w:val="center"/>
          </w:tcPr>
          <w:p w14:paraId="553759A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3.5</w:t>
            </w:r>
          </w:p>
        </w:tc>
        <w:tc>
          <w:tcPr>
            <w:tcW w:w="499" w:type="pct"/>
            <w:tcBorders>
              <w:tl2br w:val="nil"/>
              <w:tr2bl w:val="nil"/>
            </w:tcBorders>
            <w:shd w:val="clear" w:color="auto" w:fill="auto"/>
            <w:vAlign w:val="center"/>
          </w:tcPr>
          <w:p w14:paraId="0C79887B">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78FD2BA4">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shd w:val="clear" w:color="auto" w:fill="auto"/>
            <w:vAlign w:val="center"/>
          </w:tcPr>
          <w:p w14:paraId="5F1108D5">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7C1621E8">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485FE473">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66289524">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0.006</w:t>
            </w:r>
          </w:p>
        </w:tc>
        <w:tc>
          <w:tcPr>
            <w:tcW w:w="504" w:type="pct"/>
            <w:tcBorders>
              <w:tl2br w:val="nil"/>
              <w:tr2bl w:val="nil"/>
            </w:tcBorders>
            <w:vAlign w:val="center"/>
          </w:tcPr>
          <w:p w14:paraId="56D2D50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0.33</w:t>
            </w:r>
          </w:p>
        </w:tc>
      </w:tr>
      <w:tr w14:paraId="1C5FDB9C">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05E120C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10</w:t>
            </w:r>
          </w:p>
        </w:tc>
        <w:tc>
          <w:tcPr>
            <w:tcW w:w="710" w:type="pct"/>
            <w:tcBorders>
              <w:tl2br w:val="nil"/>
              <w:tr2bl w:val="nil"/>
            </w:tcBorders>
            <w:vAlign w:val="center"/>
          </w:tcPr>
          <w:p w14:paraId="0996873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K5+525.0</w:t>
            </w:r>
          </w:p>
        </w:tc>
        <w:tc>
          <w:tcPr>
            <w:tcW w:w="499" w:type="pct"/>
            <w:tcBorders>
              <w:tl2br w:val="nil"/>
              <w:tr2bl w:val="nil"/>
            </w:tcBorders>
            <w:vAlign w:val="center"/>
          </w:tcPr>
          <w:p w14:paraId="5A6D6C1F">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3.6</w:t>
            </w:r>
          </w:p>
        </w:tc>
        <w:tc>
          <w:tcPr>
            <w:tcW w:w="499" w:type="pct"/>
            <w:tcBorders>
              <w:tl2br w:val="nil"/>
              <w:tr2bl w:val="nil"/>
            </w:tcBorders>
            <w:shd w:val="clear" w:color="auto" w:fill="auto"/>
            <w:vAlign w:val="center"/>
          </w:tcPr>
          <w:p w14:paraId="1C2A794D">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53332CAB">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shd w:val="clear" w:color="auto" w:fill="auto"/>
            <w:vAlign w:val="center"/>
          </w:tcPr>
          <w:p w14:paraId="614A1F4D">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1DB88939">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43842788">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51DE4D58">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0.008</w:t>
            </w:r>
          </w:p>
        </w:tc>
        <w:tc>
          <w:tcPr>
            <w:tcW w:w="504" w:type="pct"/>
            <w:tcBorders>
              <w:tl2br w:val="nil"/>
              <w:tr2bl w:val="nil"/>
            </w:tcBorders>
            <w:vAlign w:val="center"/>
          </w:tcPr>
          <w:p w14:paraId="7637C8A2">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0.31</w:t>
            </w:r>
          </w:p>
        </w:tc>
      </w:tr>
      <w:tr w14:paraId="3FF98438">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5919FCA0">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11</w:t>
            </w:r>
          </w:p>
        </w:tc>
        <w:tc>
          <w:tcPr>
            <w:tcW w:w="710" w:type="pct"/>
            <w:tcBorders>
              <w:tl2br w:val="nil"/>
              <w:tr2bl w:val="nil"/>
            </w:tcBorders>
            <w:vAlign w:val="center"/>
          </w:tcPr>
          <w:p w14:paraId="6215DC5A">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K5+626.0</w:t>
            </w:r>
          </w:p>
        </w:tc>
        <w:tc>
          <w:tcPr>
            <w:tcW w:w="499" w:type="pct"/>
            <w:tcBorders>
              <w:tl2br w:val="nil"/>
              <w:tr2bl w:val="nil"/>
            </w:tcBorders>
            <w:vAlign w:val="center"/>
          </w:tcPr>
          <w:p w14:paraId="7F8BDFE0">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3.8</w:t>
            </w:r>
          </w:p>
        </w:tc>
        <w:tc>
          <w:tcPr>
            <w:tcW w:w="499" w:type="pct"/>
            <w:tcBorders>
              <w:tl2br w:val="nil"/>
              <w:tr2bl w:val="nil"/>
            </w:tcBorders>
            <w:shd w:val="clear" w:color="auto" w:fill="auto"/>
            <w:vAlign w:val="center"/>
          </w:tcPr>
          <w:p w14:paraId="1D796B74">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6C17ADB2">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shd w:val="clear" w:color="auto" w:fill="auto"/>
            <w:vAlign w:val="center"/>
          </w:tcPr>
          <w:p w14:paraId="34F5091C">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1 -1.5×1.5</w:t>
            </w:r>
          </w:p>
        </w:tc>
        <w:tc>
          <w:tcPr>
            <w:tcW w:w="363" w:type="pct"/>
            <w:tcBorders>
              <w:tl2br w:val="nil"/>
              <w:tr2bl w:val="nil"/>
            </w:tcBorders>
            <w:shd w:val="clear" w:color="auto" w:fill="auto"/>
            <w:vAlign w:val="center"/>
          </w:tcPr>
          <w:p w14:paraId="48CF4F7E">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174E3502">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6661D53C">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0.006</w:t>
            </w:r>
          </w:p>
        </w:tc>
        <w:tc>
          <w:tcPr>
            <w:tcW w:w="504" w:type="pct"/>
            <w:tcBorders>
              <w:tl2br w:val="nil"/>
              <w:tr2bl w:val="nil"/>
            </w:tcBorders>
            <w:vAlign w:val="center"/>
          </w:tcPr>
          <w:p w14:paraId="709366A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0.37</w:t>
            </w:r>
          </w:p>
        </w:tc>
      </w:tr>
      <w:tr w14:paraId="1F3F245B">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87" w:type="pct"/>
            <w:tcBorders>
              <w:tl2br w:val="nil"/>
              <w:tr2bl w:val="nil"/>
            </w:tcBorders>
            <w:vAlign w:val="center"/>
          </w:tcPr>
          <w:p w14:paraId="5FF6307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12</w:t>
            </w:r>
          </w:p>
        </w:tc>
        <w:tc>
          <w:tcPr>
            <w:tcW w:w="710" w:type="pct"/>
            <w:tcBorders>
              <w:tl2br w:val="nil"/>
              <w:tr2bl w:val="nil"/>
            </w:tcBorders>
            <w:vAlign w:val="center"/>
          </w:tcPr>
          <w:p w14:paraId="311E5126">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K5+900.0</w:t>
            </w:r>
          </w:p>
        </w:tc>
        <w:tc>
          <w:tcPr>
            <w:tcW w:w="499" w:type="pct"/>
            <w:tcBorders>
              <w:tl2br w:val="nil"/>
              <w:tr2bl w:val="nil"/>
            </w:tcBorders>
            <w:vAlign w:val="center"/>
          </w:tcPr>
          <w:p w14:paraId="14E63535">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8.1</w:t>
            </w:r>
          </w:p>
        </w:tc>
        <w:tc>
          <w:tcPr>
            <w:tcW w:w="499" w:type="pct"/>
            <w:tcBorders>
              <w:tl2br w:val="nil"/>
              <w:tr2bl w:val="nil"/>
            </w:tcBorders>
            <w:shd w:val="clear" w:color="auto" w:fill="auto"/>
            <w:vAlign w:val="center"/>
          </w:tcPr>
          <w:p w14:paraId="7FC9D7BE">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4.1</w:t>
            </w:r>
          </w:p>
        </w:tc>
        <w:tc>
          <w:tcPr>
            <w:tcW w:w="499" w:type="pct"/>
            <w:tcBorders>
              <w:tl2br w:val="nil"/>
              <w:tr2bl w:val="nil"/>
            </w:tcBorders>
            <w:shd w:val="clear" w:color="auto" w:fill="auto"/>
            <w:vAlign w:val="center"/>
          </w:tcPr>
          <w:p w14:paraId="4450A4E5">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90</w:t>
            </w:r>
          </w:p>
        </w:tc>
        <w:tc>
          <w:tcPr>
            <w:tcW w:w="635" w:type="pct"/>
            <w:tcBorders>
              <w:tl2br w:val="nil"/>
              <w:tr2bl w:val="nil"/>
            </w:tcBorders>
            <w:shd w:val="clear" w:color="auto" w:fill="auto"/>
            <w:vAlign w:val="center"/>
          </w:tcPr>
          <w:p w14:paraId="3BAF52B4">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1 -2.0×2.0</w:t>
            </w:r>
          </w:p>
        </w:tc>
        <w:tc>
          <w:tcPr>
            <w:tcW w:w="363" w:type="pct"/>
            <w:tcBorders>
              <w:tl2br w:val="nil"/>
              <w:tr2bl w:val="nil"/>
            </w:tcBorders>
            <w:shd w:val="clear" w:color="auto" w:fill="auto"/>
            <w:vAlign w:val="center"/>
          </w:tcPr>
          <w:p w14:paraId="3190576D">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箱涵</w:t>
            </w:r>
          </w:p>
        </w:tc>
        <w:tc>
          <w:tcPr>
            <w:tcW w:w="499" w:type="pct"/>
            <w:tcBorders>
              <w:tl2br w:val="nil"/>
              <w:tr2bl w:val="nil"/>
            </w:tcBorders>
            <w:shd w:val="clear" w:color="auto" w:fill="auto"/>
            <w:vAlign w:val="center"/>
          </w:tcPr>
          <w:p w14:paraId="50D4ED3C">
            <w:pPr>
              <w:pStyle w:val="133"/>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spacing w:val="0"/>
                <w:kern w:val="2"/>
                <w:sz w:val="21"/>
                <w:szCs w:val="21"/>
                <w:highlight w:val="none"/>
                <w:lang w:val="en-US" w:eastAsia="zh-CN" w:bidi="ar-SA"/>
              </w:rPr>
            </w:pPr>
            <w:r>
              <w:rPr>
                <w:rFonts w:hint="eastAsia" w:ascii="Times New Roman" w:hAnsi="Times New Roman" w:cs="Times New Roman"/>
                <w:color w:val="000000" w:themeColor="text1"/>
                <w:spacing w:val="0"/>
                <w:sz w:val="21"/>
                <w:szCs w:val="21"/>
                <w:highlight w:val="none"/>
                <w:lang w:val="en-US" w:eastAsia="zh-CN"/>
              </w:rPr>
              <w:t>0.3</w:t>
            </w:r>
          </w:p>
        </w:tc>
        <w:tc>
          <w:tcPr>
            <w:tcW w:w="499" w:type="pct"/>
            <w:tcBorders>
              <w:tl2br w:val="nil"/>
              <w:tr2bl w:val="nil"/>
            </w:tcBorders>
            <w:vAlign w:val="center"/>
          </w:tcPr>
          <w:p w14:paraId="653FA637">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0.02</w:t>
            </w:r>
          </w:p>
        </w:tc>
        <w:tc>
          <w:tcPr>
            <w:tcW w:w="504" w:type="pct"/>
            <w:tcBorders>
              <w:tl2br w:val="nil"/>
              <w:tr2bl w:val="nil"/>
            </w:tcBorders>
            <w:vAlign w:val="center"/>
          </w:tcPr>
          <w:p w14:paraId="329CAD7B">
            <w:pPr>
              <w:pStyle w:val="133"/>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0"/>
                <w:sz w:val="21"/>
                <w:szCs w:val="21"/>
                <w:highlight w:val="none"/>
                <w:lang w:val="en-US" w:eastAsia="zh-CN"/>
              </w:rPr>
            </w:pPr>
            <w:r>
              <w:rPr>
                <w:rFonts w:hint="eastAsia" w:ascii="Times New Roman" w:hAnsi="Times New Roman" w:cs="Times New Roman"/>
                <w:color w:val="000000" w:themeColor="text1"/>
                <w:spacing w:val="0"/>
                <w:sz w:val="21"/>
                <w:szCs w:val="21"/>
                <w:highlight w:val="none"/>
                <w:lang w:val="en-US" w:eastAsia="zh-CN"/>
              </w:rPr>
              <w:t>0.71</w:t>
            </w:r>
          </w:p>
        </w:tc>
      </w:tr>
    </w:tbl>
    <w:p w14:paraId="78825C98">
      <w:pPr>
        <w:pStyle w:val="122"/>
        <w:pageBreakBefore w:val="0"/>
        <w:wordWrap/>
        <w:topLinePunct w:val="0"/>
        <w:bidi w:val="0"/>
        <w:spacing w:line="360" w:lineRule="auto"/>
        <w:ind w:firstLine="480"/>
        <w:jc w:val="left"/>
        <w:rPr>
          <w:rFonts w:hint="eastAsia" w:ascii="Times New Roman" w:hAnsi="Times New Roman" w:eastAsia="宋体"/>
          <w:snapToGrid/>
          <w:color w:val="000000" w:themeColor="text1"/>
          <w:spacing w:val="0"/>
          <w:kern w:val="2"/>
          <w:highlight w:val="none"/>
          <w:lang w:val="en-US" w:eastAsia="zh-CN"/>
        </w:rPr>
      </w:pPr>
      <w:r>
        <w:rPr>
          <w:rFonts w:hint="eastAsia" w:ascii="Times New Roman" w:hAnsi="Times New Roman" w:eastAsia="宋体"/>
          <w:snapToGrid/>
          <w:color w:val="000000" w:themeColor="text1"/>
          <w:spacing w:val="0"/>
          <w:kern w:val="2"/>
          <w:highlight w:val="none"/>
          <w:lang w:val="en-US" w:eastAsia="zh-CN"/>
        </w:rPr>
        <w:t>全线涵洞设置充分征求公路养护部门、沿线村镇及地方水务局意见及建议，于地面具有天然纵坡处、低洼积水处、村镇处设置涵洞，以沟通路基两侧水位，平衡水压，保证路基稳定，避免道路两侧排水不畅及长期积水。</w:t>
      </w:r>
    </w:p>
    <w:p w14:paraId="52740240">
      <w:pPr>
        <w:pStyle w:val="4"/>
        <w:pageBreakBefore w:val="0"/>
        <w:wordWrap/>
        <w:topLinePunct w:val="0"/>
        <w:bidi w:val="0"/>
        <w:spacing w:before="156" w:line="360" w:lineRule="auto"/>
        <w:rPr>
          <w:color w:val="000000" w:themeColor="text1"/>
          <w:highlight w:val="none"/>
        </w:rPr>
      </w:pPr>
      <w:bookmarkStart w:id="248" w:name="_Toc5987"/>
      <w:bookmarkStart w:id="249" w:name="_Toc16089"/>
      <w:r>
        <w:rPr>
          <w:rFonts w:hint="eastAsia"/>
          <w:color w:val="000000" w:themeColor="text1"/>
          <w:highlight w:val="none"/>
        </w:rPr>
        <w:t>3.1.</w:t>
      </w:r>
      <w:r>
        <w:rPr>
          <w:rFonts w:hint="eastAsia"/>
          <w:color w:val="000000" w:themeColor="text1"/>
          <w:highlight w:val="none"/>
          <w:lang w:val="en-US" w:eastAsia="zh-CN"/>
        </w:rPr>
        <w:t>8</w:t>
      </w:r>
      <w:r>
        <w:rPr>
          <w:color w:val="000000" w:themeColor="text1"/>
          <w:highlight w:val="none"/>
        </w:rPr>
        <w:t>交叉工程</w:t>
      </w:r>
      <w:bookmarkEnd w:id="248"/>
      <w:bookmarkEnd w:id="249"/>
    </w:p>
    <w:p w14:paraId="7EFAAAB7">
      <w:pPr>
        <w:pStyle w:val="5"/>
        <w:pageBreakBefore w:val="0"/>
        <w:wordWrap/>
        <w:topLinePunct w:val="0"/>
        <w:bidi w:val="0"/>
        <w:spacing w:before="156" w:line="360" w:lineRule="auto"/>
        <w:rPr>
          <w:rFonts w:hint="eastAsia"/>
          <w:color w:val="000000" w:themeColor="text1"/>
          <w:highlight w:val="none"/>
        </w:rPr>
      </w:pPr>
      <w:r>
        <w:rPr>
          <w:rFonts w:hint="eastAsia"/>
          <w:color w:val="000000" w:themeColor="text1"/>
          <w:highlight w:val="none"/>
        </w:rPr>
        <w:t>3.1.</w:t>
      </w:r>
      <w:r>
        <w:rPr>
          <w:rFonts w:hint="eastAsia"/>
          <w:color w:val="000000" w:themeColor="text1"/>
          <w:highlight w:val="none"/>
          <w:lang w:val="en-US" w:eastAsia="zh-CN"/>
        </w:rPr>
        <w:t>8</w:t>
      </w:r>
      <w:r>
        <w:rPr>
          <w:rFonts w:hint="eastAsia"/>
          <w:color w:val="000000" w:themeColor="text1"/>
          <w:highlight w:val="none"/>
        </w:rPr>
        <w:t>.1</w:t>
      </w:r>
      <w:r>
        <w:rPr>
          <w:rFonts w:hint="eastAsia"/>
          <w:color w:val="000000" w:themeColor="text1"/>
          <w:highlight w:val="none"/>
          <w:lang w:val="en-US" w:eastAsia="zh-CN"/>
        </w:rPr>
        <w:t>设置原则</w:t>
      </w:r>
    </w:p>
    <w:p w14:paraId="6F5FBE25">
      <w:pPr>
        <w:pStyle w:val="89"/>
        <w:pageBreakBefore w:val="0"/>
        <w:numPr>
          <w:ilvl w:val="0"/>
          <w:numId w:val="0"/>
        </w:numPr>
        <w:tabs>
          <w:tab w:val="left" w:pos="0"/>
        </w:tabs>
        <w:wordWrap/>
        <w:topLinePunct w:val="0"/>
        <w:bidi w:val="0"/>
        <w:adjustRightInd/>
        <w:spacing w:before="0" w:after="0" w:line="360" w:lineRule="auto"/>
        <w:ind w:firstLine="480" w:firstLineChars="200"/>
        <w:jc w:val="both"/>
        <w:rPr>
          <w:rFonts w:hint="eastAsia"/>
          <w:color w:val="000000" w:themeColor="text1"/>
          <w:highlight w:val="none"/>
          <w:lang w:val="en-US" w:eastAsia="zh-CN"/>
        </w:rPr>
      </w:pPr>
      <w:r>
        <w:rPr>
          <w:rFonts w:hint="eastAsia"/>
          <w:color w:val="000000" w:themeColor="text1"/>
          <w:highlight w:val="none"/>
          <w:lang w:val="en-US" w:eastAsia="zh-CN"/>
        </w:rPr>
        <w:t>根据沿线乡镇、村屯、农田的分布情况和被交叉道的使用功能，本着方便群众生产、生活的需要为原则，并综合交叉附近的地形、地质、水文等自然条件，对沿线交叉道进行归并和改移，同时广泛征求地方政府的意见，在意见一致的前提下进行路线交叉设计。</w:t>
      </w:r>
    </w:p>
    <w:p w14:paraId="16AE85D8">
      <w:pPr>
        <w:pStyle w:val="89"/>
        <w:pageBreakBefore w:val="0"/>
        <w:numPr>
          <w:ilvl w:val="0"/>
          <w:numId w:val="0"/>
        </w:numPr>
        <w:tabs>
          <w:tab w:val="left" w:pos="0"/>
        </w:tabs>
        <w:wordWrap/>
        <w:topLinePunct w:val="0"/>
        <w:bidi w:val="0"/>
        <w:adjustRightInd/>
        <w:spacing w:before="0" w:after="0" w:line="360" w:lineRule="auto"/>
        <w:ind w:firstLine="480" w:firstLineChars="200"/>
        <w:jc w:val="both"/>
        <w:rPr>
          <w:rFonts w:hint="eastAsia"/>
          <w:color w:val="000000" w:themeColor="text1"/>
          <w:highlight w:val="none"/>
          <w:lang w:val="en-US" w:eastAsia="zh-CN"/>
        </w:rPr>
      </w:pPr>
      <w:r>
        <w:rPr>
          <w:rFonts w:hint="eastAsia"/>
          <w:color w:val="000000" w:themeColor="text1"/>
          <w:highlight w:val="none"/>
          <w:lang w:val="en-US" w:eastAsia="zh-CN"/>
        </w:rPr>
        <w:t>被交叉公路的等级原则上根据原有公路网现状和规划、地形、地物和地质条件、经济与环境因素等确定。本项目公路功能为集散公路，平面交叉的间距根据情况予以控制，二级公路路段平面交叉最小间距应不小于300m，本项目一般路段平面交叉的间距均满足上述规范要求:但乡村道路、机耕路的交叉间距因规范无具体规定，考虑到便于百姓出行及农耕需求，存在小于300米的情况，并对交叉间距较小的机耕道路，适当合并交叉口，减少平面交叉的数量。平面交叉口设计按照规范要求，交叉角度以直角为宜，必须斜交时，交叉角度宜大于70°当受地形条件限制不能满足上述要求的按照最小45°控制，与乡村道路交叉按照最小60°控制。主要公路在交叉范围内的纵坡应在0.15%~3%的范围内，次要公路紧接交叉的引道部分以0.5%~2%的上坡通往交叉，等级公路缓坡长度不小于25m，乡村道路、机耕道、经营性道口等等外道路缓坡长度不小于10m，引道缓坡区间外的纵坡设计，按不大于3%进行控制，特殊困难路段按照不大于6%进行控制。</w:t>
      </w:r>
    </w:p>
    <w:p w14:paraId="2B5017AB">
      <w:pPr>
        <w:pStyle w:val="89"/>
        <w:pageBreakBefore w:val="0"/>
        <w:numPr>
          <w:ilvl w:val="0"/>
          <w:numId w:val="0"/>
        </w:numPr>
        <w:tabs>
          <w:tab w:val="left" w:pos="0"/>
        </w:tabs>
        <w:wordWrap/>
        <w:topLinePunct w:val="0"/>
        <w:bidi w:val="0"/>
        <w:adjustRightInd/>
        <w:spacing w:before="0" w:after="0" w:line="360" w:lineRule="auto"/>
        <w:ind w:firstLine="480" w:firstLineChars="200"/>
        <w:jc w:val="both"/>
        <w:rPr>
          <w:rFonts w:hint="eastAsia"/>
          <w:color w:val="000000" w:themeColor="text1"/>
          <w:highlight w:val="none"/>
        </w:rPr>
      </w:pPr>
      <w:r>
        <w:rPr>
          <w:rFonts w:hint="eastAsia"/>
          <w:color w:val="000000" w:themeColor="text1"/>
          <w:highlight w:val="none"/>
          <w:lang w:val="en-US" w:eastAsia="zh-CN"/>
        </w:rPr>
        <w:t>本次设计中，平面交叉处转弯速度按15km/h时标准设计，并依据设计规范相关规定，结合本项目所在区域交通流量的实际情况，三级及三级以上公路及双车道以上城镇道路按加铺半径按照不小于15m控制，四级公路、乡村道路、机耕道、经营性道口等等外道路路面内缘最小半径不低于10m控制，保证主线交通流快速、畅通，尽量减少冲突点，缩小冲突区，并分散和分隔冲突区，减少占地。</w:t>
      </w:r>
    </w:p>
    <w:p w14:paraId="099C53DE">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8</w:t>
      </w:r>
      <w:r>
        <w:rPr>
          <w:rFonts w:hint="eastAsia"/>
          <w:color w:val="000000" w:themeColor="text1"/>
          <w:highlight w:val="none"/>
        </w:rPr>
        <w:t>.</w:t>
      </w:r>
      <w:r>
        <w:rPr>
          <w:rFonts w:hint="eastAsia"/>
          <w:color w:val="000000" w:themeColor="text1"/>
          <w:highlight w:val="none"/>
          <w:lang w:val="en-US" w:eastAsia="zh-CN"/>
        </w:rPr>
        <w:t>2路线交叉的分布及设置情况</w:t>
      </w:r>
    </w:p>
    <w:p w14:paraId="36E8D1C5">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（1）立体交叉</w:t>
      </w:r>
    </w:p>
    <w:p w14:paraId="0DB93278">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本项目设置立体交叉1处，其中与铁路交叉1处，采用分离式立交上跨鹤北铁路。</w:t>
      </w:r>
    </w:p>
    <w:p w14:paraId="5FBFE120">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（2）平面交叉</w:t>
      </w:r>
    </w:p>
    <w:p w14:paraId="72F7688A">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本次设计以满足规范要求为原则，以满足地方出行需要，保证其生产和生活的正常进行为前提，并依据路线所经区域内自然条件、交通条件、社会条件，结合交叉公路在路网中的作用及被交公路等级、交通量和被交公路的远期规划进行平交道口设置。对短距离内道口较多的路段，结合路网情况进行了合理归并。</w:t>
      </w:r>
    </w:p>
    <w:p w14:paraId="6E8306A5">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本项目共设置平交道口10处，其中：本次设计十字交叉8处，T型交叉2处。除与一级公路交叉处交叉口采用渠化设计外，其余均为加铺转角形式。本项目与一级公路交叉1处，与二级公路交叉1处（本项目主线与连接线），与机耕道交叉8处。</w:t>
      </w:r>
    </w:p>
    <w:p w14:paraId="67463C7D">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（2）交叉涵道的设置情况</w:t>
      </w:r>
    </w:p>
    <w:p w14:paraId="53080129">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应根据地形条件布设交叉道涵，交叉道涵型式结合原交叉处交叉道涵类型，采用钢筋混凝土圆管涵。</w:t>
      </w:r>
    </w:p>
    <w:p w14:paraId="77F65DB5">
      <w:pPr>
        <w:pStyle w:val="4"/>
        <w:pageBreakBefore w:val="0"/>
        <w:wordWrap/>
        <w:topLinePunct w:val="0"/>
        <w:bidi w:val="0"/>
        <w:spacing w:before="156" w:line="360" w:lineRule="auto"/>
        <w:rPr>
          <w:rFonts w:hint="default" w:eastAsia="宋体"/>
          <w:color w:val="000000" w:themeColor="text1"/>
          <w:highlight w:val="none"/>
          <w:lang w:val="en-US" w:eastAsia="zh-CN"/>
        </w:rPr>
      </w:pPr>
      <w:bookmarkStart w:id="250" w:name="_Toc17260"/>
      <w:bookmarkStart w:id="251" w:name="_Toc24258"/>
      <w:r>
        <w:rPr>
          <w:rFonts w:hint="eastAsia"/>
          <w:color w:val="000000" w:themeColor="text1"/>
          <w:highlight w:val="none"/>
        </w:rPr>
        <w:t>3.1.</w:t>
      </w:r>
      <w:r>
        <w:rPr>
          <w:rFonts w:hint="eastAsia"/>
          <w:color w:val="000000" w:themeColor="text1"/>
          <w:highlight w:val="none"/>
          <w:lang w:val="en-US" w:eastAsia="zh-CN"/>
        </w:rPr>
        <w:t>9其他工程</w:t>
      </w:r>
    </w:p>
    <w:p w14:paraId="6C622963">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9</w:t>
      </w:r>
      <w:r>
        <w:rPr>
          <w:rFonts w:hint="eastAsia"/>
          <w:color w:val="000000" w:themeColor="text1"/>
          <w:highlight w:val="none"/>
        </w:rPr>
        <w:t>.1</w:t>
      </w:r>
      <w:r>
        <w:rPr>
          <w:rFonts w:hint="eastAsia"/>
          <w:color w:val="000000" w:themeColor="text1"/>
          <w:highlight w:val="none"/>
          <w:lang w:val="en-US" w:eastAsia="zh-CN"/>
        </w:rPr>
        <w:t>连接线</w:t>
      </w:r>
    </w:p>
    <w:bookmarkEnd w:id="250"/>
    <w:bookmarkEnd w:id="251"/>
    <w:p w14:paraId="7E74BD4C">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本项目设置连接线一条，起点位于进场路K6+220.802处，终点与机场规划消防建筑场坪入口相接，全长0.218km。</w:t>
      </w:r>
    </w:p>
    <w:p w14:paraId="40F7E49E">
      <w:pPr>
        <w:pStyle w:val="89"/>
        <w:pageBreakBefore w:val="0"/>
        <w:numPr>
          <w:ilvl w:val="0"/>
          <w:numId w:val="0"/>
        </w:numPr>
        <w:tabs>
          <w:tab w:val="left" w:pos="0"/>
        </w:tabs>
        <w:wordWrap/>
        <w:topLinePunct w:val="0"/>
        <w:bidi w:val="0"/>
        <w:adjustRightInd/>
        <w:spacing w:before="0" w:after="0" w:line="360" w:lineRule="auto"/>
        <w:ind w:left="0" w:leftChars="0" w:firstLine="0" w:firstLineChars="200"/>
        <w:jc w:val="both"/>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pPr>
      <w:r>
        <w:rPr>
          <w:rFonts w:hint="eastAsia" w:cs="Times New Roman"/>
          <w:b w:val="0"/>
          <w:bCs w:val="0"/>
          <w:i w:val="0"/>
          <w:iCs w:val="0"/>
          <w:caps w:val="0"/>
          <w:smallCaps w:val="0"/>
          <w:strike w:val="0"/>
          <w:dstrike w:val="0"/>
          <w:snapToGrid w:val="0"/>
          <w:vanish w:val="0"/>
          <w:color w:val="000000" w:themeColor="text1"/>
          <w:spacing w:val="0"/>
          <w:w w:val="0"/>
          <w:kern w:val="0"/>
          <w:position w:val="0"/>
          <w:sz w:val="24"/>
          <w:szCs w:val="0"/>
          <w:highlight w:val="none"/>
          <w:u w:val="none"/>
          <w:vertAlign w:val="baseline"/>
          <w:lang w:val="en-US" w:eastAsia="zh-CN" w:bidi="ar-SA"/>
        </w:rPr>
        <w:t>建设标准：二级公路，设计速度60km/h，路基宽度分别为12.0m，路面宽度10.5m，沥青混凝土路面。</w:t>
      </w:r>
    </w:p>
    <w:p w14:paraId="3D40656E">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9</w:t>
      </w:r>
      <w:r>
        <w:rPr>
          <w:rFonts w:hint="eastAsia"/>
          <w:color w:val="000000" w:themeColor="text1"/>
          <w:highlight w:val="none"/>
        </w:rPr>
        <w:t>.</w:t>
      </w:r>
      <w:r>
        <w:rPr>
          <w:rFonts w:hint="eastAsia"/>
          <w:color w:val="000000" w:themeColor="text1"/>
          <w:highlight w:val="none"/>
          <w:lang w:val="en-US" w:eastAsia="zh-CN"/>
        </w:rPr>
        <w:t>2交通标志</w:t>
      </w:r>
    </w:p>
    <w:p w14:paraId="789913E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本项目各类交通标志的设置情况如下：</w:t>
      </w:r>
    </w:p>
    <w:p w14:paraId="407F3462">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（1）禁令标志</w:t>
      </w:r>
    </w:p>
    <w:p w14:paraId="72C605A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本项目设置的禁令标志有限制速度标志、限制质量标志、限制轴重标志、停车让行标志、减速让行标志、禁止超车标志、解除禁止超车标志、禁止车辆停放标志等。</w:t>
      </w:r>
    </w:p>
    <w:p w14:paraId="28BE683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a 限制速度标志：本项目全线限速60km/h，在项目起终点附近的适当位置设置限速60km/h标志，并在长直线路段增设限速60km/h标志。</w:t>
      </w:r>
    </w:p>
    <w:p w14:paraId="56398E9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b 限制质量标志、限制轴重标志:采用上下并设的形式设置在桥梁两端的适当位置。</w:t>
      </w:r>
    </w:p>
    <w:p w14:paraId="60643F4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c 停车让行标志：设置在主路优先平面交叉的被交路上，靠近停车让行标线。</w:t>
      </w:r>
    </w:p>
    <w:p w14:paraId="63E6BA5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d 减速让行标志：设置在经渠化分隔的右转弯车道进入主路前，靠近减速让行标线。</w:t>
      </w:r>
    </w:p>
    <w:p w14:paraId="76A6FD4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e 禁止超车标志、解除禁止超车标志：设置在跨越鹤北铁路跨线桥两端的适当位置，与禁止跨越对向行车道分界线一起使用。</w:t>
      </w:r>
    </w:p>
    <w:p w14:paraId="21845A8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f 禁止车辆停放标志：设置在鹤北铁路跨线桥禁止停车路段两端的适当位置，与禁止停车线一起使用。</w:t>
      </w:r>
    </w:p>
    <w:p w14:paraId="3D27937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（2）警告标志</w:t>
      </w:r>
    </w:p>
    <w:p w14:paraId="7F6C838F">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本项目设置的警告标志为交叉路口标志，设置在平面交叉路口前80m处，设有“停车让行”标志或大型指路标志的平面交叉路口不设置</w:t>
      </w:r>
    </w:p>
    <w:p w14:paraId="534206C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（3）指路标志</w:t>
      </w:r>
    </w:p>
    <w:p w14:paraId="33E8D30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本项目设置的指路标志为路径指引标志，与G332鹤名公路的平面交叉设置交叉路口预告标志、告知标志、确认标志。</w:t>
      </w:r>
    </w:p>
    <w:p w14:paraId="6C84414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交叉路口预告标志设在交叉路口前300m处；交叉路口告知标志,设置于距平面交叉30~80m处；确认标志包括道路编号标志和地点距离标志，道路编号标志应设在交叉路口后10~60m范围内，地点距离标志设在交叉路口后约100m处。</w:t>
      </w:r>
    </w:p>
    <w:p w14:paraId="3B4B183E">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（4）公路桥梁信息公示牌</w:t>
      </w:r>
    </w:p>
    <w:p w14:paraId="0EF44E6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本项目桥梁均设置桥梁信息公示牌，设置在桥梁两端靠近桥头的行车方向右侧护栏上。</w:t>
      </w:r>
    </w:p>
    <w:p w14:paraId="4D72378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（5）告示标志</w:t>
      </w:r>
    </w:p>
    <w:p w14:paraId="4451053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在鹤北铁路跨线桥前设置“前方跨越铁路，谨慎驾驶”的告示标志。</w:t>
      </w:r>
    </w:p>
    <w:p w14:paraId="40D2D65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（6）辅助标志</w:t>
      </w:r>
    </w:p>
    <w:p w14:paraId="7B695120">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在禁止车辆停放标志下面设置“桥梁段、结束”等辅助标志，说明禁止车辆停放的范围。</w:t>
      </w:r>
    </w:p>
    <w:p w14:paraId="63F8581B">
      <w:pPr>
        <w:pStyle w:val="5"/>
        <w:pageBreakBefore w:val="0"/>
        <w:wordWrap/>
        <w:topLinePunct w:val="0"/>
        <w:bidi w:val="0"/>
        <w:spacing w:before="156" w:line="360" w:lineRule="auto"/>
        <w:rPr>
          <w:rFonts w:hint="default"/>
          <w:color w:val="000000" w:themeColor="text1"/>
          <w:highlight w:val="none"/>
          <w:lang w:val="en-US"/>
        </w:rPr>
      </w:pPr>
      <w:r>
        <w:rPr>
          <w:rFonts w:hint="eastAsia"/>
          <w:color w:val="000000" w:themeColor="text1"/>
          <w:highlight w:val="none"/>
        </w:rPr>
        <w:t>3.1.</w:t>
      </w:r>
      <w:r>
        <w:rPr>
          <w:rFonts w:hint="eastAsia"/>
          <w:color w:val="000000" w:themeColor="text1"/>
          <w:highlight w:val="none"/>
          <w:lang w:val="en-US" w:eastAsia="zh-CN"/>
        </w:rPr>
        <w:t>9.3交通标线</w:t>
      </w:r>
    </w:p>
    <w:p w14:paraId="43710F82">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本项目各类交通标线的设置情况如下：</w:t>
      </w:r>
    </w:p>
    <w:p w14:paraId="5D145D4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（1）车行道边缘线</w:t>
      </w:r>
    </w:p>
    <w:p w14:paraId="6F98EF9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按双向两车道进行划线，一般路段，车行道边缘线为白色实线，宽度为15cm；平面交叉（非渠化）范围内为白色虚线（2m划线4m空的“2-4”线），宽度为15cm。</w:t>
      </w:r>
    </w:p>
    <w:p w14:paraId="4AABAC2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车行道边缘线采用嵌入式标线，刻槽深度为2.5mm，宽度和长度比标线每侧各宽出3mm，标线厚度为1.5mm。</w:t>
      </w:r>
    </w:p>
    <w:p w14:paraId="1865EDEC">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（2）车行道分界线</w:t>
      </w:r>
    </w:p>
    <w:p w14:paraId="632D77A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按双向两车道进行划线，可跨越路段，车行道分界线为黄色虚线（4m划线6m空的“4-6”线），宽度为15cm；禁止双向跨越路段（不满足超车视距路段），车行道分界线为黄色实线，宽度为15cm；禁止单向跨越路段，车行道分界线为黄色虚实线，实线一侧禁止车辆跨越，虚线一侧车辆暂时可跨越，实线为宽度15cm的黄色实线，虚线为4m划线6m空的黄色虚线，实线与虚线的净距为20cm。</w:t>
      </w:r>
    </w:p>
    <w:p w14:paraId="771B7C1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车行道边缘线采用嵌入式标线，刻槽深度为2.5mm，宽度和长度比标线每侧各宽出3mm，标线厚度为1.5mm。</w:t>
      </w:r>
    </w:p>
    <w:p w14:paraId="4CB142B4">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（3）停车让行线</w:t>
      </w:r>
    </w:p>
    <w:p w14:paraId="10AA2C3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设置在采用“停车让行”的平面交叉路口，与“停车让行”标志配合使用。停车让行线为两条平行的白色实线和一个白色的“停”字。双向行驶的路口，白色双实线长度与对向车行道分界线连接；单向行驶的路口，白色双实线长度横跨整个路面。白色实线的宽度为20cm，间隔，“停”字宽100cm，高250cm，“停”字与最近白色实线的净距为200cm。</w:t>
      </w:r>
    </w:p>
    <w:p w14:paraId="0967396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（4）减速让行线</w:t>
      </w:r>
    </w:p>
    <w:p w14:paraId="155D5F2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设置在平面交叉右转弯专用车道进入主路前的适当位置，与“减速让行”标志配合使用。停车让行线为两条平行的白色虚线和一个倒三角形，颜色均为白色。双向行驶的路口，白色虚线长度与对向车行道分界线连接；单向行驶的路口，白色虚线长度横跨整个路面。虚线的宽度为20cm，两条虚线间隔为20cm，倒三角形底宽为120cm，高度为300cm。</w:t>
      </w:r>
    </w:p>
    <w:p w14:paraId="3905E81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（5）停止线</w:t>
      </w:r>
    </w:p>
    <w:p w14:paraId="02371C3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在人行横道线前2m处，设置停止线。停止线为白色实线，线宽为30cm</w:t>
      </w:r>
    </w:p>
    <w:p w14:paraId="5D5BA922">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（6）禁止停车线</w:t>
      </w:r>
    </w:p>
    <w:p w14:paraId="37E8F13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设置在跨越鹤北铁路分离桥路段。禁止停车线为黄色虚线，施画于距路面边缘,30cm处；黄色虚线的宽度为15cm，线段长100cm，间隔100cm；与禁止车辆停放标志一起使用。</w:t>
      </w:r>
    </w:p>
    <w:p w14:paraId="2CF7FC9F">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（7）桥梁段标线</w:t>
      </w:r>
    </w:p>
    <w:p w14:paraId="6D1599F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对向车行道分界线在桥梁长度范围内设置双黄实线，在桥梁两端160m范围内设置黄色虚实线，驶入桥梁段的车辆不允许超车。桥梁两端位于禁止超车段时，对向车行道分界线为黄色单实线。</w:t>
      </w:r>
    </w:p>
    <w:p w14:paraId="43DC8EC4">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桥梁段标线采用嵌入式标线，刻槽深度为2.5mm，宽度和长度比标线每侧各宽出3mm，标线厚度为1.5mm。</w:t>
      </w:r>
    </w:p>
    <w:p w14:paraId="03B45C6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（8）渠化标线</w:t>
      </w:r>
    </w:p>
    <w:p w14:paraId="361B2EDC">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与三级及三级以上公路的平面交叉进行渠化设计，并设置渠化标线。</w:t>
      </w:r>
    </w:p>
    <w:p w14:paraId="5AA0E61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（9）立面标记</w:t>
      </w:r>
    </w:p>
    <w:p w14:paraId="5827920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位于计算路侧净区内未设置护栏的标志立柱设置立面反光标记。立面反光标记为黑黄相间的倾斜线条，斜线倾角为45°，线宽为15cm，向下倾斜的一边朝向行车道。</w:t>
      </w:r>
    </w:p>
    <w:p w14:paraId="2B9AB1DB">
      <w:pPr>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a 单柱或双柱式标志立柱，在距路面0.8~2.0m范围内设置立面反光标记，采用Ⅳ类反光膜，线宽为15cm；</w:t>
      </w:r>
    </w:p>
    <w:p w14:paraId="250FEBC5">
      <w:pPr>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b 悬臂式标志立柱及路灯杆，在距路面0.8~3.0m范围内设置立面反光标记，采用Ⅳ类反光膜，线宽为15cm；</w:t>
      </w:r>
    </w:p>
    <w:p w14:paraId="736BC6C8">
      <w:pPr>
        <w:pageBreakBefore w:val="0"/>
        <w:wordWrap/>
        <w:topLinePunct w:val="0"/>
        <w:bidi w:val="0"/>
        <w:spacing w:line="360" w:lineRule="auto"/>
        <w:rPr>
          <w:rFonts w:hint="eastAsia"/>
          <w:color w:val="000000" w:themeColor="text1"/>
          <w:highlight w:val="none"/>
          <w:lang w:val="en-US" w:eastAsia="zh-CN"/>
        </w:rPr>
      </w:pPr>
      <w:r>
        <w:rPr>
          <w:rFonts w:hint="default" w:ascii="Times New Roman" w:hAnsi="Times New Roman" w:cs="Times New Roman"/>
          <w:color w:val="000000" w:themeColor="text1"/>
          <w:highlight w:val="none"/>
          <w:lang w:val="en-US" w:eastAsia="zh-CN"/>
        </w:rPr>
        <w:t>c 护栏端头，在波形梁护栏端头设置立面反光标记，D-Ⅰ型端头粘贴510×406mm的Ⅳ类反光膜，DR1型端头粘贴510×610mm的Ⅳ类反光</w:t>
      </w:r>
      <w:r>
        <w:rPr>
          <w:rFonts w:hint="eastAsia"/>
          <w:color w:val="000000" w:themeColor="text1"/>
          <w:highlight w:val="none"/>
          <w:lang w:val="en-US" w:eastAsia="zh-CN"/>
        </w:rPr>
        <w:t>膜，线宽为15cm。</w:t>
      </w:r>
    </w:p>
    <w:p w14:paraId="59B54D57">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3.1.</w:t>
      </w:r>
      <w:r>
        <w:rPr>
          <w:rFonts w:hint="eastAsia"/>
          <w:color w:val="000000" w:themeColor="text1"/>
          <w:highlight w:val="none"/>
          <w:lang w:val="en-US" w:eastAsia="zh-CN"/>
        </w:rPr>
        <w:t>10照明工程</w:t>
      </w:r>
    </w:p>
    <w:p w14:paraId="7FABDD16">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10</w:t>
      </w:r>
      <w:r>
        <w:rPr>
          <w:rFonts w:hint="eastAsia"/>
          <w:color w:val="000000" w:themeColor="text1"/>
          <w:highlight w:val="none"/>
        </w:rPr>
        <w:t>.1</w:t>
      </w:r>
      <w:r>
        <w:rPr>
          <w:rFonts w:hint="eastAsia"/>
          <w:color w:val="000000" w:themeColor="text1"/>
          <w:highlight w:val="none"/>
          <w:lang w:val="en-US" w:eastAsia="zh-CN"/>
        </w:rPr>
        <w:t>设计标准</w:t>
      </w:r>
    </w:p>
    <w:p w14:paraId="683722D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本工程道路等级为二级公路，照明按二级公路标准设计。采用常规照明方式，具体参数标准如下（均为维持值）：</w:t>
      </w:r>
    </w:p>
    <w:p w14:paraId="6DC2D5E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（1）平均照度：Eav=201x</w:t>
      </w:r>
    </w:p>
    <w:p w14:paraId="68A594CF">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（2）均匀度：UE(Emin/Eav)≥0.4</w:t>
      </w:r>
    </w:p>
    <w:p w14:paraId="290CE3E1">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（3）平均亮度：Lav=1.5cd/m</w:t>
      </w:r>
      <w:r>
        <w:rPr>
          <w:rFonts w:hint="eastAsia"/>
          <w:color w:val="000000" w:themeColor="text1"/>
          <w:highlight w:val="none"/>
          <w:vertAlign w:val="superscript"/>
          <w:lang w:val="en-US" w:eastAsia="zh-CN"/>
        </w:rPr>
        <w:t>2</w:t>
      </w:r>
    </w:p>
    <w:p w14:paraId="3CE5A2B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（4）总均匀度：Uo(Lmin/Lav)≥0.4</w:t>
      </w:r>
    </w:p>
    <w:p w14:paraId="5810B43D">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（5）眩光控制阀值增量：TI=10</w:t>
      </w:r>
    </w:p>
    <w:p w14:paraId="035E7F94">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（6）照明回路末端电压降∆u≤10%</w:t>
      </w:r>
    </w:p>
    <w:p w14:paraId="735ABADE">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（7）机动车道照明功率密度值：LPD≤0.85W/m</w:t>
      </w:r>
      <w:r>
        <w:rPr>
          <w:rFonts w:hint="eastAsia"/>
          <w:color w:val="000000" w:themeColor="text1"/>
          <w:highlight w:val="none"/>
          <w:vertAlign w:val="superscript"/>
          <w:lang w:val="en-US" w:eastAsia="zh-CN"/>
        </w:rPr>
        <w:t>2</w:t>
      </w:r>
    </w:p>
    <w:p w14:paraId="30EDF16F">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10</w:t>
      </w:r>
      <w:r>
        <w:rPr>
          <w:rFonts w:hint="eastAsia"/>
          <w:color w:val="000000" w:themeColor="text1"/>
          <w:highlight w:val="none"/>
        </w:rPr>
        <w:t>.</w:t>
      </w:r>
      <w:r>
        <w:rPr>
          <w:rFonts w:hint="eastAsia"/>
          <w:color w:val="000000" w:themeColor="text1"/>
          <w:highlight w:val="none"/>
          <w:lang w:val="en-US" w:eastAsia="zh-CN"/>
        </w:rPr>
        <w:t>2路灯的布置</w:t>
      </w:r>
    </w:p>
    <w:p w14:paraId="4E8B605C">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在道路一侧土路肩布置10m高单臂路灯，光源为LED180W半截光型，灯杆间距约为35m。</w:t>
      </w:r>
    </w:p>
    <w:p w14:paraId="3A3EBF01">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3.1.</w:t>
      </w:r>
      <w:r>
        <w:rPr>
          <w:rFonts w:hint="eastAsia"/>
          <w:color w:val="000000" w:themeColor="text1"/>
          <w:highlight w:val="none"/>
          <w:lang w:val="en-US" w:eastAsia="zh-CN"/>
        </w:rPr>
        <w:t>10</w:t>
      </w:r>
      <w:r>
        <w:rPr>
          <w:rFonts w:hint="eastAsia"/>
          <w:color w:val="000000" w:themeColor="text1"/>
          <w:highlight w:val="none"/>
        </w:rPr>
        <w:t>.</w:t>
      </w:r>
      <w:r>
        <w:rPr>
          <w:rFonts w:hint="eastAsia"/>
          <w:color w:val="000000" w:themeColor="text1"/>
          <w:highlight w:val="none"/>
          <w:lang w:val="en-US" w:eastAsia="zh-CN"/>
        </w:rPr>
        <w:t>3照明供电及控制</w:t>
      </w:r>
    </w:p>
    <w:p w14:paraId="6AB155F5">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（1）电源负荷等级</w:t>
      </w:r>
    </w:p>
    <w:p w14:paraId="4159E436">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本工程道路照明为三级负荷。</w:t>
      </w:r>
    </w:p>
    <w:p w14:paraId="5A9E2768">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（2）电源及供电方式</w:t>
      </w:r>
    </w:p>
    <w:p w14:paraId="374AC4EF">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照明电源采用箱式变电站，变压器容量按远期考虑，并预留交通信号灯、监控设施及广告等公用设施用电，箱变供电半径原则上不大于800米。</w:t>
      </w:r>
    </w:p>
    <w:p w14:paraId="5FAD52CC">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道路全线共设4台50KVA照明箱变，箱变与控制箱一体化设计，采用路灯专用变压器供电，变压器选用结线组别为Dyn11的三相配电变压器。</w:t>
      </w:r>
    </w:p>
    <w:p w14:paraId="1CB45F5A">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高压供电采用10kV，由附近的10kV线路引来，10kV线路拟选YJLV22-8.7/15KV-3x70铠装电缆直埋敷设方式，敷设距离以电业部门规划为准。</w:t>
      </w:r>
    </w:p>
    <w:p w14:paraId="6F15ED3C">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在箱变低压总进线处设置电流互感器和电度表进行电能计量（由供电部门负责），计量仪表的准确度等级不低于1级，电流互感器的准确度等级不低于0.5S级。</w:t>
      </w:r>
    </w:p>
    <w:p w14:paraId="41652315">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（3）低压配电系统</w:t>
      </w:r>
    </w:p>
    <w:p w14:paraId="7031C761">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变压器低压（AC380V/220V）出线设置断路器保护，馈电为断路器出线，断路器保护设置短路、过负荷和接地故障保护。所有照明出线回路均采用三相配电，照明配电顺序应为L1、L2、L3、L3、L2、L1电源相序，照明配电应尽量使三相负荷平衡。</w:t>
      </w:r>
    </w:p>
    <w:p w14:paraId="517C8C11">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正常运行情况下，照明灯具端电压应为额定电压的90%~105%。</w:t>
      </w:r>
    </w:p>
    <w:p w14:paraId="4B29BCFA">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照明低压配电系统采用三相四线制，浪涌过电压保护采用一级SPD防护。</w:t>
      </w:r>
    </w:p>
    <w:p w14:paraId="292C747D">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照明配电在每个路灯处设带剩余电流保护的断路器进行单独的保护，动作电流I∆n=30mA。箱变内在低压配电系统中集中进行电容自动投切的功率因数补偿，补偿后功率因数应大于0.95。</w:t>
      </w:r>
    </w:p>
    <w:p w14:paraId="25CD4155">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（4）道路照明线路的敷设</w:t>
      </w:r>
    </w:p>
    <w:p w14:paraId="5B18D394">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低压侧电压等级为380V，每回线路采用YJV-0.6/1kV-4×16穿PE63管敷设，埋地深度为0.8米，灯具额定电压为220V，每个回路三相间隔均匀接线。分支导线采用BVV-3*2.5，敷设于灯杆内。电缆过路及方向较大改变处设手孔井。</w:t>
      </w:r>
    </w:p>
    <w:p w14:paraId="48BA1729">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直埋敷设的电缆不得平行敷设于地下管道的正上方或正下方，电缆与热力管沟、燃气管道、排水管道、控制电缆、树木的主干平行敷设的最小距离为2.0米、1.0米、0.5米、0.25米、0.7米，电缆与热力管沟、燃气管道、排水管道、控制电缆交叉敷设的最小距离为0.5米、0.5米、0.5米、0.5米。</w:t>
      </w:r>
    </w:p>
    <w:p w14:paraId="63D0C619">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（5）路灯控制方式</w:t>
      </w:r>
    </w:p>
    <w:p w14:paraId="5B168E68">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照明控制采用与当地现有路灯照明监控系统兼容的照明节能控制箱进行控制，遵循其“统一标准、统一接口、统一协议、统一信息”的管理模式，提高LED道路照明产品的监控水平。</w:t>
      </w:r>
    </w:p>
    <w:p w14:paraId="20BE3DA2">
      <w:pPr>
        <w:pageBreakBefore w:val="0"/>
        <w:wordWrap/>
        <w:topLinePunct w:val="0"/>
        <w:bidi w:val="0"/>
        <w:spacing w:line="360" w:lineRule="auto"/>
        <w:rPr>
          <w:rFonts w:hint="eastAsia"/>
          <w:color w:val="000000" w:themeColor="text1"/>
          <w:sz w:val="24"/>
          <w:szCs w:val="24"/>
          <w:highlight w:val="none"/>
          <w:lang w:val="en-US" w:eastAsia="zh-CN"/>
        </w:rPr>
      </w:pPr>
      <w:r>
        <w:rPr>
          <w:rFonts w:hint="eastAsia"/>
          <w:color w:val="000000" w:themeColor="text1"/>
          <w:sz w:val="24"/>
          <w:szCs w:val="24"/>
          <w:highlight w:val="none"/>
          <w:lang w:val="en-US" w:eastAsia="zh-CN"/>
        </w:rPr>
        <w:t>控制方式采用手控、自控两种方式，在控制箱内安装与该区域兼容的远程控制终端，以远程集中控制为主，当远程监控系统中控室电脑或者通信线路发生故障时，远动终端要求能根据预设程序而定时自行开/关灯及手动控制；开关灯的天然光照度水平以鹤岗路灯管理处规定照度为主。</w:t>
      </w:r>
    </w:p>
    <w:p w14:paraId="2AE2B897">
      <w:pPr>
        <w:pStyle w:val="4"/>
        <w:pageBreakBefore w:val="0"/>
        <w:wordWrap/>
        <w:topLinePunct w:val="0"/>
        <w:bidi w:val="0"/>
        <w:spacing w:before="156" w:line="360" w:lineRule="auto"/>
        <w:rPr>
          <w:color w:val="000000" w:themeColor="text1"/>
          <w:highlight w:val="none"/>
        </w:rPr>
      </w:pPr>
      <w:bookmarkStart w:id="252" w:name="_Toc19187"/>
      <w:bookmarkStart w:id="253" w:name="_Toc31100"/>
      <w:r>
        <w:rPr>
          <w:rFonts w:hint="eastAsia"/>
          <w:color w:val="000000" w:themeColor="text1"/>
          <w:highlight w:val="none"/>
        </w:rPr>
        <w:t>3.1.1</w:t>
      </w:r>
      <w:r>
        <w:rPr>
          <w:rFonts w:hint="eastAsia"/>
          <w:color w:val="000000" w:themeColor="text1"/>
          <w:highlight w:val="none"/>
          <w:lang w:val="en-US" w:eastAsia="zh-CN"/>
        </w:rPr>
        <w:t>1</w:t>
      </w:r>
      <w:r>
        <w:rPr>
          <w:color w:val="000000" w:themeColor="text1"/>
          <w:highlight w:val="none"/>
        </w:rPr>
        <w:t>工程占地及拆迁</w:t>
      </w:r>
      <w:bookmarkEnd w:id="252"/>
      <w:bookmarkEnd w:id="253"/>
    </w:p>
    <w:p w14:paraId="24F5C65C">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1</w:t>
      </w:r>
      <w:r>
        <w:rPr>
          <w:rFonts w:hint="eastAsia"/>
          <w:color w:val="000000" w:themeColor="text1"/>
          <w:highlight w:val="none"/>
        </w:rPr>
        <w:t>.1</w:t>
      </w:r>
      <w:r>
        <w:rPr>
          <w:color w:val="000000" w:themeColor="text1"/>
          <w:highlight w:val="none"/>
        </w:rPr>
        <w:t>工程占地</w:t>
      </w:r>
    </w:p>
    <w:p w14:paraId="2B9B70D0">
      <w:pPr>
        <w:pageBreakBefore w:val="0"/>
        <w:wordWrap/>
        <w:topLinePunct w:val="0"/>
        <w:bidi w:val="0"/>
        <w:spacing w:line="360" w:lineRule="auto"/>
        <w:rPr>
          <w:color w:val="000000" w:themeColor="text1"/>
          <w:highlight w:val="none"/>
        </w:rPr>
      </w:pPr>
      <w:r>
        <w:rPr>
          <w:color w:val="000000" w:themeColor="text1"/>
          <w:highlight w:val="none"/>
        </w:rPr>
        <w:t>（1）永久占地</w:t>
      </w:r>
    </w:p>
    <w:p w14:paraId="6AFE722D">
      <w:pPr>
        <w:pageBreakBefore w:val="0"/>
        <w:widowControl/>
        <w:wordWrap/>
        <w:topLinePunct w:val="0"/>
        <w:bidi w:val="0"/>
        <w:spacing w:line="360" w:lineRule="auto"/>
        <w:rPr>
          <w:rFonts w:hint="eastAsia" w:cs="宋体"/>
          <w:color w:val="000000" w:themeColor="text1"/>
          <w:kern w:val="0"/>
          <w:highlight w:val="none"/>
        </w:rPr>
      </w:pPr>
      <w:r>
        <w:rPr>
          <w:rFonts w:hint="eastAsia" w:cs="宋体"/>
          <w:color w:val="000000" w:themeColor="text1"/>
          <w:kern w:val="0"/>
          <w:highlight w:val="none"/>
        </w:rPr>
        <w:t>本项目</w:t>
      </w:r>
      <w:r>
        <w:rPr>
          <w:rFonts w:hint="eastAsia"/>
          <w:color w:val="000000" w:themeColor="text1"/>
          <w:highlight w:val="none"/>
          <w:lang w:val="en-US" w:eastAsia="zh-CN"/>
        </w:rPr>
        <w:t>永久占地共19.1083hm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s="宋体"/>
          <w:color w:val="000000" w:themeColor="text1"/>
          <w:kern w:val="0"/>
          <w:highlight w:val="none"/>
          <w:lang w:eastAsia="zh-CN"/>
        </w:rPr>
        <w:t>工程占地均属</w:t>
      </w:r>
      <w:r>
        <w:rPr>
          <w:rFonts w:hint="eastAsia" w:cs="宋体"/>
          <w:color w:val="000000" w:themeColor="text1"/>
          <w:kern w:val="0"/>
          <w:highlight w:val="none"/>
          <w:lang w:val="en-US" w:eastAsia="zh-CN"/>
        </w:rPr>
        <w:t>鹤岗市</w:t>
      </w:r>
      <w:r>
        <w:rPr>
          <w:rFonts w:hint="eastAsia" w:cs="宋体"/>
          <w:color w:val="000000" w:themeColor="text1"/>
          <w:kern w:val="0"/>
          <w:highlight w:val="none"/>
          <w:lang w:eastAsia="zh-CN"/>
        </w:rPr>
        <w:t>行政管辖。</w:t>
      </w:r>
      <w:r>
        <w:rPr>
          <w:rFonts w:hint="default"/>
          <w:color w:val="000000" w:themeColor="text1"/>
          <w:highlight w:val="none"/>
          <w:lang w:val="en-US"/>
        </w:rPr>
        <w:t>根据《土地利用现状分类》（GB/T 21010-2017）一级类别，本工程土地类型划</w:t>
      </w:r>
      <w:r>
        <w:rPr>
          <w:rFonts w:hint="default"/>
          <w:color w:val="000000" w:themeColor="text1"/>
          <w:sz w:val="24"/>
          <w:highlight w:val="none"/>
          <w:lang w:val="en-US"/>
        </w:rPr>
        <w:t>分为</w:t>
      </w:r>
      <w:r>
        <w:rPr>
          <w:rFonts w:hint="eastAsia"/>
          <w:color w:val="000000" w:themeColor="text1"/>
          <w:sz w:val="24"/>
          <w:highlight w:val="none"/>
          <w:lang w:val="en-US" w:eastAsia="zh-CN"/>
        </w:rPr>
        <w:t>占用</w:t>
      </w:r>
      <w:r>
        <w:rPr>
          <w:rFonts w:hint="eastAsia"/>
          <w:color w:val="000000" w:themeColor="text1"/>
          <w:highlight w:val="none"/>
          <w:lang w:val="en-US" w:eastAsia="zh-CN"/>
        </w:rPr>
        <w:t>水田0.6573hm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s="宋体"/>
          <w:color w:val="000000" w:themeColor="text1"/>
          <w:kern w:val="0"/>
          <w:highlight w:val="none"/>
        </w:rPr>
        <w:t>占地各用地类别及面积见表3.1-</w:t>
      </w:r>
      <w:r>
        <w:rPr>
          <w:rFonts w:hint="eastAsia" w:cs="宋体"/>
          <w:color w:val="000000" w:themeColor="text1"/>
          <w:kern w:val="0"/>
          <w:highlight w:val="none"/>
          <w:lang w:val="en-US" w:eastAsia="zh-CN"/>
        </w:rPr>
        <w:t>11</w:t>
      </w:r>
      <w:r>
        <w:rPr>
          <w:rFonts w:hint="eastAsia" w:cs="宋体"/>
          <w:color w:val="000000" w:themeColor="text1"/>
          <w:kern w:val="0"/>
          <w:highlight w:val="none"/>
        </w:rPr>
        <w:t>。</w:t>
      </w:r>
    </w:p>
    <w:p w14:paraId="3007B450">
      <w:pPr>
        <w:pageBreakBefore w:val="0"/>
        <w:widowControl/>
        <w:wordWrap/>
        <w:topLinePunct w:val="0"/>
        <w:bidi w:val="0"/>
        <w:spacing w:line="360" w:lineRule="auto"/>
        <w:ind w:left="0" w:leftChars="0" w:firstLine="0" w:firstLineChars="0"/>
        <w:jc w:val="center"/>
        <w:rPr>
          <w:rFonts w:hint="eastAsia"/>
          <w:b/>
          <w:color w:val="000000" w:themeColor="text1"/>
          <w:highlight w:val="none"/>
          <w:lang w:val="en-US" w:eastAsia="zh-CN"/>
        </w:rPr>
      </w:pPr>
      <w:r>
        <w:rPr>
          <w:b/>
          <w:color w:val="000000" w:themeColor="text1"/>
          <w:highlight w:val="none"/>
        </w:rPr>
        <w:t>表3.1-</w:t>
      </w:r>
      <w:r>
        <w:rPr>
          <w:rFonts w:hint="eastAsia"/>
          <w:b/>
          <w:color w:val="000000" w:themeColor="text1"/>
          <w:highlight w:val="none"/>
          <w:lang w:val="en-US" w:eastAsia="zh-CN"/>
        </w:rPr>
        <w:t>11</w:t>
      </w:r>
      <w:r>
        <w:rPr>
          <w:b/>
          <w:color w:val="000000" w:themeColor="text1"/>
          <w:highlight w:val="none"/>
        </w:rPr>
        <w:t xml:space="preserve"> </w:t>
      </w:r>
      <w:r>
        <w:rPr>
          <w:rFonts w:hint="eastAsia"/>
          <w:b/>
          <w:color w:val="000000" w:themeColor="text1"/>
          <w:highlight w:val="none"/>
          <w:lang w:val="en-US" w:eastAsia="zh-CN"/>
        </w:rPr>
        <w:t xml:space="preserve"> 本</w:t>
      </w:r>
      <w:r>
        <w:rPr>
          <w:rFonts w:hint="eastAsia"/>
          <w:b/>
          <w:color w:val="000000" w:themeColor="text1"/>
          <w:highlight w:val="none"/>
        </w:rPr>
        <w:t xml:space="preserve">项目永久占地情况表  </w:t>
      </w:r>
      <w:r>
        <w:rPr>
          <w:b/>
          <w:color w:val="000000" w:themeColor="text1"/>
          <w:highlight w:val="none"/>
        </w:rPr>
        <w:t>单位：hm</w:t>
      </w:r>
      <w:r>
        <w:rPr>
          <w:b/>
          <w:color w:val="000000" w:themeColor="text1"/>
          <w:highlight w:val="none"/>
          <w:vertAlign w:val="superscript"/>
        </w:rPr>
        <w:t>2</w:t>
      </w:r>
    </w:p>
    <w:tbl>
      <w:tblPr>
        <w:tblStyle w:val="33"/>
        <w:tblW w:w="4998" w:type="pct"/>
        <w:jc w:val="center"/>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Layout w:type="fixed"/>
        <w:tblCellMar>
          <w:top w:w="0" w:type="dxa"/>
          <w:left w:w="108" w:type="dxa"/>
          <w:bottom w:w="0" w:type="dxa"/>
          <w:right w:w="108" w:type="dxa"/>
        </w:tblCellMar>
      </w:tblPr>
      <w:tblGrid>
        <w:gridCol w:w="754"/>
        <w:gridCol w:w="915"/>
        <w:gridCol w:w="735"/>
        <w:gridCol w:w="765"/>
        <w:gridCol w:w="675"/>
        <w:gridCol w:w="720"/>
        <w:gridCol w:w="1080"/>
        <w:gridCol w:w="765"/>
        <w:gridCol w:w="750"/>
        <w:gridCol w:w="645"/>
        <w:gridCol w:w="715"/>
      </w:tblGrid>
      <w:tr w14:paraId="39192AB8">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442" w:type="pct"/>
            <w:vMerge w:val="restart"/>
            <w:tcBorders>
              <w:tl2br w:val="nil"/>
              <w:tr2bl w:val="nil"/>
            </w:tcBorders>
            <w:noWrap w:val="0"/>
            <w:vAlign w:val="center"/>
          </w:tcPr>
          <w:p w14:paraId="61A1961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rPr>
              <w:t>项目组成及名称</w:t>
            </w:r>
          </w:p>
        </w:tc>
        <w:tc>
          <w:tcPr>
            <w:tcW w:w="537" w:type="pct"/>
            <w:tcBorders>
              <w:right w:val="single" w:color="000000" w:sz="2" w:space="0"/>
              <w:tl2br w:val="nil"/>
              <w:tr2bl w:val="nil"/>
            </w:tcBorders>
            <w:noWrap w:val="0"/>
            <w:vAlign w:val="center"/>
          </w:tcPr>
          <w:p w14:paraId="3F5B77C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占地性质</w:t>
            </w:r>
          </w:p>
        </w:tc>
        <w:tc>
          <w:tcPr>
            <w:tcW w:w="3600" w:type="pct"/>
            <w:gridSpan w:val="8"/>
            <w:tcBorders>
              <w:tl2br w:val="nil"/>
              <w:tr2bl w:val="nil"/>
            </w:tcBorders>
            <w:noWrap w:val="0"/>
            <w:vAlign w:val="center"/>
          </w:tcPr>
          <w:p w14:paraId="1980EE3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r>
              <w:rPr>
                <w:rFonts w:hint="default" w:ascii="Times New Roman" w:hAnsi="Times New Roman" w:eastAsia="宋体" w:cs="Times New Roman"/>
                <w:color w:val="000000" w:themeColor="text1"/>
                <w:sz w:val="21"/>
                <w:szCs w:val="21"/>
                <w:highlight w:val="none"/>
                <w:lang w:val="en-US"/>
              </w:rPr>
              <w:t>占地类型</w:t>
            </w:r>
          </w:p>
        </w:tc>
        <w:tc>
          <w:tcPr>
            <w:tcW w:w="419" w:type="pct"/>
            <w:tcBorders>
              <w:left w:val="single" w:color="000000" w:sz="2" w:space="0"/>
              <w:tl2br w:val="nil"/>
              <w:tr2bl w:val="nil"/>
            </w:tcBorders>
            <w:noWrap w:val="0"/>
            <w:vAlign w:val="center"/>
          </w:tcPr>
          <w:p w14:paraId="6FBE1B4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r>
      <w:tr w14:paraId="7DF3F071">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442" w:type="pct"/>
            <w:vMerge w:val="continue"/>
            <w:tcBorders>
              <w:tl2br w:val="nil"/>
              <w:tr2bl w:val="nil"/>
            </w:tcBorders>
            <w:noWrap w:val="0"/>
            <w:vAlign w:val="center"/>
          </w:tcPr>
          <w:p w14:paraId="2AE67D7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c>
          <w:tcPr>
            <w:tcW w:w="537" w:type="pct"/>
            <w:vMerge w:val="restart"/>
            <w:tcBorders>
              <w:tl2br w:val="nil"/>
              <w:tr2bl w:val="nil"/>
            </w:tcBorders>
            <w:noWrap w:val="0"/>
            <w:vAlign w:val="center"/>
          </w:tcPr>
          <w:p w14:paraId="5780784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永久占地</w:t>
            </w:r>
          </w:p>
        </w:tc>
        <w:tc>
          <w:tcPr>
            <w:tcW w:w="880" w:type="pct"/>
            <w:gridSpan w:val="2"/>
            <w:tcBorders>
              <w:tl2br w:val="nil"/>
              <w:tr2bl w:val="nil"/>
            </w:tcBorders>
            <w:noWrap w:val="0"/>
            <w:vAlign w:val="center"/>
          </w:tcPr>
          <w:p w14:paraId="515E989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耕地</w:t>
            </w:r>
          </w:p>
        </w:tc>
        <w:tc>
          <w:tcPr>
            <w:tcW w:w="396" w:type="pct"/>
            <w:vMerge w:val="restart"/>
            <w:tcBorders>
              <w:tl2br w:val="nil"/>
              <w:tr2bl w:val="nil"/>
            </w:tcBorders>
            <w:noWrap w:val="0"/>
            <w:vAlign w:val="center"/>
          </w:tcPr>
          <w:p w14:paraId="00BD537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林地</w:t>
            </w:r>
          </w:p>
        </w:tc>
        <w:tc>
          <w:tcPr>
            <w:tcW w:w="422" w:type="pct"/>
            <w:vMerge w:val="restart"/>
            <w:tcBorders>
              <w:tl2br w:val="nil"/>
              <w:tr2bl w:val="nil"/>
            </w:tcBorders>
            <w:noWrap w:val="0"/>
            <w:vAlign w:val="center"/>
          </w:tcPr>
          <w:p w14:paraId="164901D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r>
              <w:rPr>
                <w:rFonts w:hint="eastAsia" w:cs="Times New Roman"/>
                <w:color w:val="000000" w:themeColor="text1"/>
                <w:sz w:val="21"/>
                <w:szCs w:val="21"/>
                <w:highlight w:val="none"/>
                <w:lang w:val="en-US" w:eastAsia="zh-CN"/>
              </w:rPr>
              <w:t>草地</w:t>
            </w:r>
          </w:p>
        </w:tc>
        <w:tc>
          <w:tcPr>
            <w:tcW w:w="633" w:type="pct"/>
            <w:tcBorders>
              <w:tl2br w:val="nil"/>
              <w:tr2bl w:val="nil"/>
            </w:tcBorders>
            <w:noWrap w:val="0"/>
            <w:vAlign w:val="center"/>
          </w:tcPr>
          <w:p w14:paraId="2867D23D">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交通用地</w:t>
            </w:r>
          </w:p>
        </w:tc>
        <w:tc>
          <w:tcPr>
            <w:tcW w:w="1267" w:type="pct"/>
            <w:gridSpan w:val="3"/>
            <w:tcBorders>
              <w:tl2br w:val="nil"/>
              <w:tr2bl w:val="nil"/>
            </w:tcBorders>
            <w:noWrap w:val="0"/>
            <w:vAlign w:val="center"/>
          </w:tcPr>
          <w:p w14:paraId="4E3C4F1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color w:val="000000" w:themeColor="text1"/>
                <w:sz w:val="21"/>
                <w:szCs w:val="21"/>
                <w:highlight w:val="none"/>
              </w:rPr>
            </w:pPr>
            <w:r>
              <w:rPr>
                <w:rFonts w:hint="eastAsia"/>
                <w:color w:val="000000" w:themeColor="text1"/>
                <w:sz w:val="21"/>
                <w:szCs w:val="21"/>
                <w:highlight w:val="none"/>
              </w:rPr>
              <w:t>水域</w:t>
            </w:r>
            <w:r>
              <w:rPr>
                <w:rFonts w:hint="eastAsia"/>
                <w:color w:val="000000" w:themeColor="text1"/>
                <w:sz w:val="21"/>
                <w:szCs w:val="21"/>
                <w:highlight w:val="none"/>
                <w:lang w:val="en-US" w:eastAsia="zh-CN"/>
              </w:rPr>
              <w:t>及水利设施用地</w:t>
            </w:r>
          </w:p>
        </w:tc>
        <w:tc>
          <w:tcPr>
            <w:tcW w:w="419" w:type="pct"/>
            <w:vMerge w:val="restart"/>
            <w:tcBorders>
              <w:tl2br w:val="nil"/>
              <w:tr2bl w:val="nil"/>
            </w:tcBorders>
            <w:noWrap w:val="0"/>
            <w:vAlign w:val="center"/>
          </w:tcPr>
          <w:p w14:paraId="3D02B91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小计</w:t>
            </w:r>
          </w:p>
        </w:tc>
      </w:tr>
      <w:tr w14:paraId="1B6EC72F">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442" w:type="pct"/>
            <w:vMerge w:val="continue"/>
            <w:tcBorders>
              <w:tl2br w:val="nil"/>
              <w:tr2bl w:val="nil"/>
            </w:tcBorders>
            <w:noWrap w:val="0"/>
            <w:vAlign w:val="center"/>
          </w:tcPr>
          <w:p w14:paraId="1799561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c>
          <w:tcPr>
            <w:tcW w:w="537" w:type="pct"/>
            <w:vMerge w:val="continue"/>
            <w:tcBorders>
              <w:tl2br w:val="nil"/>
              <w:tr2bl w:val="nil"/>
            </w:tcBorders>
            <w:noWrap w:val="0"/>
            <w:vAlign w:val="center"/>
          </w:tcPr>
          <w:p w14:paraId="4AAF5EE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c>
          <w:tcPr>
            <w:tcW w:w="431" w:type="pct"/>
            <w:tcBorders>
              <w:tl2br w:val="nil"/>
              <w:tr2bl w:val="nil"/>
            </w:tcBorders>
            <w:noWrap w:val="0"/>
            <w:vAlign w:val="center"/>
          </w:tcPr>
          <w:p w14:paraId="5387CC1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水田</w:t>
            </w:r>
          </w:p>
        </w:tc>
        <w:tc>
          <w:tcPr>
            <w:tcW w:w="448" w:type="pct"/>
            <w:tcBorders>
              <w:tl2br w:val="nil"/>
              <w:tr2bl w:val="nil"/>
            </w:tcBorders>
            <w:noWrap w:val="0"/>
            <w:vAlign w:val="center"/>
          </w:tcPr>
          <w:p w14:paraId="109FE27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旱田</w:t>
            </w:r>
          </w:p>
        </w:tc>
        <w:tc>
          <w:tcPr>
            <w:tcW w:w="396" w:type="pct"/>
            <w:vMerge w:val="continue"/>
            <w:tcBorders>
              <w:tl2br w:val="nil"/>
              <w:tr2bl w:val="nil"/>
            </w:tcBorders>
            <w:noWrap w:val="0"/>
            <w:vAlign w:val="center"/>
          </w:tcPr>
          <w:p w14:paraId="4E49012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c>
          <w:tcPr>
            <w:tcW w:w="422" w:type="pct"/>
            <w:vMerge w:val="continue"/>
            <w:tcBorders>
              <w:tl2br w:val="nil"/>
              <w:tr2bl w:val="nil"/>
            </w:tcBorders>
            <w:noWrap w:val="0"/>
            <w:vAlign w:val="center"/>
          </w:tcPr>
          <w:p w14:paraId="61DC7B4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c>
          <w:tcPr>
            <w:tcW w:w="633" w:type="pct"/>
            <w:tcBorders>
              <w:tl2br w:val="nil"/>
              <w:tr2bl w:val="nil"/>
            </w:tcBorders>
            <w:noWrap w:val="0"/>
            <w:vAlign w:val="center"/>
          </w:tcPr>
          <w:p w14:paraId="3114A27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农村道路</w:t>
            </w:r>
          </w:p>
        </w:tc>
        <w:tc>
          <w:tcPr>
            <w:tcW w:w="448" w:type="pct"/>
            <w:tcBorders>
              <w:tl2br w:val="nil"/>
              <w:tr2bl w:val="nil"/>
            </w:tcBorders>
            <w:noWrap w:val="0"/>
            <w:vAlign w:val="center"/>
          </w:tcPr>
          <w:p w14:paraId="70F8D6D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沟渠</w:t>
            </w:r>
          </w:p>
        </w:tc>
        <w:tc>
          <w:tcPr>
            <w:tcW w:w="440" w:type="pct"/>
            <w:tcBorders>
              <w:tl2br w:val="nil"/>
              <w:tr2bl w:val="nil"/>
            </w:tcBorders>
            <w:noWrap w:val="0"/>
            <w:vAlign w:val="center"/>
          </w:tcPr>
          <w:p w14:paraId="10F7596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池塘</w:t>
            </w:r>
          </w:p>
        </w:tc>
        <w:tc>
          <w:tcPr>
            <w:tcW w:w="378" w:type="pct"/>
            <w:tcBorders>
              <w:tl2br w:val="nil"/>
              <w:tr2bl w:val="nil"/>
            </w:tcBorders>
            <w:noWrap w:val="0"/>
            <w:vAlign w:val="center"/>
          </w:tcPr>
          <w:p w14:paraId="10D0F3B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水域</w:t>
            </w:r>
          </w:p>
        </w:tc>
        <w:tc>
          <w:tcPr>
            <w:tcW w:w="419" w:type="pct"/>
            <w:vMerge w:val="continue"/>
            <w:tcBorders>
              <w:tl2br w:val="nil"/>
              <w:tr2bl w:val="nil"/>
            </w:tcBorders>
            <w:noWrap w:val="0"/>
            <w:vAlign w:val="center"/>
          </w:tcPr>
          <w:p w14:paraId="4D4FFA7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r>
      <w:tr w14:paraId="00D7C831">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442" w:type="pct"/>
            <w:tcBorders>
              <w:tl2br w:val="nil"/>
              <w:tr2bl w:val="nil"/>
            </w:tcBorders>
            <w:noWrap w:val="0"/>
            <w:vAlign w:val="center"/>
          </w:tcPr>
          <w:p w14:paraId="52B022E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sz w:val="21"/>
                <w:szCs w:val="21"/>
                <w:highlight w:val="none"/>
                <w:u w:val="none" w:color="000000"/>
                <w:lang w:val="en-US" w:eastAsia="zh-CN" w:bidi="ar-SA"/>
              </w:rPr>
            </w:pPr>
            <w:r>
              <w:rPr>
                <w:rFonts w:hint="eastAsia" w:cs="Times New Roman"/>
                <w:color w:val="000000" w:themeColor="text1"/>
                <w:sz w:val="21"/>
                <w:szCs w:val="21"/>
                <w:highlight w:val="none"/>
                <w:u w:val="none" w:color="000000"/>
                <w:lang w:val="en-US" w:eastAsia="zh-CN" w:bidi="ar-SA"/>
              </w:rPr>
              <w:t>机场进场路</w:t>
            </w:r>
          </w:p>
        </w:tc>
        <w:tc>
          <w:tcPr>
            <w:tcW w:w="537" w:type="pct"/>
            <w:tcBorders>
              <w:tl2br w:val="nil"/>
              <w:tr2bl w:val="nil"/>
            </w:tcBorders>
            <w:noWrap w:val="0"/>
            <w:vAlign w:val="center"/>
          </w:tcPr>
          <w:p w14:paraId="37DD13D0">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19.1083</w:t>
            </w:r>
          </w:p>
        </w:tc>
        <w:tc>
          <w:tcPr>
            <w:tcW w:w="431" w:type="pct"/>
            <w:tcBorders>
              <w:tl2br w:val="nil"/>
              <w:tr2bl w:val="nil"/>
            </w:tcBorders>
            <w:noWrap w:val="0"/>
            <w:vAlign w:val="center"/>
          </w:tcPr>
          <w:p w14:paraId="258DFD1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0.6573</w:t>
            </w:r>
          </w:p>
        </w:tc>
        <w:tc>
          <w:tcPr>
            <w:tcW w:w="448" w:type="pct"/>
            <w:tcBorders>
              <w:tl2br w:val="nil"/>
              <w:tr2bl w:val="nil"/>
            </w:tcBorders>
            <w:noWrap w:val="0"/>
            <w:vAlign w:val="center"/>
          </w:tcPr>
          <w:p w14:paraId="40FFE66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11.364</w:t>
            </w:r>
          </w:p>
        </w:tc>
        <w:tc>
          <w:tcPr>
            <w:tcW w:w="396" w:type="pct"/>
            <w:tcBorders>
              <w:tl2br w:val="nil"/>
              <w:tr2bl w:val="nil"/>
            </w:tcBorders>
            <w:noWrap w:val="0"/>
            <w:vAlign w:val="center"/>
          </w:tcPr>
          <w:p w14:paraId="1419B18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4.611</w:t>
            </w:r>
          </w:p>
        </w:tc>
        <w:tc>
          <w:tcPr>
            <w:tcW w:w="422" w:type="pct"/>
            <w:tcBorders>
              <w:tl2br w:val="nil"/>
              <w:tr2bl w:val="nil"/>
            </w:tcBorders>
            <w:noWrap w:val="0"/>
            <w:vAlign w:val="center"/>
          </w:tcPr>
          <w:p w14:paraId="18889ED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0.208</w:t>
            </w:r>
          </w:p>
        </w:tc>
        <w:tc>
          <w:tcPr>
            <w:tcW w:w="633" w:type="pct"/>
            <w:tcBorders>
              <w:tl2br w:val="nil"/>
              <w:tr2bl w:val="nil"/>
            </w:tcBorders>
            <w:noWrap w:val="0"/>
            <w:vAlign w:val="center"/>
          </w:tcPr>
          <w:p w14:paraId="38FFD2A9">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1.1899</w:t>
            </w:r>
          </w:p>
        </w:tc>
        <w:tc>
          <w:tcPr>
            <w:tcW w:w="448" w:type="pct"/>
            <w:tcBorders>
              <w:tl2br w:val="nil"/>
              <w:tr2bl w:val="nil"/>
            </w:tcBorders>
            <w:noWrap w:val="0"/>
            <w:vAlign w:val="center"/>
          </w:tcPr>
          <w:p w14:paraId="0C4F584A">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0.8197</w:t>
            </w:r>
          </w:p>
        </w:tc>
        <w:tc>
          <w:tcPr>
            <w:tcW w:w="440" w:type="pct"/>
            <w:tcBorders>
              <w:tl2br w:val="nil"/>
              <w:tr2bl w:val="nil"/>
            </w:tcBorders>
            <w:noWrap w:val="0"/>
            <w:vAlign w:val="center"/>
          </w:tcPr>
          <w:p w14:paraId="6DDAEF77">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0.1645</w:t>
            </w:r>
          </w:p>
        </w:tc>
        <w:tc>
          <w:tcPr>
            <w:tcW w:w="378" w:type="pct"/>
            <w:tcBorders>
              <w:tl2br w:val="nil"/>
              <w:tr2bl w:val="nil"/>
            </w:tcBorders>
            <w:noWrap w:val="0"/>
            <w:vAlign w:val="center"/>
          </w:tcPr>
          <w:p w14:paraId="2DDF3417">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0.0939</w:t>
            </w:r>
          </w:p>
        </w:tc>
        <w:tc>
          <w:tcPr>
            <w:tcW w:w="419" w:type="pct"/>
            <w:tcBorders>
              <w:tl2br w:val="nil"/>
              <w:tr2bl w:val="nil"/>
            </w:tcBorders>
            <w:noWrap w:val="0"/>
            <w:vAlign w:val="center"/>
          </w:tcPr>
          <w:p w14:paraId="20696F3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19.1083</w:t>
            </w:r>
          </w:p>
        </w:tc>
      </w:tr>
      <w:tr w14:paraId="5F296B19">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442" w:type="pct"/>
            <w:tcBorders>
              <w:tl2br w:val="nil"/>
              <w:tr2bl w:val="nil"/>
            </w:tcBorders>
            <w:noWrap w:val="0"/>
            <w:vAlign w:val="center"/>
          </w:tcPr>
          <w:p w14:paraId="7DA0381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lang w:val="en-US"/>
              </w:rPr>
              <w:t>总计</w:t>
            </w:r>
          </w:p>
        </w:tc>
        <w:tc>
          <w:tcPr>
            <w:tcW w:w="537" w:type="pct"/>
            <w:tcBorders>
              <w:tl2br w:val="nil"/>
              <w:tr2bl w:val="nil"/>
            </w:tcBorders>
            <w:shd w:val="clear" w:color="auto" w:fill="auto"/>
            <w:noWrap w:val="0"/>
            <w:vAlign w:val="center"/>
          </w:tcPr>
          <w:p w14:paraId="2316AEE3">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19.1083</w:t>
            </w:r>
          </w:p>
        </w:tc>
        <w:tc>
          <w:tcPr>
            <w:tcW w:w="431" w:type="pct"/>
            <w:tcBorders>
              <w:tl2br w:val="nil"/>
              <w:tr2bl w:val="nil"/>
            </w:tcBorders>
            <w:shd w:val="clear" w:color="auto" w:fill="auto"/>
            <w:noWrap w:val="0"/>
            <w:vAlign w:val="center"/>
          </w:tcPr>
          <w:p w14:paraId="24B712B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0.6573</w:t>
            </w:r>
          </w:p>
        </w:tc>
        <w:tc>
          <w:tcPr>
            <w:tcW w:w="448" w:type="pct"/>
            <w:tcBorders>
              <w:tl2br w:val="nil"/>
              <w:tr2bl w:val="nil"/>
            </w:tcBorders>
            <w:shd w:val="clear" w:color="auto" w:fill="auto"/>
            <w:noWrap w:val="0"/>
            <w:vAlign w:val="center"/>
          </w:tcPr>
          <w:p w14:paraId="7D52AD2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11.364</w:t>
            </w:r>
          </w:p>
        </w:tc>
        <w:tc>
          <w:tcPr>
            <w:tcW w:w="396" w:type="pct"/>
            <w:tcBorders>
              <w:tl2br w:val="nil"/>
              <w:tr2bl w:val="nil"/>
            </w:tcBorders>
            <w:shd w:val="clear" w:color="auto" w:fill="auto"/>
            <w:noWrap w:val="0"/>
            <w:vAlign w:val="center"/>
          </w:tcPr>
          <w:p w14:paraId="7DC3DEE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4.611</w:t>
            </w:r>
          </w:p>
        </w:tc>
        <w:tc>
          <w:tcPr>
            <w:tcW w:w="422" w:type="pct"/>
            <w:tcBorders>
              <w:tl2br w:val="nil"/>
              <w:tr2bl w:val="nil"/>
            </w:tcBorders>
            <w:shd w:val="clear" w:color="auto" w:fill="auto"/>
            <w:noWrap w:val="0"/>
            <w:vAlign w:val="center"/>
          </w:tcPr>
          <w:p w14:paraId="3662EDA2">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0.208</w:t>
            </w:r>
          </w:p>
        </w:tc>
        <w:tc>
          <w:tcPr>
            <w:tcW w:w="633" w:type="pct"/>
            <w:tcBorders>
              <w:tl2br w:val="nil"/>
              <w:tr2bl w:val="nil"/>
            </w:tcBorders>
            <w:shd w:val="clear" w:color="auto" w:fill="auto"/>
            <w:noWrap w:val="0"/>
            <w:vAlign w:val="center"/>
          </w:tcPr>
          <w:p w14:paraId="0EA4E781">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1.1899</w:t>
            </w:r>
          </w:p>
        </w:tc>
        <w:tc>
          <w:tcPr>
            <w:tcW w:w="448" w:type="pct"/>
            <w:tcBorders>
              <w:tl2br w:val="nil"/>
              <w:tr2bl w:val="nil"/>
            </w:tcBorders>
            <w:shd w:val="clear" w:color="auto" w:fill="auto"/>
            <w:noWrap w:val="0"/>
            <w:vAlign w:val="center"/>
          </w:tcPr>
          <w:p w14:paraId="33C6FAF2">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0.8197</w:t>
            </w:r>
          </w:p>
        </w:tc>
        <w:tc>
          <w:tcPr>
            <w:tcW w:w="440" w:type="pct"/>
            <w:tcBorders>
              <w:tl2br w:val="nil"/>
              <w:tr2bl w:val="nil"/>
            </w:tcBorders>
            <w:shd w:val="clear" w:color="auto" w:fill="auto"/>
            <w:noWrap w:val="0"/>
            <w:vAlign w:val="center"/>
          </w:tcPr>
          <w:p w14:paraId="5AE39850">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0.1645</w:t>
            </w:r>
          </w:p>
        </w:tc>
        <w:tc>
          <w:tcPr>
            <w:tcW w:w="378" w:type="pct"/>
            <w:tcBorders>
              <w:tl2br w:val="nil"/>
              <w:tr2bl w:val="nil"/>
            </w:tcBorders>
            <w:shd w:val="clear" w:color="auto" w:fill="auto"/>
            <w:noWrap w:val="0"/>
            <w:vAlign w:val="center"/>
          </w:tcPr>
          <w:p w14:paraId="169645C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0.0939</w:t>
            </w:r>
          </w:p>
        </w:tc>
        <w:tc>
          <w:tcPr>
            <w:tcW w:w="419" w:type="pct"/>
            <w:tcBorders>
              <w:tl2br w:val="nil"/>
              <w:tr2bl w:val="nil"/>
            </w:tcBorders>
            <w:shd w:val="clear" w:color="auto" w:fill="auto"/>
            <w:noWrap w:val="0"/>
            <w:vAlign w:val="center"/>
          </w:tcPr>
          <w:p w14:paraId="40E4A44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19.1083</w:t>
            </w:r>
          </w:p>
        </w:tc>
      </w:tr>
    </w:tbl>
    <w:p w14:paraId="4D3B5816">
      <w:pPr>
        <w:pageBreakBefore w:val="0"/>
        <w:widowControl/>
        <w:wordWrap/>
        <w:topLinePunct w:val="0"/>
        <w:bidi w:val="0"/>
        <w:spacing w:line="360" w:lineRule="auto"/>
        <w:rPr>
          <w:color w:val="000000" w:themeColor="text1"/>
          <w:highlight w:val="none"/>
        </w:rPr>
      </w:pPr>
      <w:r>
        <w:rPr>
          <w:color w:val="000000" w:themeColor="text1"/>
          <w:highlight w:val="none"/>
        </w:rPr>
        <w:t>（2）临时占地</w:t>
      </w:r>
    </w:p>
    <w:p w14:paraId="6272573D">
      <w:pPr>
        <w:pageBreakBefore w:val="0"/>
        <w:wordWrap/>
        <w:topLinePunct w:val="0"/>
        <w:bidi w:val="0"/>
        <w:spacing w:line="360" w:lineRule="auto"/>
        <w:rPr>
          <w:color w:val="000000" w:themeColor="text1"/>
          <w:highlight w:val="none"/>
        </w:rPr>
      </w:pPr>
      <w:r>
        <w:rPr>
          <w:color w:val="000000" w:themeColor="text1"/>
          <w:highlight w:val="none"/>
        </w:rPr>
        <w:t>本项目临时占地包括</w:t>
      </w:r>
      <w:r>
        <w:rPr>
          <w:rFonts w:hint="eastAsia"/>
          <w:color w:val="000000" w:themeColor="text1"/>
          <w:highlight w:val="none"/>
          <w:lang w:val="en-US" w:eastAsia="zh-CN"/>
        </w:rPr>
        <w:t>综合站场、施工便道、表土临时堆土场及弃渣场等，临时占地4.37hm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highlight w:val="none"/>
        </w:rPr>
        <w:t>。</w:t>
      </w:r>
    </w:p>
    <w:p w14:paraId="7DA51C82">
      <w:pPr>
        <w:pageBreakBefore w:val="0"/>
        <w:wordWrap/>
        <w:topLinePunct w:val="0"/>
        <w:bidi w:val="0"/>
        <w:spacing w:line="360" w:lineRule="auto"/>
        <w:rPr>
          <w:color w:val="000000" w:themeColor="text1"/>
          <w:highlight w:val="none"/>
        </w:rPr>
      </w:pPr>
      <w:r>
        <w:rPr>
          <w:color w:val="000000" w:themeColor="text1"/>
          <w:highlight w:val="none"/>
        </w:rPr>
        <w:t>本项目临时占地类型及面积见表3.1-</w:t>
      </w:r>
      <w:r>
        <w:rPr>
          <w:rFonts w:hint="eastAsia"/>
          <w:color w:val="000000" w:themeColor="text1"/>
          <w:highlight w:val="none"/>
          <w:lang w:val="en-US" w:eastAsia="zh-CN"/>
        </w:rPr>
        <w:t>12</w:t>
      </w:r>
      <w:r>
        <w:rPr>
          <w:color w:val="000000" w:themeColor="text1"/>
          <w:highlight w:val="none"/>
        </w:rPr>
        <w:t>。</w:t>
      </w:r>
    </w:p>
    <w:p w14:paraId="721D381E">
      <w:pPr>
        <w:pageBreakBefore w:val="0"/>
        <w:wordWrap/>
        <w:topLinePunct w:val="0"/>
        <w:bidi w:val="0"/>
        <w:spacing w:line="360" w:lineRule="auto"/>
        <w:ind w:firstLine="0" w:firstLineChars="0"/>
        <w:jc w:val="center"/>
        <w:rPr>
          <w:b/>
          <w:color w:val="000000" w:themeColor="text1"/>
          <w:szCs w:val="21"/>
          <w:highlight w:val="none"/>
          <w:vertAlign w:val="superscript"/>
        </w:rPr>
      </w:pPr>
      <w:r>
        <w:rPr>
          <w:b/>
          <w:color w:val="000000" w:themeColor="text1"/>
          <w:highlight w:val="none"/>
        </w:rPr>
        <w:t>表3.1-</w:t>
      </w:r>
      <w:r>
        <w:rPr>
          <w:rFonts w:hint="eastAsia"/>
          <w:b/>
          <w:color w:val="000000" w:themeColor="text1"/>
          <w:highlight w:val="none"/>
          <w:lang w:val="en-US" w:eastAsia="zh-CN"/>
        </w:rPr>
        <w:t>12</w:t>
      </w:r>
      <w:r>
        <w:rPr>
          <w:b/>
          <w:color w:val="000000" w:themeColor="text1"/>
          <w:highlight w:val="none"/>
        </w:rPr>
        <w:t xml:space="preserve">  </w:t>
      </w:r>
      <w:bookmarkStart w:id="254" w:name="_Hlk69301638"/>
      <w:r>
        <w:rPr>
          <w:b/>
          <w:color w:val="000000" w:themeColor="text1"/>
          <w:highlight w:val="none"/>
        </w:rPr>
        <w:t>临时占地数量汇总表  单位：hm</w:t>
      </w:r>
      <w:r>
        <w:rPr>
          <w:b/>
          <w:color w:val="000000" w:themeColor="text1"/>
          <w:szCs w:val="21"/>
          <w:highlight w:val="none"/>
          <w:vertAlign w:val="superscript"/>
        </w:rPr>
        <w:t>2</w:t>
      </w:r>
    </w:p>
    <w:bookmarkEnd w:id="254"/>
    <w:tbl>
      <w:tblPr>
        <w:tblStyle w:val="33"/>
        <w:tblW w:w="4998" w:type="pct"/>
        <w:jc w:val="center"/>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1842"/>
        <w:gridCol w:w="1198"/>
        <w:gridCol w:w="1522"/>
        <w:gridCol w:w="1113"/>
        <w:gridCol w:w="1709"/>
        <w:gridCol w:w="1135"/>
      </w:tblGrid>
      <w:tr w14:paraId="65AAABF2">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81" w:type="pct"/>
            <w:vMerge w:val="restart"/>
            <w:tcBorders>
              <w:tl2br w:val="nil"/>
              <w:tr2bl w:val="nil"/>
            </w:tcBorders>
            <w:noWrap w:val="0"/>
            <w:vAlign w:val="center"/>
          </w:tcPr>
          <w:p w14:paraId="6B12AE7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rPr>
              <w:t>项目组成及名称</w:t>
            </w:r>
          </w:p>
        </w:tc>
        <w:tc>
          <w:tcPr>
            <w:tcW w:w="703" w:type="pct"/>
            <w:tcBorders>
              <w:right w:val="single" w:color="000000" w:sz="2" w:space="0"/>
              <w:tl2br w:val="nil"/>
              <w:tr2bl w:val="nil"/>
            </w:tcBorders>
            <w:noWrap w:val="0"/>
            <w:vAlign w:val="center"/>
          </w:tcPr>
          <w:p w14:paraId="69E209F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占地性质</w:t>
            </w:r>
          </w:p>
        </w:tc>
        <w:tc>
          <w:tcPr>
            <w:tcW w:w="2549" w:type="pct"/>
            <w:gridSpan w:val="3"/>
            <w:tcBorders>
              <w:tl2br w:val="nil"/>
              <w:tr2bl w:val="nil"/>
            </w:tcBorders>
            <w:noWrap w:val="0"/>
            <w:vAlign w:val="center"/>
          </w:tcPr>
          <w:p w14:paraId="6368D21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r>
              <w:rPr>
                <w:rFonts w:hint="default" w:ascii="Times New Roman" w:hAnsi="Times New Roman" w:eastAsia="宋体" w:cs="Times New Roman"/>
                <w:color w:val="000000" w:themeColor="text1"/>
                <w:sz w:val="21"/>
                <w:szCs w:val="21"/>
                <w:highlight w:val="none"/>
                <w:lang w:val="en-US"/>
              </w:rPr>
              <w:t>占地类型</w:t>
            </w:r>
          </w:p>
        </w:tc>
        <w:tc>
          <w:tcPr>
            <w:tcW w:w="666" w:type="pct"/>
            <w:tcBorders>
              <w:tl2br w:val="nil"/>
              <w:tr2bl w:val="nil"/>
            </w:tcBorders>
            <w:noWrap w:val="0"/>
            <w:vAlign w:val="center"/>
          </w:tcPr>
          <w:p w14:paraId="7EA6084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r>
      <w:tr w14:paraId="793A11D4">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81" w:type="pct"/>
            <w:vMerge w:val="continue"/>
            <w:tcBorders>
              <w:tl2br w:val="nil"/>
              <w:tr2bl w:val="nil"/>
            </w:tcBorders>
            <w:noWrap w:val="0"/>
            <w:vAlign w:val="center"/>
          </w:tcPr>
          <w:p w14:paraId="7E525D2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c>
          <w:tcPr>
            <w:tcW w:w="703" w:type="pct"/>
            <w:tcBorders>
              <w:tl2br w:val="nil"/>
              <w:tr2bl w:val="nil"/>
            </w:tcBorders>
            <w:noWrap w:val="0"/>
            <w:vAlign w:val="center"/>
          </w:tcPr>
          <w:p w14:paraId="660D201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临时</w:t>
            </w:r>
            <w:r>
              <w:rPr>
                <w:rFonts w:hint="default" w:ascii="Times New Roman" w:hAnsi="Times New Roman" w:eastAsia="宋体" w:cs="Times New Roman"/>
                <w:color w:val="000000" w:themeColor="text1"/>
                <w:sz w:val="21"/>
                <w:szCs w:val="21"/>
                <w:highlight w:val="none"/>
                <w:lang w:val="en-US" w:eastAsia="zh-CN"/>
              </w:rPr>
              <w:t>占地</w:t>
            </w:r>
          </w:p>
        </w:tc>
        <w:tc>
          <w:tcPr>
            <w:tcW w:w="893" w:type="pct"/>
            <w:tcBorders>
              <w:tl2br w:val="nil"/>
              <w:tr2bl w:val="nil"/>
            </w:tcBorders>
            <w:noWrap w:val="0"/>
            <w:vAlign w:val="center"/>
          </w:tcPr>
          <w:p w14:paraId="42998F9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耕地</w:t>
            </w:r>
          </w:p>
        </w:tc>
        <w:tc>
          <w:tcPr>
            <w:tcW w:w="653" w:type="pct"/>
            <w:tcBorders>
              <w:tl2br w:val="nil"/>
              <w:tr2bl w:val="nil"/>
            </w:tcBorders>
            <w:noWrap w:val="0"/>
            <w:vAlign w:val="center"/>
          </w:tcPr>
          <w:p w14:paraId="729BF3A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其他土地</w:t>
            </w:r>
          </w:p>
        </w:tc>
        <w:tc>
          <w:tcPr>
            <w:tcW w:w="1003" w:type="pct"/>
            <w:tcBorders>
              <w:tl2br w:val="nil"/>
              <w:tr2bl w:val="nil"/>
            </w:tcBorders>
            <w:noWrap w:val="0"/>
            <w:vAlign w:val="center"/>
          </w:tcPr>
          <w:p w14:paraId="69FCD8C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r>
              <w:rPr>
                <w:rFonts w:hint="eastAsia" w:cs="Times New Roman"/>
                <w:color w:val="000000" w:themeColor="text1"/>
                <w:sz w:val="21"/>
                <w:szCs w:val="21"/>
                <w:highlight w:val="none"/>
                <w:lang w:val="en-US" w:eastAsia="zh-CN"/>
              </w:rPr>
              <w:t>工矿仓储用地</w:t>
            </w:r>
          </w:p>
        </w:tc>
        <w:tc>
          <w:tcPr>
            <w:tcW w:w="666" w:type="pct"/>
            <w:tcBorders>
              <w:tl2br w:val="nil"/>
              <w:tr2bl w:val="nil"/>
            </w:tcBorders>
            <w:shd w:val="clear" w:color="auto" w:fill="auto"/>
            <w:noWrap w:val="0"/>
            <w:vAlign w:val="center"/>
          </w:tcPr>
          <w:p w14:paraId="125E511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default" w:ascii="Times New Roman" w:hAnsi="Times New Roman" w:eastAsia="宋体" w:cs="Times New Roman"/>
                <w:color w:val="000000" w:themeColor="text1"/>
                <w:sz w:val="21"/>
                <w:szCs w:val="21"/>
                <w:highlight w:val="none"/>
                <w:lang w:val="en-US" w:eastAsia="zh-CN"/>
              </w:rPr>
              <w:t>小计</w:t>
            </w:r>
          </w:p>
        </w:tc>
      </w:tr>
      <w:tr w14:paraId="66F8C6E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81" w:type="pct"/>
            <w:tcBorders>
              <w:tl2br w:val="nil"/>
              <w:tr2bl w:val="nil"/>
            </w:tcBorders>
            <w:noWrap w:val="0"/>
            <w:vAlign w:val="center"/>
          </w:tcPr>
          <w:p w14:paraId="08C5D72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sz w:val="21"/>
                <w:szCs w:val="21"/>
                <w:highlight w:val="none"/>
                <w:u w:val="none" w:color="000000"/>
                <w:lang w:val="en-US" w:eastAsia="zh-CN" w:bidi="ar-SA"/>
              </w:rPr>
            </w:pPr>
            <w:r>
              <w:rPr>
                <w:rFonts w:hint="eastAsia" w:cs="Times New Roman"/>
                <w:color w:val="000000" w:themeColor="text1"/>
                <w:sz w:val="21"/>
                <w:szCs w:val="21"/>
                <w:highlight w:val="none"/>
                <w:u w:val="none" w:color="000000"/>
                <w:lang w:val="en-US" w:eastAsia="zh-CN" w:bidi="ar-SA"/>
              </w:rPr>
              <w:t>综合站场</w:t>
            </w:r>
          </w:p>
        </w:tc>
        <w:tc>
          <w:tcPr>
            <w:tcW w:w="703" w:type="pct"/>
            <w:tcBorders>
              <w:tl2br w:val="nil"/>
              <w:tr2bl w:val="nil"/>
            </w:tcBorders>
            <w:noWrap w:val="0"/>
            <w:vAlign w:val="center"/>
          </w:tcPr>
          <w:p w14:paraId="05779B50">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3</w:t>
            </w:r>
          </w:p>
        </w:tc>
        <w:tc>
          <w:tcPr>
            <w:tcW w:w="893" w:type="pct"/>
            <w:tcBorders>
              <w:tl2br w:val="nil"/>
              <w:tr2bl w:val="nil"/>
            </w:tcBorders>
            <w:noWrap w:val="0"/>
            <w:vAlign w:val="center"/>
          </w:tcPr>
          <w:p w14:paraId="0725CCB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w:t>
            </w:r>
          </w:p>
        </w:tc>
        <w:tc>
          <w:tcPr>
            <w:tcW w:w="653" w:type="pct"/>
            <w:tcBorders>
              <w:tl2br w:val="nil"/>
              <w:tr2bl w:val="nil"/>
            </w:tcBorders>
            <w:noWrap w:val="0"/>
            <w:vAlign w:val="center"/>
          </w:tcPr>
          <w:p w14:paraId="093B5BE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w:t>
            </w:r>
          </w:p>
        </w:tc>
        <w:tc>
          <w:tcPr>
            <w:tcW w:w="1003" w:type="pct"/>
            <w:tcBorders>
              <w:tl2br w:val="nil"/>
              <w:tr2bl w:val="nil"/>
            </w:tcBorders>
            <w:noWrap w:val="0"/>
            <w:vAlign w:val="center"/>
          </w:tcPr>
          <w:p w14:paraId="063BF123">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3</w:t>
            </w:r>
          </w:p>
        </w:tc>
        <w:tc>
          <w:tcPr>
            <w:tcW w:w="666" w:type="pct"/>
            <w:tcBorders>
              <w:tl2br w:val="nil"/>
              <w:tr2bl w:val="nil"/>
            </w:tcBorders>
            <w:shd w:val="clear" w:color="auto" w:fill="auto"/>
            <w:noWrap w:val="0"/>
            <w:vAlign w:val="center"/>
          </w:tcPr>
          <w:p w14:paraId="5F4B7ADB">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3</w:t>
            </w:r>
          </w:p>
        </w:tc>
      </w:tr>
      <w:tr w14:paraId="1AF7E25E">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81" w:type="pct"/>
            <w:tcBorders>
              <w:tl2br w:val="nil"/>
              <w:tr2bl w:val="nil"/>
            </w:tcBorders>
            <w:noWrap w:val="0"/>
            <w:vAlign w:val="center"/>
          </w:tcPr>
          <w:p w14:paraId="62BF8DA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cs="Times New Roman"/>
                <w:color w:val="000000" w:themeColor="text1"/>
                <w:sz w:val="21"/>
                <w:szCs w:val="21"/>
                <w:highlight w:val="none"/>
                <w:u w:val="none" w:color="000000"/>
                <w:lang w:val="en-US" w:eastAsia="zh-CN" w:bidi="ar-SA"/>
              </w:rPr>
            </w:pPr>
            <w:r>
              <w:rPr>
                <w:rFonts w:hint="eastAsia" w:cs="Times New Roman"/>
                <w:color w:val="000000" w:themeColor="text1"/>
                <w:sz w:val="21"/>
                <w:szCs w:val="21"/>
                <w:highlight w:val="none"/>
                <w:u w:val="none" w:color="000000"/>
                <w:lang w:val="en-US" w:eastAsia="zh-CN" w:bidi="ar-SA"/>
              </w:rPr>
              <w:t>施工便道</w:t>
            </w:r>
          </w:p>
        </w:tc>
        <w:tc>
          <w:tcPr>
            <w:tcW w:w="703" w:type="pct"/>
            <w:tcBorders>
              <w:tl2br w:val="nil"/>
              <w:tr2bl w:val="nil"/>
            </w:tcBorders>
            <w:noWrap w:val="0"/>
            <w:vAlign w:val="center"/>
          </w:tcPr>
          <w:p w14:paraId="08EA1358">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0.76</w:t>
            </w:r>
          </w:p>
        </w:tc>
        <w:tc>
          <w:tcPr>
            <w:tcW w:w="893" w:type="pct"/>
            <w:tcBorders>
              <w:tl2br w:val="nil"/>
              <w:tr2bl w:val="nil"/>
            </w:tcBorders>
            <w:noWrap w:val="0"/>
            <w:vAlign w:val="center"/>
          </w:tcPr>
          <w:p w14:paraId="77671EC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0.76</w:t>
            </w:r>
          </w:p>
        </w:tc>
        <w:tc>
          <w:tcPr>
            <w:tcW w:w="653" w:type="pct"/>
            <w:tcBorders>
              <w:tl2br w:val="nil"/>
              <w:tr2bl w:val="nil"/>
            </w:tcBorders>
            <w:noWrap w:val="0"/>
            <w:vAlign w:val="center"/>
          </w:tcPr>
          <w:p w14:paraId="6F958C0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w:t>
            </w:r>
          </w:p>
        </w:tc>
        <w:tc>
          <w:tcPr>
            <w:tcW w:w="1003" w:type="pct"/>
            <w:tcBorders>
              <w:tl2br w:val="nil"/>
              <w:tr2bl w:val="nil"/>
            </w:tcBorders>
            <w:noWrap w:val="0"/>
            <w:vAlign w:val="center"/>
          </w:tcPr>
          <w:p w14:paraId="678384AB">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w:t>
            </w:r>
          </w:p>
        </w:tc>
        <w:tc>
          <w:tcPr>
            <w:tcW w:w="666" w:type="pct"/>
            <w:tcBorders>
              <w:tl2br w:val="nil"/>
              <w:tr2bl w:val="nil"/>
            </w:tcBorders>
            <w:shd w:val="clear" w:color="auto" w:fill="auto"/>
            <w:noWrap w:val="0"/>
            <w:vAlign w:val="center"/>
          </w:tcPr>
          <w:p w14:paraId="611CFA07">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0.76</w:t>
            </w:r>
          </w:p>
        </w:tc>
      </w:tr>
      <w:tr w14:paraId="32662ACD">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81" w:type="pct"/>
            <w:tcBorders>
              <w:tl2br w:val="nil"/>
              <w:tr2bl w:val="nil"/>
            </w:tcBorders>
            <w:noWrap w:val="0"/>
            <w:vAlign w:val="center"/>
          </w:tcPr>
          <w:p w14:paraId="0725CFA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cs="Times New Roman"/>
                <w:color w:val="000000" w:themeColor="text1"/>
                <w:sz w:val="21"/>
                <w:szCs w:val="21"/>
                <w:highlight w:val="none"/>
                <w:u w:val="none" w:color="000000"/>
                <w:lang w:val="en-US" w:eastAsia="zh-CN" w:bidi="ar-SA"/>
              </w:rPr>
            </w:pPr>
            <w:r>
              <w:rPr>
                <w:rFonts w:hint="eastAsia" w:cs="Times New Roman"/>
                <w:color w:val="000000" w:themeColor="text1"/>
                <w:sz w:val="21"/>
                <w:szCs w:val="21"/>
                <w:highlight w:val="none"/>
                <w:u w:val="none" w:color="000000"/>
                <w:lang w:val="en-US" w:eastAsia="zh-CN" w:bidi="ar-SA"/>
              </w:rPr>
              <w:t>弃渣场</w:t>
            </w:r>
          </w:p>
        </w:tc>
        <w:tc>
          <w:tcPr>
            <w:tcW w:w="703" w:type="pct"/>
            <w:tcBorders>
              <w:tl2br w:val="nil"/>
              <w:tr2bl w:val="nil"/>
            </w:tcBorders>
            <w:noWrap w:val="0"/>
            <w:vAlign w:val="center"/>
          </w:tcPr>
          <w:p w14:paraId="6F6A29D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0.61</w:t>
            </w:r>
          </w:p>
        </w:tc>
        <w:tc>
          <w:tcPr>
            <w:tcW w:w="893" w:type="pct"/>
            <w:tcBorders>
              <w:tl2br w:val="nil"/>
              <w:tr2bl w:val="nil"/>
            </w:tcBorders>
            <w:noWrap w:val="0"/>
            <w:vAlign w:val="center"/>
          </w:tcPr>
          <w:p w14:paraId="1BDB926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w:t>
            </w:r>
          </w:p>
        </w:tc>
        <w:tc>
          <w:tcPr>
            <w:tcW w:w="653" w:type="pct"/>
            <w:tcBorders>
              <w:tl2br w:val="nil"/>
              <w:tr2bl w:val="nil"/>
            </w:tcBorders>
            <w:noWrap w:val="0"/>
            <w:vAlign w:val="center"/>
          </w:tcPr>
          <w:p w14:paraId="7BBF9A3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0.61</w:t>
            </w:r>
          </w:p>
        </w:tc>
        <w:tc>
          <w:tcPr>
            <w:tcW w:w="1003" w:type="pct"/>
            <w:tcBorders>
              <w:tl2br w:val="nil"/>
              <w:tr2bl w:val="nil"/>
            </w:tcBorders>
            <w:noWrap w:val="0"/>
            <w:vAlign w:val="center"/>
          </w:tcPr>
          <w:p w14:paraId="679D34B4">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w:t>
            </w:r>
          </w:p>
        </w:tc>
        <w:tc>
          <w:tcPr>
            <w:tcW w:w="666" w:type="pct"/>
            <w:tcBorders>
              <w:tl2br w:val="nil"/>
              <w:tr2bl w:val="nil"/>
            </w:tcBorders>
            <w:shd w:val="clear" w:color="auto" w:fill="auto"/>
            <w:noWrap w:val="0"/>
            <w:vAlign w:val="center"/>
          </w:tcPr>
          <w:p w14:paraId="452161DD">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0.61</w:t>
            </w:r>
          </w:p>
        </w:tc>
      </w:tr>
      <w:tr w14:paraId="2DAADA46">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081" w:type="pct"/>
            <w:tcBorders>
              <w:tl2br w:val="nil"/>
              <w:tr2bl w:val="nil"/>
            </w:tcBorders>
            <w:noWrap w:val="0"/>
            <w:vAlign w:val="center"/>
          </w:tcPr>
          <w:p w14:paraId="492C951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lang w:val="en-US"/>
              </w:rPr>
              <w:t>总计</w:t>
            </w:r>
          </w:p>
        </w:tc>
        <w:tc>
          <w:tcPr>
            <w:tcW w:w="703" w:type="pct"/>
            <w:tcBorders>
              <w:tl2br w:val="nil"/>
              <w:tr2bl w:val="nil"/>
            </w:tcBorders>
            <w:shd w:val="clear" w:color="auto" w:fill="auto"/>
            <w:noWrap w:val="0"/>
            <w:vAlign w:val="center"/>
          </w:tcPr>
          <w:p w14:paraId="5DE15371">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4.37</w:t>
            </w:r>
          </w:p>
        </w:tc>
        <w:tc>
          <w:tcPr>
            <w:tcW w:w="893" w:type="pct"/>
            <w:tcBorders>
              <w:tl2br w:val="nil"/>
              <w:tr2bl w:val="nil"/>
            </w:tcBorders>
            <w:shd w:val="clear" w:color="auto" w:fill="auto"/>
            <w:noWrap w:val="0"/>
            <w:vAlign w:val="center"/>
          </w:tcPr>
          <w:p w14:paraId="7D30B8D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0.76</w:t>
            </w:r>
          </w:p>
        </w:tc>
        <w:tc>
          <w:tcPr>
            <w:tcW w:w="653" w:type="pct"/>
            <w:tcBorders>
              <w:tl2br w:val="nil"/>
              <w:tr2bl w:val="nil"/>
            </w:tcBorders>
            <w:shd w:val="clear" w:color="auto" w:fill="auto"/>
            <w:noWrap w:val="0"/>
            <w:vAlign w:val="center"/>
          </w:tcPr>
          <w:p w14:paraId="7098B88B">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0.61</w:t>
            </w:r>
          </w:p>
        </w:tc>
        <w:tc>
          <w:tcPr>
            <w:tcW w:w="1003" w:type="pct"/>
            <w:tcBorders>
              <w:tl2br w:val="nil"/>
              <w:tr2bl w:val="nil"/>
            </w:tcBorders>
            <w:shd w:val="clear" w:color="auto" w:fill="auto"/>
            <w:noWrap w:val="0"/>
            <w:vAlign w:val="center"/>
          </w:tcPr>
          <w:p w14:paraId="68878D8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3</w:t>
            </w:r>
          </w:p>
        </w:tc>
        <w:tc>
          <w:tcPr>
            <w:tcW w:w="666" w:type="pct"/>
            <w:tcBorders>
              <w:tl2br w:val="nil"/>
              <w:tr2bl w:val="nil"/>
            </w:tcBorders>
            <w:shd w:val="clear" w:color="auto" w:fill="auto"/>
            <w:noWrap w:val="0"/>
            <w:vAlign w:val="center"/>
          </w:tcPr>
          <w:p w14:paraId="3EED73EE">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4.37</w:t>
            </w:r>
          </w:p>
        </w:tc>
      </w:tr>
    </w:tbl>
    <w:p w14:paraId="62013E58">
      <w:pPr>
        <w:pageBreakBefore w:val="0"/>
        <w:wordWrap/>
        <w:topLinePunct w:val="0"/>
        <w:bidi w:val="0"/>
        <w:spacing w:line="360" w:lineRule="auto"/>
        <w:rPr>
          <w:color w:val="000000" w:themeColor="text1"/>
          <w:highlight w:val="none"/>
        </w:rPr>
      </w:pPr>
      <w:r>
        <w:rPr>
          <w:color w:val="000000" w:themeColor="text1"/>
          <w:highlight w:val="none"/>
        </w:rPr>
        <w:t>（3）取土场</w:t>
      </w:r>
    </w:p>
    <w:p w14:paraId="42709FF9">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本项目借方13.37万m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，主要为路基填筑碎石及砂石等，均为外购，由萝北县大平石材加工有限公司提供，本项目不设取土场。</w:t>
      </w:r>
    </w:p>
    <w:p w14:paraId="174DA371">
      <w:pPr>
        <w:pageBreakBefore w:val="0"/>
        <w:wordWrap/>
        <w:topLinePunct w:val="0"/>
        <w:bidi w:val="0"/>
        <w:spacing w:line="360" w:lineRule="auto"/>
        <w:rPr>
          <w:rFonts w:hint="default"/>
          <w:color w:val="000000" w:themeColor="text1"/>
          <w:highlight w:val="none"/>
          <w:lang w:val="en-US"/>
        </w:rPr>
      </w:pPr>
      <w:r>
        <w:rPr>
          <w:rFonts w:hint="eastAsia" w:ascii="Times New Roman" w:eastAsia="宋体"/>
          <w:snapToGrid w:val="0"/>
          <w:color w:val="000000" w:themeColor="text1"/>
          <w:highlight w:val="none"/>
          <w:lang w:val="en-US" w:eastAsia="zh-CN"/>
        </w:rPr>
        <w:t>萝北县大平石材加工有限公司，距场址距离37.4km，外购材料意向书及公司资质见附件8，该公司可生产各种规格碎石，石质强度高，可用于路面面层，满足本项目需求</w:t>
      </w:r>
      <w:r>
        <w:rPr>
          <w:rFonts w:hint="eastAsia" w:ascii="Times New Roman" w:eastAsia="宋体"/>
          <w:snapToGrid w:val="0"/>
          <w:color w:val="000000" w:themeColor="text1"/>
          <w:highlight w:val="none"/>
        </w:rPr>
        <w:t>。</w:t>
      </w:r>
    </w:p>
    <w:p w14:paraId="07D6442C">
      <w:pPr>
        <w:pageBreakBefore w:val="0"/>
        <w:wordWrap/>
        <w:topLinePunct w:val="0"/>
        <w:bidi w:val="0"/>
        <w:spacing w:line="360" w:lineRule="auto"/>
        <w:rPr>
          <w:color w:val="000000" w:themeColor="text1"/>
          <w:highlight w:val="none"/>
        </w:rPr>
      </w:pPr>
      <w:r>
        <w:rPr>
          <w:color w:val="000000" w:themeColor="text1"/>
          <w:highlight w:val="none"/>
        </w:rPr>
        <w:t>（4）</w:t>
      </w: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土场</w:t>
      </w:r>
    </w:p>
    <w:p w14:paraId="13DD61BA">
      <w:pPr>
        <w:pageBreakBefore w:val="0"/>
        <w:wordWrap/>
        <w:topLinePunct w:val="0"/>
        <w:bidi w:val="0"/>
        <w:spacing w:line="360" w:lineRule="auto"/>
        <w:rPr>
          <w:rFonts w:ascii="Times New Roman" w:hAnsi="Times New Roman" w:cs="Times New Roman"/>
          <w:color w:val="000000" w:themeColor="text1"/>
          <w:highlight w:val="none"/>
        </w:rPr>
      </w:pPr>
      <w:r>
        <w:rPr>
          <w:rFonts w:hint="eastAsia"/>
          <w:color w:val="000000" w:themeColor="text1"/>
          <w:highlight w:val="none"/>
        </w:rPr>
        <w:t>施工期间，本工程在新建黑龙江鹤岗机场项目表土暂存场内布置1个表土临时堆土场，临时堆土采用棱台堆放形式，表土堆放长度100m，堆放宽度80m，堆高6.2m，边坡比1:1，为减少占地，采用分层堆放方式，底层堆放林地和草地剥离的表土，堆放高度1.70m，堆放量0.94万m</w:t>
      </w:r>
      <w:r>
        <w:rPr>
          <w:rFonts w:hint="eastAsia"/>
          <w:color w:val="000000" w:themeColor="text1"/>
          <w:highlight w:val="none"/>
          <w:vertAlign w:val="superscript"/>
        </w:rPr>
        <w:t>3</w:t>
      </w:r>
      <w:r>
        <w:rPr>
          <w:rFonts w:hint="eastAsia"/>
          <w:color w:val="000000" w:themeColor="text1"/>
          <w:highlight w:val="none"/>
        </w:rPr>
        <w:t>，上层堆放耕地剥离表土，堆放高度4.5m，堆放量3.30万m</w:t>
      </w:r>
      <w:r>
        <w:rPr>
          <w:rFonts w:hint="eastAsia"/>
          <w:color w:val="000000" w:themeColor="text1"/>
          <w:highlight w:val="none"/>
          <w:vertAlign w:val="superscript"/>
        </w:rPr>
        <w:t>3</w:t>
      </w:r>
      <w:r>
        <w:rPr>
          <w:rFonts w:hint="eastAsia"/>
          <w:color w:val="000000" w:themeColor="text1"/>
          <w:highlight w:val="none"/>
        </w:rPr>
        <w:t>，中间采用土工布间隔</w:t>
      </w:r>
      <w:r>
        <w:rPr>
          <w:rFonts w:hint="eastAsia"/>
          <w:color w:val="000000" w:themeColor="text1"/>
          <w:highlight w:val="none"/>
          <w:lang w:eastAsia="zh-CN"/>
        </w:rPr>
        <w:t>，</w:t>
      </w:r>
      <w:r>
        <w:rPr>
          <w:rFonts w:hint="eastAsia"/>
          <w:color w:val="000000" w:themeColor="text1"/>
          <w:highlight w:val="none"/>
        </w:rPr>
        <w:t>新增临时占地面积0.80hm</w:t>
      </w:r>
      <w:r>
        <w:rPr>
          <w:rFonts w:hint="eastAsia"/>
          <w:color w:val="000000" w:themeColor="text1"/>
          <w:highlight w:val="none"/>
          <w:vertAlign w:val="superscript"/>
        </w:rPr>
        <w:t>2</w:t>
      </w:r>
      <w:r>
        <w:rPr>
          <w:rFonts w:hint="eastAsia"/>
          <w:color w:val="000000" w:themeColor="text1"/>
          <w:highlight w:val="none"/>
        </w:rPr>
        <w:t>，总堆方量4.24万m</w:t>
      </w:r>
      <w:r>
        <w:rPr>
          <w:rFonts w:hint="eastAsia"/>
          <w:color w:val="000000" w:themeColor="text1"/>
          <w:highlight w:val="none"/>
          <w:vertAlign w:val="superscript"/>
        </w:rPr>
        <w:t>3</w:t>
      </w:r>
      <w:r>
        <w:rPr>
          <w:rFonts w:hint="eastAsia"/>
          <w:color w:val="000000" w:themeColor="text1"/>
          <w:highlight w:val="none"/>
        </w:rPr>
        <w:t>，用于临时堆存施工期间进场路工程区、施工便道区剥离表土，剥离的表土部分回覆于进场路工程区、施工便道区和弃渣场，用于土地整治和绿化覆土，剩余表土依据《新建黑龙江鹤岗机场项目耕地耕作层土壤剥离利用方案》全部外运用于改良中低产和被污染耕地的治理；在道路工程区内布置1个挖方临时堆土场，带状堆存，堆放长度1800m，堆高3m，边坡比1:1.5，堆放平均宽度10m，堆放总占地面积1.80hm</w:t>
      </w:r>
      <w:r>
        <w:rPr>
          <w:rFonts w:hint="eastAsia"/>
          <w:color w:val="000000" w:themeColor="text1"/>
          <w:highlight w:val="none"/>
          <w:vertAlign w:val="superscript"/>
        </w:rPr>
        <w:t>2</w:t>
      </w:r>
      <w:r>
        <w:rPr>
          <w:rFonts w:hint="eastAsia"/>
          <w:color w:val="000000" w:themeColor="text1"/>
          <w:highlight w:val="none"/>
        </w:rPr>
        <w:t>，总堆方量2.58万m</w:t>
      </w:r>
      <w:r>
        <w:rPr>
          <w:rFonts w:hint="eastAsia"/>
          <w:color w:val="000000" w:themeColor="text1"/>
          <w:highlight w:val="none"/>
          <w:vertAlign w:val="superscript"/>
        </w:rPr>
        <w:t>3</w:t>
      </w:r>
      <w:r>
        <w:rPr>
          <w:rFonts w:hint="eastAsia"/>
          <w:color w:val="000000" w:themeColor="text1"/>
          <w:highlight w:val="none"/>
        </w:rPr>
        <w:t>，用于临时堆存施工期间进场路工程区基础开挖土方，根据施工时序回填于进场路工程区，用于路基回填用土。堆放期间，采用密目网苫盖和编织袋装土拦挡，道路工程区管沟开挖土方、施工生产生活区、施工便道区、表土暂存场和弃渣场截排水沟开挖土方，随挖随填用于场平，不进行临时堆放。建设期间合理安排工序，土方工程后期挖方与填方工程同时进行。</w:t>
      </w:r>
    </w:p>
    <w:p w14:paraId="353152B6">
      <w:pPr>
        <w:pageBreakBefore w:val="0"/>
        <w:wordWrap/>
        <w:topLinePunct w:val="0"/>
        <w:bidi w:val="0"/>
        <w:spacing w:line="360" w:lineRule="auto"/>
        <w:rPr>
          <w:rFonts w:ascii="Times New Roman" w:hAnsi="Times New Roman" w:cs="Times New Roman"/>
          <w:color w:val="000000" w:themeColor="text1"/>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09F21484">
      <w:pPr>
        <w:pageBreakBefore w:val="0"/>
        <w:wordWrap/>
        <w:topLinePunct w:val="0"/>
        <w:bidi w:val="0"/>
        <w:spacing w:line="360" w:lineRule="auto"/>
        <w:ind w:firstLine="0" w:firstLineChars="0"/>
        <w:jc w:val="center"/>
        <w:rPr>
          <w:b/>
          <w:color w:val="000000" w:themeColor="text1"/>
          <w:highlight w:val="none"/>
        </w:rPr>
      </w:pPr>
      <w:bookmarkStart w:id="255" w:name="_Hlk69301896"/>
      <w:bookmarkStart w:id="256" w:name="_Hlk77860165"/>
      <w:r>
        <w:rPr>
          <w:b/>
          <w:color w:val="000000" w:themeColor="text1"/>
          <w:highlight w:val="none"/>
        </w:rPr>
        <w:t>表3.1-</w:t>
      </w:r>
      <w:r>
        <w:rPr>
          <w:rFonts w:hint="eastAsia"/>
          <w:b/>
          <w:color w:val="000000" w:themeColor="text1"/>
          <w:highlight w:val="none"/>
          <w:lang w:val="en-US" w:eastAsia="zh-CN"/>
        </w:rPr>
        <w:t>13</w:t>
      </w:r>
      <w:r>
        <w:rPr>
          <w:b/>
          <w:color w:val="000000" w:themeColor="text1"/>
          <w:highlight w:val="none"/>
        </w:rPr>
        <w:t xml:space="preserve">  </w:t>
      </w:r>
      <w:r>
        <w:rPr>
          <w:rFonts w:hint="eastAsia"/>
          <w:b/>
          <w:color w:val="000000" w:themeColor="text1"/>
          <w:highlight w:val="none"/>
        </w:rPr>
        <w:t>临时</w:t>
      </w:r>
      <w:r>
        <w:rPr>
          <w:rFonts w:hint="eastAsia"/>
          <w:b/>
          <w:color w:val="000000" w:themeColor="text1"/>
          <w:highlight w:val="none"/>
          <w:lang w:val="en-US" w:eastAsia="zh-CN"/>
        </w:rPr>
        <w:t>堆</w:t>
      </w:r>
      <w:r>
        <w:rPr>
          <w:rFonts w:hint="eastAsia"/>
          <w:b/>
          <w:color w:val="000000" w:themeColor="text1"/>
          <w:highlight w:val="none"/>
        </w:rPr>
        <w:t>土场</w:t>
      </w:r>
      <w:r>
        <w:rPr>
          <w:b/>
          <w:color w:val="000000" w:themeColor="text1"/>
          <w:highlight w:val="none"/>
        </w:rPr>
        <w:t>布设情况表</w:t>
      </w:r>
    </w:p>
    <w:bookmarkEnd w:id="255"/>
    <w:bookmarkEnd w:id="256"/>
    <w:tbl>
      <w:tblPr>
        <w:tblStyle w:val="33"/>
        <w:tblW w:w="481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52"/>
        <w:gridCol w:w="733"/>
        <w:gridCol w:w="683"/>
        <w:gridCol w:w="600"/>
        <w:gridCol w:w="434"/>
        <w:gridCol w:w="666"/>
        <w:gridCol w:w="750"/>
        <w:gridCol w:w="667"/>
        <w:gridCol w:w="767"/>
        <w:gridCol w:w="466"/>
        <w:gridCol w:w="484"/>
        <w:gridCol w:w="2666"/>
        <w:gridCol w:w="2600"/>
        <w:gridCol w:w="1386"/>
      </w:tblGrid>
      <w:tr w14:paraId="3A79B5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 w:type="pct"/>
            <w:vMerge w:val="restart"/>
            <w:vAlign w:val="center"/>
          </w:tcPr>
          <w:p w14:paraId="0BEB77F3">
            <w:pPr>
              <w:pageBreakBefore w:val="0"/>
              <w:widowControl/>
              <w:wordWrap/>
              <w:topLinePunct w:val="0"/>
              <w:bidi w:val="0"/>
              <w:spacing w:line="360" w:lineRule="auto"/>
              <w:ind w:firstLine="0" w:firstLineChars="0"/>
              <w:jc w:val="center"/>
              <w:rPr>
                <w:color w:val="000000" w:themeColor="text1"/>
                <w:sz w:val="21"/>
                <w:szCs w:val="21"/>
                <w:highlight w:val="none"/>
              </w:rPr>
            </w:pPr>
            <w:bookmarkStart w:id="257" w:name="_Hlk77859772"/>
            <w:r>
              <w:rPr>
                <w:rFonts w:hint="eastAsia"/>
                <w:color w:val="000000" w:themeColor="text1"/>
                <w:sz w:val="21"/>
                <w:szCs w:val="21"/>
                <w:highlight w:val="none"/>
              </w:rPr>
              <w:t>临时</w:t>
            </w:r>
            <w:r>
              <w:rPr>
                <w:rFonts w:hint="eastAsia"/>
                <w:color w:val="000000" w:themeColor="text1"/>
                <w:sz w:val="21"/>
                <w:szCs w:val="21"/>
                <w:highlight w:val="none"/>
                <w:lang w:val="en-US" w:eastAsia="zh-CN"/>
              </w:rPr>
              <w:t>堆</w:t>
            </w:r>
            <w:r>
              <w:rPr>
                <w:rFonts w:hint="eastAsia"/>
                <w:color w:val="000000" w:themeColor="text1"/>
                <w:sz w:val="21"/>
                <w:szCs w:val="21"/>
                <w:highlight w:val="none"/>
              </w:rPr>
              <w:t>土场名称</w:t>
            </w:r>
          </w:p>
        </w:tc>
        <w:tc>
          <w:tcPr>
            <w:tcW w:w="268" w:type="pct"/>
            <w:vMerge w:val="restart"/>
            <w:noWrap/>
            <w:vAlign w:val="center"/>
          </w:tcPr>
          <w:p w14:paraId="58E015B7">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起讫桩号</w:t>
            </w:r>
          </w:p>
        </w:tc>
        <w:tc>
          <w:tcPr>
            <w:tcW w:w="628" w:type="pct"/>
            <w:gridSpan w:val="3"/>
            <w:noWrap/>
            <w:vAlign w:val="center"/>
          </w:tcPr>
          <w:p w14:paraId="304930B7">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临时</w:t>
            </w:r>
            <w:r>
              <w:rPr>
                <w:rFonts w:hint="eastAsia"/>
                <w:color w:val="000000" w:themeColor="text1"/>
                <w:sz w:val="21"/>
                <w:szCs w:val="21"/>
                <w:highlight w:val="none"/>
                <w:lang w:val="en-US" w:eastAsia="zh-CN"/>
              </w:rPr>
              <w:t>堆</w:t>
            </w:r>
            <w:r>
              <w:rPr>
                <w:rFonts w:hint="eastAsia"/>
                <w:color w:val="000000" w:themeColor="text1"/>
                <w:sz w:val="21"/>
                <w:szCs w:val="21"/>
                <w:highlight w:val="none"/>
              </w:rPr>
              <w:t>场</w:t>
            </w:r>
            <w:r>
              <w:rPr>
                <w:color w:val="000000" w:themeColor="text1"/>
                <w:sz w:val="21"/>
                <w:szCs w:val="21"/>
                <w:highlight w:val="none"/>
              </w:rPr>
              <w:t>位置</w:t>
            </w:r>
          </w:p>
        </w:tc>
        <w:tc>
          <w:tcPr>
            <w:tcW w:w="1214" w:type="pct"/>
            <w:gridSpan w:val="5"/>
            <w:vAlign w:val="center"/>
          </w:tcPr>
          <w:p w14:paraId="0BB116BA">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临时</w:t>
            </w:r>
            <w:r>
              <w:rPr>
                <w:rFonts w:hint="eastAsia"/>
                <w:color w:val="000000" w:themeColor="text1"/>
                <w:sz w:val="21"/>
                <w:szCs w:val="21"/>
                <w:highlight w:val="none"/>
                <w:lang w:val="en-US" w:eastAsia="zh-CN"/>
              </w:rPr>
              <w:t>堆</w:t>
            </w:r>
            <w:r>
              <w:rPr>
                <w:rFonts w:hint="eastAsia"/>
                <w:color w:val="000000" w:themeColor="text1"/>
                <w:sz w:val="21"/>
                <w:szCs w:val="21"/>
                <w:highlight w:val="none"/>
              </w:rPr>
              <w:t>土场</w:t>
            </w:r>
            <w:r>
              <w:rPr>
                <w:color w:val="000000" w:themeColor="text1"/>
                <w:sz w:val="21"/>
                <w:szCs w:val="21"/>
                <w:highlight w:val="none"/>
              </w:rPr>
              <w:t>特征</w:t>
            </w:r>
          </w:p>
        </w:tc>
        <w:tc>
          <w:tcPr>
            <w:tcW w:w="177" w:type="pct"/>
            <w:vMerge w:val="restart"/>
            <w:noWrap/>
            <w:vAlign w:val="center"/>
          </w:tcPr>
          <w:p w14:paraId="6FEB44A2">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土地权属</w:t>
            </w:r>
          </w:p>
        </w:tc>
        <w:tc>
          <w:tcPr>
            <w:tcW w:w="976" w:type="pct"/>
            <w:vMerge w:val="restart"/>
            <w:noWrap/>
            <w:vAlign w:val="center"/>
          </w:tcPr>
          <w:p w14:paraId="04665296">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现状照片</w:t>
            </w:r>
          </w:p>
        </w:tc>
        <w:tc>
          <w:tcPr>
            <w:tcW w:w="952" w:type="pct"/>
            <w:vMerge w:val="restart"/>
            <w:vAlign w:val="center"/>
          </w:tcPr>
          <w:p w14:paraId="3EDF513F">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与线路位置关系</w:t>
            </w:r>
          </w:p>
        </w:tc>
        <w:tc>
          <w:tcPr>
            <w:tcW w:w="507" w:type="pct"/>
            <w:vMerge w:val="restart"/>
            <w:vAlign w:val="center"/>
          </w:tcPr>
          <w:p w14:paraId="4276A11E">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外环境关系</w:t>
            </w:r>
          </w:p>
        </w:tc>
      </w:tr>
      <w:tr w14:paraId="1837DB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 w:type="pct"/>
            <w:vMerge w:val="continue"/>
            <w:vAlign w:val="center"/>
          </w:tcPr>
          <w:p w14:paraId="5CEC7ECC">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268" w:type="pct"/>
            <w:vMerge w:val="continue"/>
            <w:vAlign w:val="center"/>
          </w:tcPr>
          <w:p w14:paraId="3C517961">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250" w:type="pct"/>
            <w:vMerge w:val="restart"/>
            <w:noWrap/>
            <w:vAlign w:val="center"/>
          </w:tcPr>
          <w:p w14:paraId="4DD10588">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上路桩号</w:t>
            </w:r>
          </w:p>
        </w:tc>
        <w:tc>
          <w:tcPr>
            <w:tcW w:w="378" w:type="pct"/>
            <w:gridSpan w:val="2"/>
            <w:noWrap/>
            <w:vAlign w:val="center"/>
          </w:tcPr>
          <w:p w14:paraId="6BCE7849">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支线长度(m)</w:t>
            </w:r>
          </w:p>
        </w:tc>
        <w:tc>
          <w:tcPr>
            <w:tcW w:w="243" w:type="pct"/>
            <w:noWrap/>
            <w:vAlign w:val="center"/>
          </w:tcPr>
          <w:p w14:paraId="68C2C505">
            <w:pPr>
              <w:pageBreakBefore w:val="0"/>
              <w:widowControl/>
              <w:wordWrap/>
              <w:topLinePunct w:val="0"/>
              <w:bidi w:val="0"/>
              <w:spacing w:line="36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堆土量</w:t>
            </w:r>
          </w:p>
        </w:tc>
        <w:tc>
          <w:tcPr>
            <w:tcW w:w="274" w:type="pct"/>
            <w:noWrap/>
            <w:vAlign w:val="center"/>
          </w:tcPr>
          <w:p w14:paraId="15675E9A">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面积</w:t>
            </w:r>
          </w:p>
        </w:tc>
        <w:tc>
          <w:tcPr>
            <w:tcW w:w="695" w:type="pct"/>
            <w:gridSpan w:val="3"/>
            <w:noWrap/>
            <w:vAlign w:val="center"/>
          </w:tcPr>
          <w:p w14:paraId="0C396A6E">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占地类型（hm</w:t>
            </w:r>
            <w:r>
              <w:rPr>
                <w:color w:val="000000" w:themeColor="text1"/>
                <w:sz w:val="21"/>
                <w:szCs w:val="21"/>
                <w:highlight w:val="none"/>
                <w:vertAlign w:val="superscript"/>
              </w:rPr>
              <w:t>2</w:t>
            </w:r>
            <w:r>
              <w:rPr>
                <w:color w:val="000000" w:themeColor="text1"/>
                <w:sz w:val="21"/>
                <w:szCs w:val="21"/>
                <w:highlight w:val="none"/>
              </w:rPr>
              <w:t>）</w:t>
            </w:r>
          </w:p>
        </w:tc>
        <w:tc>
          <w:tcPr>
            <w:tcW w:w="177" w:type="pct"/>
            <w:vMerge w:val="continue"/>
            <w:vAlign w:val="center"/>
          </w:tcPr>
          <w:p w14:paraId="3F7CEB60">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976" w:type="pct"/>
            <w:vMerge w:val="continue"/>
            <w:vAlign w:val="center"/>
          </w:tcPr>
          <w:p w14:paraId="72F2B085">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952" w:type="pct"/>
            <w:vMerge w:val="continue"/>
          </w:tcPr>
          <w:p w14:paraId="10C2C41C">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507" w:type="pct"/>
            <w:vMerge w:val="continue"/>
          </w:tcPr>
          <w:p w14:paraId="22A308CB">
            <w:pPr>
              <w:pageBreakBefore w:val="0"/>
              <w:widowControl/>
              <w:wordWrap/>
              <w:topLinePunct w:val="0"/>
              <w:bidi w:val="0"/>
              <w:spacing w:line="360" w:lineRule="auto"/>
              <w:ind w:firstLine="0" w:firstLineChars="0"/>
              <w:jc w:val="center"/>
              <w:rPr>
                <w:color w:val="000000" w:themeColor="text1"/>
                <w:sz w:val="21"/>
                <w:szCs w:val="21"/>
                <w:highlight w:val="none"/>
              </w:rPr>
            </w:pPr>
          </w:p>
        </w:tc>
      </w:tr>
      <w:tr w14:paraId="4A8944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 w:type="pct"/>
            <w:vMerge w:val="continue"/>
            <w:vAlign w:val="center"/>
          </w:tcPr>
          <w:p w14:paraId="4424FB8B">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268" w:type="pct"/>
            <w:vMerge w:val="continue"/>
            <w:vAlign w:val="center"/>
          </w:tcPr>
          <w:p w14:paraId="0AD971CC">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250" w:type="pct"/>
            <w:vMerge w:val="continue"/>
            <w:vAlign w:val="center"/>
          </w:tcPr>
          <w:p w14:paraId="76EE3285">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219" w:type="pct"/>
            <w:noWrap/>
            <w:vAlign w:val="center"/>
          </w:tcPr>
          <w:p w14:paraId="40EE4F26">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左</w:t>
            </w:r>
          </w:p>
        </w:tc>
        <w:tc>
          <w:tcPr>
            <w:tcW w:w="158" w:type="pct"/>
            <w:noWrap/>
            <w:vAlign w:val="center"/>
          </w:tcPr>
          <w:p w14:paraId="2C31FD92">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右</w:t>
            </w:r>
          </w:p>
        </w:tc>
        <w:tc>
          <w:tcPr>
            <w:tcW w:w="243" w:type="pct"/>
            <w:noWrap/>
            <w:vAlign w:val="center"/>
          </w:tcPr>
          <w:p w14:paraId="60841206">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w:t>
            </w:r>
            <w:r>
              <w:rPr>
                <w:rFonts w:hint="eastAsia"/>
                <w:color w:val="000000" w:themeColor="text1"/>
                <w:sz w:val="21"/>
                <w:szCs w:val="21"/>
                <w:highlight w:val="none"/>
                <w:lang w:val="en-US" w:eastAsia="zh-CN"/>
              </w:rPr>
              <w:t>万</w:t>
            </w:r>
            <w:r>
              <w:rPr>
                <w:color w:val="000000" w:themeColor="text1"/>
                <w:sz w:val="21"/>
                <w:szCs w:val="21"/>
                <w:highlight w:val="none"/>
              </w:rPr>
              <w:t>m</w:t>
            </w:r>
            <w:r>
              <w:rPr>
                <w:color w:val="000000" w:themeColor="text1"/>
                <w:sz w:val="21"/>
                <w:szCs w:val="21"/>
                <w:highlight w:val="none"/>
                <w:vertAlign w:val="superscript"/>
              </w:rPr>
              <w:t>3</w:t>
            </w:r>
            <w:r>
              <w:rPr>
                <w:color w:val="000000" w:themeColor="text1"/>
                <w:sz w:val="21"/>
                <w:szCs w:val="21"/>
                <w:highlight w:val="none"/>
              </w:rPr>
              <w:t>)</w:t>
            </w:r>
          </w:p>
        </w:tc>
        <w:tc>
          <w:tcPr>
            <w:tcW w:w="274" w:type="pct"/>
            <w:noWrap/>
            <w:vAlign w:val="center"/>
          </w:tcPr>
          <w:p w14:paraId="01323963">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w:t>
            </w:r>
            <w:r>
              <w:rPr>
                <w:rFonts w:hint="eastAsia"/>
                <w:color w:val="000000" w:themeColor="text1"/>
                <w:sz w:val="21"/>
                <w:szCs w:val="21"/>
                <w:highlight w:val="none"/>
              </w:rPr>
              <w:t>h</w:t>
            </w:r>
            <w:r>
              <w:rPr>
                <w:color w:val="000000" w:themeColor="text1"/>
                <w:sz w:val="21"/>
                <w:szCs w:val="21"/>
                <w:highlight w:val="none"/>
              </w:rPr>
              <w:t>m</w:t>
            </w:r>
            <w:r>
              <w:rPr>
                <w:color w:val="000000" w:themeColor="text1"/>
                <w:sz w:val="21"/>
                <w:szCs w:val="21"/>
                <w:highlight w:val="none"/>
                <w:vertAlign w:val="superscript"/>
              </w:rPr>
              <w:t>2</w:t>
            </w:r>
            <w:r>
              <w:rPr>
                <w:color w:val="000000" w:themeColor="text1"/>
                <w:sz w:val="21"/>
                <w:szCs w:val="21"/>
                <w:highlight w:val="none"/>
              </w:rPr>
              <w:t>)</w:t>
            </w:r>
          </w:p>
        </w:tc>
        <w:tc>
          <w:tcPr>
            <w:tcW w:w="244" w:type="pct"/>
            <w:noWrap/>
            <w:vAlign w:val="center"/>
          </w:tcPr>
          <w:p w14:paraId="6188D0D3">
            <w:pPr>
              <w:pageBreakBefore w:val="0"/>
              <w:widowControl/>
              <w:wordWrap/>
              <w:topLinePunct w:val="0"/>
              <w:bidi w:val="0"/>
              <w:spacing w:line="36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其他用地</w:t>
            </w:r>
          </w:p>
        </w:tc>
        <w:tc>
          <w:tcPr>
            <w:tcW w:w="280" w:type="pct"/>
            <w:noWrap/>
            <w:vAlign w:val="center"/>
          </w:tcPr>
          <w:p w14:paraId="5E55092F">
            <w:pPr>
              <w:pageBreakBefore w:val="0"/>
              <w:widowControl/>
              <w:wordWrap/>
              <w:topLinePunct w:val="0"/>
              <w:bidi w:val="0"/>
              <w:spacing w:line="36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耕地</w:t>
            </w:r>
          </w:p>
        </w:tc>
        <w:tc>
          <w:tcPr>
            <w:tcW w:w="170" w:type="pct"/>
            <w:noWrap/>
            <w:vAlign w:val="center"/>
          </w:tcPr>
          <w:p w14:paraId="237DCDFD">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林地</w:t>
            </w:r>
          </w:p>
        </w:tc>
        <w:tc>
          <w:tcPr>
            <w:tcW w:w="177" w:type="pct"/>
            <w:vMerge w:val="continue"/>
            <w:vAlign w:val="center"/>
          </w:tcPr>
          <w:p w14:paraId="1265628D">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976" w:type="pct"/>
            <w:vMerge w:val="continue"/>
            <w:vAlign w:val="center"/>
          </w:tcPr>
          <w:p w14:paraId="651F1E77">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952" w:type="pct"/>
            <w:vMerge w:val="continue"/>
          </w:tcPr>
          <w:p w14:paraId="52FCC51E">
            <w:pPr>
              <w:pageBreakBefore w:val="0"/>
              <w:widowControl/>
              <w:wordWrap/>
              <w:topLinePunct w:val="0"/>
              <w:bidi w:val="0"/>
              <w:spacing w:line="360" w:lineRule="auto"/>
              <w:ind w:firstLine="0" w:firstLineChars="0"/>
              <w:jc w:val="center"/>
              <w:rPr>
                <w:color w:val="000000" w:themeColor="text1"/>
                <w:sz w:val="21"/>
                <w:szCs w:val="21"/>
                <w:highlight w:val="none"/>
              </w:rPr>
            </w:pPr>
          </w:p>
        </w:tc>
        <w:tc>
          <w:tcPr>
            <w:tcW w:w="507" w:type="pct"/>
            <w:vMerge w:val="continue"/>
          </w:tcPr>
          <w:p w14:paraId="07794801">
            <w:pPr>
              <w:pageBreakBefore w:val="0"/>
              <w:widowControl/>
              <w:wordWrap/>
              <w:topLinePunct w:val="0"/>
              <w:bidi w:val="0"/>
              <w:spacing w:line="360" w:lineRule="auto"/>
              <w:ind w:firstLine="0" w:firstLineChars="0"/>
              <w:jc w:val="center"/>
              <w:rPr>
                <w:color w:val="000000" w:themeColor="text1"/>
                <w:sz w:val="21"/>
                <w:szCs w:val="21"/>
                <w:highlight w:val="none"/>
              </w:rPr>
            </w:pPr>
          </w:p>
        </w:tc>
      </w:tr>
      <w:tr w14:paraId="7E7022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 w:type="pct"/>
            <w:shd w:val="clear" w:color="auto" w:fill="auto"/>
            <w:vAlign w:val="center"/>
          </w:tcPr>
          <w:p w14:paraId="5C34EB4B">
            <w:pPr>
              <w:pageBreakBefore w:val="0"/>
              <w:widowControl/>
              <w:wordWrap/>
              <w:topLinePunct w:val="0"/>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1#表土临时堆土场</w:t>
            </w:r>
          </w:p>
        </w:tc>
        <w:tc>
          <w:tcPr>
            <w:tcW w:w="268" w:type="pct"/>
            <w:noWrap/>
            <w:vAlign w:val="center"/>
          </w:tcPr>
          <w:p w14:paraId="54F0B5F3">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B</w:t>
            </w:r>
            <w:r>
              <w:rPr>
                <w:rFonts w:hint="eastAsia"/>
                <w:color w:val="000000" w:themeColor="text1"/>
                <w:sz w:val="21"/>
                <w:szCs w:val="21"/>
                <w:highlight w:val="none"/>
              </w:rPr>
              <w:t>K</w:t>
            </w:r>
            <w:r>
              <w:rPr>
                <w:rFonts w:hint="eastAsia"/>
                <w:color w:val="000000" w:themeColor="text1"/>
                <w:sz w:val="21"/>
                <w:szCs w:val="21"/>
                <w:highlight w:val="none"/>
                <w:lang w:val="en-US" w:eastAsia="zh-CN"/>
              </w:rPr>
              <w:t>0</w:t>
            </w:r>
            <w:r>
              <w:rPr>
                <w:color w:val="000000" w:themeColor="text1"/>
                <w:sz w:val="21"/>
                <w:szCs w:val="21"/>
                <w:highlight w:val="none"/>
              </w:rPr>
              <w:t>+</w:t>
            </w:r>
            <w:r>
              <w:rPr>
                <w:rFonts w:hint="eastAsia"/>
                <w:color w:val="000000" w:themeColor="text1"/>
                <w:sz w:val="21"/>
                <w:szCs w:val="21"/>
                <w:highlight w:val="none"/>
                <w:lang w:val="en-US" w:eastAsia="zh-CN"/>
              </w:rPr>
              <w:t>00</w:t>
            </w:r>
            <w:r>
              <w:rPr>
                <w:color w:val="000000" w:themeColor="text1"/>
                <w:sz w:val="21"/>
                <w:szCs w:val="21"/>
                <w:highlight w:val="none"/>
              </w:rPr>
              <w:t>0</w:t>
            </w:r>
            <w:r>
              <w:rPr>
                <w:rFonts w:hint="eastAsia"/>
                <w:color w:val="000000" w:themeColor="text1"/>
                <w:sz w:val="21"/>
                <w:szCs w:val="21"/>
                <w:highlight w:val="none"/>
              </w:rPr>
              <w:t>~</w:t>
            </w:r>
          </w:p>
          <w:p w14:paraId="7A5BAD17">
            <w:pPr>
              <w:pageBreakBefore w:val="0"/>
              <w:widowControl/>
              <w:wordWrap/>
              <w:topLinePunct w:val="0"/>
              <w:bidi w:val="0"/>
              <w:spacing w:line="36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B</w:t>
            </w:r>
            <w:r>
              <w:rPr>
                <w:rFonts w:hint="eastAsia"/>
                <w:color w:val="000000" w:themeColor="text1"/>
                <w:sz w:val="21"/>
                <w:szCs w:val="21"/>
                <w:highlight w:val="none"/>
              </w:rPr>
              <w:t>K</w:t>
            </w:r>
            <w:r>
              <w:rPr>
                <w:color w:val="000000" w:themeColor="text1"/>
                <w:sz w:val="21"/>
                <w:szCs w:val="21"/>
                <w:highlight w:val="none"/>
              </w:rPr>
              <w:t>0+</w:t>
            </w:r>
            <w:r>
              <w:rPr>
                <w:rFonts w:hint="eastAsia"/>
                <w:color w:val="000000" w:themeColor="text1"/>
                <w:sz w:val="21"/>
                <w:szCs w:val="21"/>
                <w:highlight w:val="none"/>
                <w:lang w:val="en-US" w:eastAsia="zh-CN"/>
              </w:rPr>
              <w:t>223</w:t>
            </w:r>
          </w:p>
        </w:tc>
        <w:tc>
          <w:tcPr>
            <w:tcW w:w="250" w:type="pct"/>
            <w:noWrap/>
            <w:vAlign w:val="center"/>
          </w:tcPr>
          <w:p w14:paraId="5113EA73">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B</w:t>
            </w:r>
            <w:r>
              <w:rPr>
                <w:rFonts w:hint="eastAsia"/>
                <w:color w:val="000000" w:themeColor="text1"/>
                <w:sz w:val="21"/>
                <w:szCs w:val="21"/>
                <w:highlight w:val="none"/>
              </w:rPr>
              <w:t>K</w:t>
            </w:r>
            <w:r>
              <w:rPr>
                <w:rFonts w:hint="eastAsia"/>
                <w:color w:val="000000" w:themeColor="text1"/>
                <w:sz w:val="21"/>
                <w:szCs w:val="21"/>
                <w:highlight w:val="none"/>
                <w:lang w:val="en-US" w:eastAsia="zh-CN"/>
              </w:rPr>
              <w:t>0</w:t>
            </w:r>
            <w:r>
              <w:rPr>
                <w:color w:val="000000" w:themeColor="text1"/>
                <w:sz w:val="21"/>
                <w:szCs w:val="21"/>
                <w:highlight w:val="none"/>
              </w:rPr>
              <w:t>+</w:t>
            </w:r>
            <w:r>
              <w:rPr>
                <w:rFonts w:hint="eastAsia"/>
                <w:color w:val="000000" w:themeColor="text1"/>
                <w:sz w:val="21"/>
                <w:szCs w:val="21"/>
                <w:highlight w:val="none"/>
                <w:lang w:val="en-US" w:eastAsia="zh-CN"/>
              </w:rPr>
              <w:t>00</w:t>
            </w:r>
            <w:r>
              <w:rPr>
                <w:color w:val="000000" w:themeColor="text1"/>
                <w:sz w:val="21"/>
                <w:szCs w:val="21"/>
                <w:highlight w:val="none"/>
              </w:rPr>
              <w:t>0</w:t>
            </w:r>
          </w:p>
        </w:tc>
        <w:tc>
          <w:tcPr>
            <w:tcW w:w="219" w:type="pct"/>
            <w:noWrap/>
            <w:vAlign w:val="center"/>
          </w:tcPr>
          <w:p w14:paraId="37530321">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58" w:type="pct"/>
            <w:noWrap/>
            <w:vAlign w:val="center"/>
          </w:tcPr>
          <w:p w14:paraId="545BEC72">
            <w:pPr>
              <w:pageBreakBefore w:val="0"/>
              <w:widowControl/>
              <w:wordWrap/>
              <w:topLinePunct w:val="0"/>
              <w:bidi w:val="0"/>
              <w:spacing w:line="36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70</w:t>
            </w:r>
          </w:p>
        </w:tc>
        <w:tc>
          <w:tcPr>
            <w:tcW w:w="243" w:type="pct"/>
            <w:noWrap/>
            <w:vAlign w:val="center"/>
          </w:tcPr>
          <w:p w14:paraId="63A2E5A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eastAsia="宋体"/>
                <w:b/>
                <w:bCs/>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4.24</w:t>
            </w:r>
          </w:p>
        </w:tc>
        <w:tc>
          <w:tcPr>
            <w:tcW w:w="274" w:type="pct"/>
            <w:noWrap/>
            <w:vAlign w:val="center"/>
          </w:tcPr>
          <w:p w14:paraId="54B6D1F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eastAsia="宋体"/>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0.8</w:t>
            </w:r>
          </w:p>
        </w:tc>
        <w:tc>
          <w:tcPr>
            <w:tcW w:w="244" w:type="pct"/>
            <w:shd w:val="clear" w:color="auto" w:fill="auto"/>
            <w:noWrap/>
            <w:vAlign w:val="center"/>
          </w:tcPr>
          <w:p w14:paraId="44565A3D">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0.8</w:t>
            </w:r>
          </w:p>
        </w:tc>
        <w:tc>
          <w:tcPr>
            <w:tcW w:w="280" w:type="pct"/>
            <w:shd w:val="clear" w:color="auto" w:fill="auto"/>
            <w:noWrap/>
            <w:vAlign w:val="center"/>
          </w:tcPr>
          <w:p w14:paraId="7CFDD02D">
            <w:pPr>
              <w:pageBreakBefore w:val="0"/>
              <w:widowControl/>
              <w:wordWrap/>
              <w:topLinePunct w:val="0"/>
              <w:bidi w:val="0"/>
              <w:spacing w:line="36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w:t>
            </w:r>
          </w:p>
        </w:tc>
        <w:tc>
          <w:tcPr>
            <w:tcW w:w="170" w:type="pct"/>
            <w:noWrap/>
            <w:vAlign w:val="center"/>
          </w:tcPr>
          <w:p w14:paraId="440AFD60">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77" w:type="pct"/>
            <w:vAlign w:val="center"/>
          </w:tcPr>
          <w:p w14:paraId="15A7324A">
            <w:pPr>
              <w:pageBreakBefore w:val="0"/>
              <w:widowControl/>
              <w:wordWrap/>
              <w:topLinePunct w:val="0"/>
              <w:bidi w:val="0"/>
              <w:spacing w:line="36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鹤岗市</w:t>
            </w:r>
          </w:p>
        </w:tc>
        <w:tc>
          <w:tcPr>
            <w:tcW w:w="976" w:type="pct"/>
            <w:vAlign w:val="center"/>
          </w:tcPr>
          <w:p w14:paraId="5A8E18D5">
            <w:pPr>
              <w:pageBreakBefore w:val="0"/>
              <w:widowControl/>
              <w:wordWrap/>
              <w:topLinePunct w:val="0"/>
              <w:bidi w:val="0"/>
              <w:spacing w:line="360" w:lineRule="auto"/>
              <w:ind w:firstLine="0" w:firstLineChars="0"/>
              <w:jc w:val="center"/>
              <w:rPr>
                <w:rFonts w:hint="eastAsia" w:eastAsia="宋体"/>
                <w:color w:val="000000" w:themeColor="text1"/>
                <w:sz w:val="21"/>
                <w:szCs w:val="21"/>
                <w:highlight w:val="none"/>
                <w:lang w:eastAsia="zh-CN"/>
              </w:rPr>
            </w:pPr>
            <w:r>
              <w:rPr>
                <w:rFonts w:hint="eastAsia" w:eastAsia="宋体"/>
                <w:color w:val="000000" w:themeColor="text1"/>
                <w:sz w:val="21"/>
                <w:szCs w:val="21"/>
                <w:highlight w:val="none"/>
                <w:lang w:eastAsia="zh-CN"/>
              </w:rPr>
              <w:drawing>
                <wp:inline distT="0" distB="0" distL="114300" distR="114300">
                  <wp:extent cx="1583055" cy="1215390"/>
                  <wp:effectExtent l="0" t="0" r="1905" b="3810"/>
                  <wp:docPr id="59" name="图片 59" descr="170122837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701228372943"/>
                          <pic:cNvPicPr>
                            <a:picLocks noChangeAspect="1"/>
                          </pic:cNvPicPr>
                        </pic:nvPicPr>
                        <pic:blipFill>
                          <a:blip r:embed="rId32"/>
                          <a:stretch>
                            <a:fillRect/>
                          </a:stretch>
                        </pic:blipFill>
                        <pic:spPr>
                          <a:xfrm>
                            <a:off x="0" y="0"/>
                            <a:ext cx="1583055" cy="1215390"/>
                          </a:xfrm>
                          <a:prstGeom prst="rect">
                            <a:avLst/>
                          </a:prstGeom>
                        </pic:spPr>
                      </pic:pic>
                    </a:graphicData>
                  </a:graphic>
                </wp:inline>
              </w:drawing>
            </w:r>
          </w:p>
        </w:tc>
        <w:tc>
          <w:tcPr>
            <w:tcW w:w="952" w:type="pct"/>
            <w:vAlign w:val="center"/>
          </w:tcPr>
          <w:p w14:paraId="09FAC088">
            <w:pPr>
              <w:pageBreakBefore w:val="0"/>
              <w:widowControl/>
              <w:wordWrap/>
              <w:topLinePunct w:val="0"/>
              <w:bidi w:val="0"/>
              <w:spacing w:line="360" w:lineRule="auto"/>
              <w:ind w:firstLine="0" w:firstLineChars="0"/>
              <w:jc w:val="center"/>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1534160" cy="1046480"/>
                  <wp:effectExtent l="0" t="0" r="5080" b="5080"/>
                  <wp:docPr id="58" name="图片 58" descr="e44b10fe-9da0-4b3e-8c95-72caa2b7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44b10fe-9da0-4b3e-8c95-72caa2b71768"/>
                          <pic:cNvPicPr>
                            <a:picLocks noChangeAspect="1"/>
                          </pic:cNvPicPr>
                        </pic:nvPicPr>
                        <pic:blipFill>
                          <a:blip r:embed="rId33"/>
                          <a:stretch>
                            <a:fillRect/>
                          </a:stretch>
                        </pic:blipFill>
                        <pic:spPr>
                          <a:xfrm>
                            <a:off x="0" y="0"/>
                            <a:ext cx="1534160" cy="1046480"/>
                          </a:xfrm>
                          <a:prstGeom prst="rect">
                            <a:avLst/>
                          </a:prstGeom>
                        </pic:spPr>
                      </pic:pic>
                    </a:graphicData>
                  </a:graphic>
                </wp:inline>
              </w:drawing>
            </w:r>
          </w:p>
        </w:tc>
        <w:tc>
          <w:tcPr>
            <w:tcW w:w="507" w:type="pct"/>
            <w:vAlign w:val="center"/>
          </w:tcPr>
          <w:p w14:paraId="19A4A7D0">
            <w:pPr>
              <w:pageBreakBefore w:val="0"/>
              <w:widowControl/>
              <w:wordWrap/>
              <w:topLinePunct w:val="0"/>
              <w:bidi w:val="0"/>
              <w:spacing w:line="360" w:lineRule="auto"/>
              <w:ind w:firstLine="0" w:firstLineChars="0"/>
              <w:jc w:val="center"/>
              <w:rPr>
                <w:rFonts w:hint="eastAsia" w:eastAsia="宋体"/>
                <w:color w:val="000000" w:themeColor="text1"/>
                <w:highlight w:val="none"/>
                <w:lang w:val="en-US" w:eastAsia="zh-CN"/>
              </w:rPr>
            </w:pPr>
            <w:r>
              <w:rPr>
                <w:color w:val="000000" w:themeColor="text1"/>
                <w:sz w:val="21"/>
                <w:szCs w:val="21"/>
                <w:highlight w:val="none"/>
              </w:rPr>
              <w:t>占地类型为</w:t>
            </w:r>
            <w:r>
              <w:rPr>
                <w:rFonts w:hint="eastAsia"/>
                <w:color w:val="000000" w:themeColor="text1"/>
                <w:sz w:val="21"/>
                <w:szCs w:val="21"/>
                <w:highlight w:val="none"/>
                <w:lang w:val="en-US" w:eastAsia="zh-CN"/>
              </w:rPr>
              <w:t>其他用地</w:t>
            </w:r>
            <w:r>
              <w:rPr>
                <w:color w:val="000000" w:themeColor="text1"/>
                <w:sz w:val="21"/>
                <w:szCs w:val="21"/>
                <w:highlight w:val="none"/>
              </w:rPr>
              <w:t>，</w:t>
            </w:r>
            <w:r>
              <w:rPr>
                <w:rFonts w:hint="eastAsia"/>
                <w:color w:val="000000" w:themeColor="text1"/>
                <w:sz w:val="21"/>
                <w:szCs w:val="21"/>
                <w:highlight w:val="none"/>
              </w:rPr>
              <w:t>临时</w:t>
            </w:r>
            <w:r>
              <w:rPr>
                <w:rFonts w:hint="eastAsia"/>
                <w:color w:val="000000" w:themeColor="text1"/>
                <w:sz w:val="21"/>
                <w:szCs w:val="21"/>
                <w:highlight w:val="none"/>
                <w:lang w:val="en-US" w:eastAsia="zh-CN"/>
              </w:rPr>
              <w:t>堆</w:t>
            </w:r>
            <w:r>
              <w:rPr>
                <w:rFonts w:hint="eastAsia"/>
                <w:color w:val="000000" w:themeColor="text1"/>
                <w:sz w:val="21"/>
                <w:szCs w:val="21"/>
                <w:highlight w:val="none"/>
              </w:rPr>
              <w:t>土场周边现状为农田</w:t>
            </w:r>
            <w:r>
              <w:rPr>
                <w:rFonts w:hint="eastAsia"/>
                <w:color w:val="000000" w:themeColor="text1"/>
                <w:sz w:val="21"/>
                <w:szCs w:val="21"/>
                <w:highlight w:val="none"/>
                <w:lang w:eastAsia="zh-CN"/>
              </w:rPr>
              <w:t>、</w:t>
            </w:r>
            <w:r>
              <w:rPr>
                <w:rFonts w:hint="eastAsia"/>
                <w:color w:val="000000" w:themeColor="text1"/>
                <w:sz w:val="21"/>
                <w:szCs w:val="21"/>
                <w:highlight w:val="none"/>
              </w:rPr>
              <w:t>草地及</w:t>
            </w:r>
            <w:r>
              <w:rPr>
                <w:rFonts w:hint="eastAsia"/>
                <w:color w:val="000000" w:themeColor="text1"/>
                <w:sz w:val="21"/>
                <w:szCs w:val="21"/>
                <w:highlight w:val="none"/>
                <w:lang w:val="en-US" w:eastAsia="zh-CN"/>
              </w:rPr>
              <w:t>林地</w:t>
            </w:r>
          </w:p>
        </w:tc>
      </w:tr>
      <w:tr w14:paraId="09BFA7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5" w:type="pct"/>
            <w:shd w:val="clear" w:color="auto" w:fill="auto"/>
            <w:vAlign w:val="center"/>
          </w:tcPr>
          <w:p w14:paraId="13D93304">
            <w:pPr>
              <w:pageBreakBefore w:val="0"/>
              <w:widowControl/>
              <w:wordWrap/>
              <w:topLinePunct w:val="0"/>
              <w:bidi w:val="0"/>
              <w:spacing w:line="240" w:lineRule="auto"/>
              <w:ind w:firstLine="0" w:firstLineChars="0"/>
              <w:jc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2#挖方临时堆土场</w:t>
            </w:r>
          </w:p>
        </w:tc>
        <w:tc>
          <w:tcPr>
            <w:tcW w:w="268" w:type="pct"/>
            <w:noWrap/>
            <w:vAlign w:val="center"/>
          </w:tcPr>
          <w:p w14:paraId="04C003D1">
            <w:pPr>
              <w:pageBreakBefore w:val="0"/>
              <w:widowControl/>
              <w:wordWrap/>
              <w:topLinePunct w:val="0"/>
              <w:bidi w:val="0"/>
              <w:spacing w:line="36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K4+300~K6+150</w:t>
            </w:r>
          </w:p>
        </w:tc>
        <w:tc>
          <w:tcPr>
            <w:tcW w:w="250" w:type="pct"/>
            <w:noWrap/>
            <w:vAlign w:val="center"/>
          </w:tcPr>
          <w:p w14:paraId="744E237A">
            <w:pPr>
              <w:pageBreakBefore w:val="0"/>
              <w:widowControl/>
              <w:wordWrap/>
              <w:topLinePunct w:val="0"/>
              <w:bidi w:val="0"/>
              <w:spacing w:line="36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K4+300~K6+150</w:t>
            </w:r>
          </w:p>
        </w:tc>
        <w:tc>
          <w:tcPr>
            <w:tcW w:w="219" w:type="pct"/>
            <w:noWrap/>
            <w:vAlign w:val="center"/>
          </w:tcPr>
          <w:p w14:paraId="4C262843">
            <w:pPr>
              <w:pageBreakBefore w:val="0"/>
              <w:widowControl/>
              <w:wordWrap/>
              <w:topLinePunct w:val="0"/>
              <w:bidi w:val="0"/>
              <w:spacing w:line="360" w:lineRule="auto"/>
              <w:ind w:firstLine="0" w:firstLineChars="0"/>
              <w:jc w:val="center"/>
              <w:rPr>
                <w:rFonts w:hint="eastAsia"/>
                <w:color w:val="000000" w:themeColor="text1"/>
                <w:sz w:val="21"/>
                <w:szCs w:val="21"/>
                <w:highlight w:val="none"/>
              </w:rPr>
            </w:pPr>
            <w:r>
              <w:rPr>
                <w:rFonts w:hint="eastAsia"/>
                <w:color w:val="000000" w:themeColor="text1"/>
                <w:sz w:val="21"/>
                <w:szCs w:val="21"/>
                <w:highlight w:val="none"/>
              </w:rPr>
              <w:t>/</w:t>
            </w:r>
          </w:p>
        </w:tc>
        <w:tc>
          <w:tcPr>
            <w:tcW w:w="158" w:type="pct"/>
            <w:noWrap/>
            <w:vAlign w:val="center"/>
          </w:tcPr>
          <w:p w14:paraId="5DB7BD8D">
            <w:pPr>
              <w:pageBreakBefore w:val="0"/>
              <w:widowControl/>
              <w:wordWrap/>
              <w:topLinePunct w:val="0"/>
              <w:bidi w:val="0"/>
              <w:spacing w:line="36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rPr>
              <w:t>/</w:t>
            </w:r>
          </w:p>
        </w:tc>
        <w:tc>
          <w:tcPr>
            <w:tcW w:w="243" w:type="pct"/>
            <w:noWrap/>
            <w:vAlign w:val="center"/>
          </w:tcPr>
          <w:p w14:paraId="395347B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2.58</w:t>
            </w:r>
          </w:p>
        </w:tc>
        <w:tc>
          <w:tcPr>
            <w:tcW w:w="274" w:type="pct"/>
            <w:noWrap/>
            <w:vAlign w:val="center"/>
          </w:tcPr>
          <w:p w14:paraId="4D7782A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1.8</w:t>
            </w:r>
          </w:p>
        </w:tc>
        <w:tc>
          <w:tcPr>
            <w:tcW w:w="244" w:type="pct"/>
            <w:noWrap/>
            <w:vAlign w:val="center"/>
          </w:tcPr>
          <w:p w14:paraId="743DC996">
            <w:pPr>
              <w:pageBreakBefore w:val="0"/>
              <w:widowControl/>
              <w:wordWrap/>
              <w:topLinePunct w:val="0"/>
              <w:bidi w:val="0"/>
              <w:spacing w:line="360" w:lineRule="auto"/>
              <w:ind w:firstLine="0" w:firstLineChars="0"/>
              <w:jc w:val="center"/>
              <w:rPr>
                <w:rFonts w:hint="eastAsia"/>
                <w:color w:val="000000" w:themeColor="text1"/>
                <w:sz w:val="21"/>
                <w:szCs w:val="21"/>
                <w:highlight w:val="none"/>
              </w:rPr>
            </w:pPr>
            <w:r>
              <w:rPr>
                <w:rFonts w:hint="eastAsia"/>
                <w:color w:val="000000" w:themeColor="text1"/>
                <w:sz w:val="21"/>
                <w:szCs w:val="21"/>
                <w:highlight w:val="none"/>
              </w:rPr>
              <w:t>/</w:t>
            </w:r>
          </w:p>
        </w:tc>
        <w:tc>
          <w:tcPr>
            <w:tcW w:w="280" w:type="pct"/>
            <w:shd w:val="clear" w:color="auto" w:fill="auto"/>
            <w:noWrap/>
            <w:vAlign w:val="center"/>
          </w:tcPr>
          <w:p w14:paraId="3BEF8467">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1.8</w:t>
            </w:r>
          </w:p>
        </w:tc>
        <w:tc>
          <w:tcPr>
            <w:tcW w:w="170" w:type="pct"/>
            <w:shd w:val="clear" w:color="auto" w:fill="auto"/>
            <w:noWrap/>
            <w:vAlign w:val="center"/>
          </w:tcPr>
          <w:p w14:paraId="70804333">
            <w:pPr>
              <w:pageBreakBefore w:val="0"/>
              <w:widowControl/>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w:t>
            </w:r>
          </w:p>
        </w:tc>
        <w:tc>
          <w:tcPr>
            <w:tcW w:w="177" w:type="pct"/>
            <w:shd w:val="clear" w:color="auto" w:fill="auto"/>
            <w:vAlign w:val="center"/>
          </w:tcPr>
          <w:p w14:paraId="42006457">
            <w:pPr>
              <w:pageBreakBefore w:val="0"/>
              <w:widowControl/>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鹤岗市</w:t>
            </w:r>
          </w:p>
        </w:tc>
        <w:tc>
          <w:tcPr>
            <w:tcW w:w="976" w:type="pct"/>
            <w:vAlign w:val="center"/>
          </w:tcPr>
          <w:p w14:paraId="44E761F1">
            <w:pPr>
              <w:pageBreakBefore w:val="0"/>
              <w:widowControl/>
              <w:wordWrap/>
              <w:topLinePunct w:val="0"/>
              <w:bidi w:val="0"/>
              <w:spacing w:line="360" w:lineRule="auto"/>
              <w:ind w:firstLine="0" w:firstLineChars="0"/>
              <w:jc w:val="center"/>
              <w:rPr>
                <w:rFonts w:hint="eastAsia" w:eastAsia="宋体"/>
                <w:color w:val="000000" w:themeColor="text1"/>
                <w:sz w:val="21"/>
                <w:szCs w:val="21"/>
                <w:highlight w:val="none"/>
                <w:lang w:eastAsia="zh-CN"/>
              </w:rPr>
            </w:pPr>
            <w:r>
              <w:rPr>
                <w:rFonts w:hint="eastAsia" w:eastAsia="宋体"/>
                <w:color w:val="000000" w:themeColor="text1"/>
                <w:sz w:val="21"/>
                <w:szCs w:val="21"/>
                <w:highlight w:val="none"/>
                <w:lang w:eastAsia="zh-CN"/>
              </w:rPr>
              <w:drawing>
                <wp:inline distT="0" distB="0" distL="114300" distR="114300">
                  <wp:extent cx="1577975" cy="1067435"/>
                  <wp:effectExtent l="0" t="0" r="6985" b="14605"/>
                  <wp:docPr id="48" name="图片 48" descr="170122639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701226396657"/>
                          <pic:cNvPicPr>
                            <a:picLocks noChangeAspect="1"/>
                          </pic:cNvPicPr>
                        </pic:nvPicPr>
                        <pic:blipFill>
                          <a:blip r:embed="rId34"/>
                          <a:stretch>
                            <a:fillRect/>
                          </a:stretch>
                        </pic:blipFill>
                        <pic:spPr>
                          <a:xfrm>
                            <a:off x="0" y="0"/>
                            <a:ext cx="1577975" cy="1067435"/>
                          </a:xfrm>
                          <a:prstGeom prst="rect">
                            <a:avLst/>
                          </a:prstGeom>
                        </pic:spPr>
                      </pic:pic>
                    </a:graphicData>
                  </a:graphic>
                </wp:inline>
              </w:drawing>
            </w:r>
          </w:p>
        </w:tc>
        <w:tc>
          <w:tcPr>
            <w:tcW w:w="952" w:type="pct"/>
            <w:vAlign w:val="center"/>
          </w:tcPr>
          <w:p w14:paraId="2244DACF">
            <w:pPr>
              <w:pageBreakBefore w:val="0"/>
              <w:widowControl/>
              <w:wordWrap/>
              <w:topLinePunct w:val="0"/>
              <w:bidi w:val="0"/>
              <w:spacing w:line="360" w:lineRule="auto"/>
              <w:ind w:firstLine="0" w:firstLineChars="0"/>
              <w:jc w:val="center"/>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1511935" cy="973455"/>
                  <wp:effectExtent l="0" t="0" r="12065" b="1905"/>
                  <wp:docPr id="62" name="图片 62" descr="8152328d-cf9b-490d-b92f-b259075048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8152328d-cf9b-490d-b92f-b2590750485a"/>
                          <pic:cNvPicPr>
                            <a:picLocks noChangeAspect="1"/>
                          </pic:cNvPicPr>
                        </pic:nvPicPr>
                        <pic:blipFill>
                          <a:blip r:embed="rId35"/>
                          <a:stretch>
                            <a:fillRect/>
                          </a:stretch>
                        </pic:blipFill>
                        <pic:spPr>
                          <a:xfrm>
                            <a:off x="0" y="0"/>
                            <a:ext cx="1511935" cy="973455"/>
                          </a:xfrm>
                          <a:prstGeom prst="rect">
                            <a:avLst/>
                          </a:prstGeom>
                        </pic:spPr>
                      </pic:pic>
                    </a:graphicData>
                  </a:graphic>
                </wp:inline>
              </w:drawing>
            </w:r>
          </w:p>
        </w:tc>
        <w:tc>
          <w:tcPr>
            <w:tcW w:w="507" w:type="pct"/>
            <w:vAlign w:val="center"/>
          </w:tcPr>
          <w:p w14:paraId="3EB4B60D">
            <w:pPr>
              <w:pageBreakBefore w:val="0"/>
              <w:widowControl/>
              <w:wordWrap/>
              <w:topLinePunct w:val="0"/>
              <w:bidi w:val="0"/>
              <w:spacing w:line="360" w:lineRule="auto"/>
              <w:ind w:firstLine="0" w:firstLineChars="0"/>
              <w:jc w:val="center"/>
              <w:rPr>
                <w:color w:val="000000" w:themeColor="text1"/>
                <w:sz w:val="21"/>
                <w:szCs w:val="21"/>
                <w:highlight w:val="none"/>
              </w:rPr>
            </w:pPr>
            <w:r>
              <w:rPr>
                <w:color w:val="000000" w:themeColor="text1"/>
                <w:sz w:val="21"/>
                <w:szCs w:val="21"/>
                <w:highlight w:val="none"/>
              </w:rPr>
              <w:t>占地类型为</w:t>
            </w:r>
            <w:r>
              <w:rPr>
                <w:rFonts w:hint="eastAsia"/>
                <w:color w:val="000000" w:themeColor="text1"/>
                <w:sz w:val="21"/>
                <w:szCs w:val="21"/>
                <w:highlight w:val="none"/>
                <w:lang w:val="en-US" w:eastAsia="zh-CN"/>
              </w:rPr>
              <w:t>耕地</w:t>
            </w:r>
            <w:r>
              <w:rPr>
                <w:color w:val="000000" w:themeColor="text1"/>
                <w:sz w:val="21"/>
                <w:szCs w:val="21"/>
                <w:highlight w:val="none"/>
              </w:rPr>
              <w:t>，</w:t>
            </w:r>
            <w:r>
              <w:rPr>
                <w:rFonts w:hint="eastAsia"/>
                <w:color w:val="000000" w:themeColor="text1"/>
                <w:sz w:val="21"/>
                <w:szCs w:val="21"/>
                <w:highlight w:val="none"/>
              </w:rPr>
              <w:t>临时</w:t>
            </w:r>
            <w:r>
              <w:rPr>
                <w:rFonts w:hint="eastAsia"/>
                <w:color w:val="000000" w:themeColor="text1"/>
                <w:sz w:val="21"/>
                <w:szCs w:val="21"/>
                <w:highlight w:val="none"/>
                <w:lang w:val="en-US" w:eastAsia="zh-CN"/>
              </w:rPr>
              <w:t>堆</w:t>
            </w:r>
            <w:r>
              <w:rPr>
                <w:rFonts w:hint="eastAsia"/>
                <w:color w:val="000000" w:themeColor="text1"/>
                <w:sz w:val="21"/>
                <w:szCs w:val="21"/>
                <w:highlight w:val="none"/>
              </w:rPr>
              <w:t>土场周边现状为农田</w:t>
            </w:r>
            <w:r>
              <w:rPr>
                <w:rFonts w:hint="eastAsia"/>
                <w:color w:val="000000" w:themeColor="text1"/>
                <w:sz w:val="21"/>
                <w:szCs w:val="21"/>
                <w:highlight w:val="none"/>
                <w:lang w:eastAsia="zh-CN"/>
              </w:rPr>
              <w:t>、</w:t>
            </w:r>
            <w:r>
              <w:rPr>
                <w:rFonts w:hint="eastAsia"/>
                <w:color w:val="000000" w:themeColor="text1"/>
                <w:sz w:val="21"/>
                <w:szCs w:val="21"/>
                <w:highlight w:val="none"/>
              </w:rPr>
              <w:t>草地</w:t>
            </w:r>
          </w:p>
        </w:tc>
      </w:tr>
      <w:bookmarkEnd w:id="257"/>
    </w:tbl>
    <w:p w14:paraId="10C7B3DA">
      <w:pPr>
        <w:pageBreakBefore w:val="0"/>
        <w:wordWrap/>
        <w:topLinePunct w:val="0"/>
        <w:bidi w:val="0"/>
        <w:spacing w:line="360" w:lineRule="auto"/>
        <w:ind w:firstLine="0" w:firstLineChars="0"/>
        <w:rPr>
          <w:color w:val="000000" w:themeColor="text1"/>
          <w:highlight w:val="none"/>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22D4C682">
      <w:pPr>
        <w:pageBreakBefore w:val="0"/>
        <w:wordWrap/>
        <w:topLinePunct w:val="0"/>
        <w:bidi w:val="0"/>
        <w:spacing w:line="360" w:lineRule="auto"/>
        <w:rPr>
          <w:rFonts w:hint="eastAsia" w:ascii="Times New Roman" w:hAnsi="Times New Roman" w:eastAsia="宋体" w:cs="Times New Roman"/>
          <w:color w:val="000000" w:themeColor="text1"/>
          <w:highlight w:val="none"/>
          <w:lang w:eastAsia="zh-CN"/>
        </w:rPr>
      </w:pPr>
      <w:r>
        <w:rPr>
          <w:rFonts w:ascii="Times New Roman" w:hAnsi="Times New Roman" w:cs="Times New Roman"/>
          <w:color w:val="000000" w:themeColor="text1"/>
          <w:highlight w:val="none"/>
        </w:rPr>
        <w:t>（</w:t>
      </w:r>
      <w:r>
        <w:rPr>
          <w:rFonts w:hint="eastAsia" w:ascii="Times New Roman" w:hAnsi="Times New Roman" w:cs="Times New Roman"/>
          <w:color w:val="000000" w:themeColor="text1"/>
          <w:highlight w:val="none"/>
          <w:lang w:val="en-US" w:eastAsia="zh-CN"/>
        </w:rPr>
        <w:t>5</w:t>
      </w:r>
      <w:r>
        <w:rPr>
          <w:rFonts w:ascii="Times New Roman" w:hAnsi="Times New Roman" w:cs="Times New Roman"/>
          <w:color w:val="000000" w:themeColor="text1"/>
          <w:highlight w:val="none"/>
        </w:rPr>
        <w:t>）</w:t>
      </w:r>
      <w:r>
        <w:rPr>
          <w:rFonts w:hint="eastAsia" w:ascii="Times New Roman" w:hAnsi="Times New Roman" w:cs="Times New Roman"/>
          <w:color w:val="000000" w:themeColor="text1"/>
          <w:highlight w:val="none"/>
          <w:lang w:val="en-US" w:eastAsia="zh-CN"/>
        </w:rPr>
        <w:t>弃渣场</w:t>
      </w:r>
    </w:p>
    <w:p w14:paraId="58B7E29A">
      <w:pPr>
        <w:pageBreakBefore w:val="0"/>
        <w:wordWrap/>
        <w:topLinePunct w:val="0"/>
        <w:bidi w:val="0"/>
        <w:spacing w:line="360" w:lineRule="auto"/>
        <w:rPr>
          <w:rFonts w:hint="eastAsia" w:ascii="Times New Roman" w:hAnsi="Times New Roman" w:cs="Times New Roman"/>
          <w:color w:val="000000" w:themeColor="text1"/>
          <w:highlight w:val="none"/>
        </w:rPr>
      </w:pPr>
      <w:r>
        <w:rPr>
          <w:rFonts w:hint="eastAsia" w:ascii="Times New Roman" w:hAnsi="Times New Roman" w:cs="Times New Roman"/>
          <w:color w:val="000000" w:themeColor="text1"/>
          <w:highlight w:val="none"/>
        </w:rPr>
        <w:t>本工程施工过程中产生弃渣总计2.89万m</w:t>
      </w:r>
      <w:r>
        <w:rPr>
          <w:rFonts w:hint="eastAsia" w:ascii="Times New Roman" w:hAnsi="Times New Roman" w:cs="Times New Roman"/>
          <w:color w:val="000000" w:themeColor="text1"/>
          <w:highlight w:val="none"/>
          <w:vertAlign w:val="superscript"/>
        </w:rPr>
        <w:t>3</w:t>
      </w:r>
      <w:r>
        <w:rPr>
          <w:rFonts w:hint="eastAsia" w:ascii="Times New Roman" w:hAnsi="Times New Roman" w:cs="Times New Roman"/>
          <w:color w:val="000000" w:themeColor="text1"/>
          <w:highlight w:val="none"/>
        </w:rPr>
        <w:t>，弃渣中的土、石料不符合路基填筑要求，根据《新建黑龙江鹤岗机场场外配套工程进场路工程两阶段施工图设计》，弃土场情况见下表：</w:t>
      </w:r>
    </w:p>
    <w:p w14:paraId="6772A911">
      <w:pPr>
        <w:pageBreakBefore w:val="0"/>
        <w:wordWrap/>
        <w:topLinePunct w:val="0"/>
        <w:bidi w:val="0"/>
        <w:spacing w:line="360" w:lineRule="auto"/>
        <w:ind w:firstLine="0" w:firstLineChars="0"/>
        <w:jc w:val="center"/>
        <w:rPr>
          <w:rFonts w:hint="eastAsia" w:ascii="Times New Roman" w:hAnsi="Times New Roman" w:cs="Times New Roman"/>
          <w:b/>
          <w:color w:val="000000" w:themeColor="text1"/>
          <w:highlight w:val="none"/>
          <w:lang w:val="en-US" w:eastAsia="zh-CN"/>
        </w:rPr>
      </w:pPr>
      <w:r>
        <w:rPr>
          <w:rFonts w:hint="eastAsia" w:ascii="Times New Roman" w:hAnsi="Times New Roman" w:cs="Times New Roman"/>
          <w:b/>
          <w:color w:val="000000" w:themeColor="text1"/>
          <w:highlight w:val="none"/>
          <w:lang w:val="en-US" w:eastAsia="zh-CN"/>
        </w:rPr>
        <w:t>表3.1-14  弃土场一览表</w:t>
      </w:r>
    </w:p>
    <w:tbl>
      <w:tblPr>
        <w:tblStyle w:val="34"/>
        <w:tblW w:w="875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46"/>
        <w:gridCol w:w="1312"/>
        <w:gridCol w:w="1775"/>
        <w:gridCol w:w="1150"/>
        <w:gridCol w:w="1113"/>
        <w:gridCol w:w="1257"/>
      </w:tblGrid>
      <w:tr w14:paraId="2E07AE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2146" w:type="dxa"/>
            <w:vMerge w:val="restart"/>
            <w:tcBorders>
              <w:tl2br w:val="nil"/>
              <w:tr2bl w:val="nil"/>
            </w:tcBorders>
            <w:noWrap w:val="0"/>
            <w:vAlign w:val="center"/>
          </w:tcPr>
          <w:p w14:paraId="304C4736">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供应段落起迄桩号</w:t>
            </w:r>
          </w:p>
        </w:tc>
        <w:tc>
          <w:tcPr>
            <w:tcW w:w="3087" w:type="dxa"/>
            <w:gridSpan w:val="2"/>
            <w:vMerge w:val="restart"/>
            <w:tcBorders>
              <w:tl2br w:val="nil"/>
              <w:tr2bl w:val="nil"/>
            </w:tcBorders>
            <w:noWrap w:val="0"/>
            <w:vAlign w:val="center"/>
          </w:tcPr>
          <w:p w14:paraId="4D16B636">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位置</w:t>
            </w:r>
          </w:p>
        </w:tc>
        <w:tc>
          <w:tcPr>
            <w:tcW w:w="3520" w:type="dxa"/>
            <w:gridSpan w:val="3"/>
            <w:tcBorders>
              <w:tl2br w:val="nil"/>
              <w:tr2bl w:val="nil"/>
            </w:tcBorders>
            <w:noWrap w:val="0"/>
            <w:vAlign w:val="center"/>
          </w:tcPr>
          <w:p w14:paraId="6999DECB">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弃土场</w:t>
            </w:r>
          </w:p>
        </w:tc>
      </w:tr>
      <w:tr w14:paraId="310A39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31" w:hRule="atLeast"/>
          <w:jc w:val="center"/>
        </w:trPr>
        <w:tc>
          <w:tcPr>
            <w:tcW w:w="2146" w:type="dxa"/>
            <w:vMerge w:val="continue"/>
            <w:tcBorders>
              <w:tl2br w:val="nil"/>
              <w:tr2bl w:val="nil"/>
            </w:tcBorders>
            <w:noWrap w:val="0"/>
            <w:vAlign w:val="center"/>
          </w:tcPr>
          <w:p w14:paraId="591EDC74">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3087" w:type="dxa"/>
            <w:gridSpan w:val="2"/>
            <w:vMerge w:val="continue"/>
            <w:tcBorders>
              <w:tl2br w:val="nil"/>
              <w:tr2bl w:val="nil"/>
            </w:tcBorders>
            <w:noWrap w:val="0"/>
            <w:vAlign w:val="center"/>
          </w:tcPr>
          <w:p w14:paraId="4009452C">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1150" w:type="dxa"/>
            <w:vMerge w:val="restart"/>
            <w:tcBorders>
              <w:tl2br w:val="nil"/>
              <w:tr2bl w:val="nil"/>
            </w:tcBorders>
            <w:noWrap w:val="0"/>
            <w:vAlign w:val="center"/>
          </w:tcPr>
          <w:p w14:paraId="6B552CBE">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可弃土量（万m</w:t>
            </w:r>
            <w:r>
              <w:rPr>
                <w:rFonts w:hint="eastAsia" w:ascii="Times New Roman" w:hAnsi="Times New Roman" w:cs="Times New Roman"/>
                <w:color w:val="000000" w:themeColor="text1"/>
                <w:kern w:val="0"/>
                <w:sz w:val="21"/>
                <w:szCs w:val="21"/>
                <w:highlight w:val="none"/>
                <w:vertAlign w:val="superscript"/>
                <w:lang w:val="en-US" w:eastAsia="zh-CN"/>
              </w:rPr>
              <w:t>3</w:t>
            </w:r>
            <w:r>
              <w:rPr>
                <w:rFonts w:hint="eastAsia" w:ascii="Times New Roman" w:hAnsi="Times New Roman" w:cs="Times New Roman"/>
                <w:color w:val="000000" w:themeColor="text1"/>
                <w:kern w:val="0"/>
                <w:sz w:val="21"/>
                <w:szCs w:val="21"/>
                <w:highlight w:val="none"/>
                <w:lang w:val="en-US" w:eastAsia="zh-CN"/>
              </w:rPr>
              <w:t>）</w:t>
            </w:r>
          </w:p>
        </w:tc>
        <w:tc>
          <w:tcPr>
            <w:tcW w:w="1113" w:type="dxa"/>
            <w:vMerge w:val="restart"/>
            <w:tcBorders>
              <w:tl2br w:val="nil"/>
              <w:tr2bl w:val="nil"/>
            </w:tcBorders>
            <w:noWrap w:val="0"/>
            <w:vAlign w:val="center"/>
          </w:tcPr>
          <w:p w14:paraId="7F05BB86">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弃土深度（m）</w:t>
            </w:r>
          </w:p>
        </w:tc>
        <w:tc>
          <w:tcPr>
            <w:tcW w:w="1257" w:type="dxa"/>
            <w:vMerge w:val="restart"/>
            <w:tcBorders>
              <w:tl2br w:val="nil"/>
              <w:tr2bl w:val="nil"/>
            </w:tcBorders>
            <w:noWrap w:val="0"/>
            <w:vAlign w:val="center"/>
          </w:tcPr>
          <w:p w14:paraId="3800B386">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计划弃土量（万m</w:t>
            </w:r>
            <w:r>
              <w:rPr>
                <w:rFonts w:hint="eastAsia" w:ascii="Times New Roman" w:hAnsi="Times New Roman" w:cs="Times New Roman"/>
                <w:color w:val="000000" w:themeColor="text1"/>
                <w:kern w:val="0"/>
                <w:sz w:val="21"/>
                <w:szCs w:val="21"/>
                <w:highlight w:val="none"/>
                <w:vertAlign w:val="superscript"/>
                <w:lang w:val="en-US" w:eastAsia="zh-CN"/>
              </w:rPr>
              <w:t>3</w:t>
            </w:r>
            <w:r>
              <w:rPr>
                <w:rFonts w:hint="eastAsia" w:ascii="Times New Roman" w:hAnsi="Times New Roman" w:cs="Times New Roman"/>
                <w:color w:val="000000" w:themeColor="text1"/>
                <w:kern w:val="0"/>
                <w:sz w:val="21"/>
                <w:szCs w:val="21"/>
                <w:highlight w:val="none"/>
                <w:lang w:val="en-US" w:eastAsia="zh-CN"/>
              </w:rPr>
              <w:t>）</w:t>
            </w:r>
          </w:p>
        </w:tc>
      </w:tr>
      <w:tr w14:paraId="51587A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2146" w:type="dxa"/>
            <w:vMerge w:val="continue"/>
            <w:tcBorders>
              <w:tl2br w:val="nil"/>
              <w:tr2bl w:val="nil"/>
            </w:tcBorders>
            <w:noWrap w:val="0"/>
            <w:vAlign w:val="center"/>
          </w:tcPr>
          <w:p w14:paraId="5AF72934">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3087" w:type="dxa"/>
            <w:gridSpan w:val="2"/>
            <w:tcBorders>
              <w:tl2br w:val="nil"/>
              <w:tr2bl w:val="nil"/>
            </w:tcBorders>
            <w:noWrap w:val="0"/>
            <w:vAlign w:val="center"/>
          </w:tcPr>
          <w:p w14:paraId="5184508B">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支线距离（m）</w:t>
            </w:r>
          </w:p>
        </w:tc>
        <w:tc>
          <w:tcPr>
            <w:tcW w:w="1150" w:type="dxa"/>
            <w:vMerge w:val="continue"/>
            <w:tcBorders>
              <w:tl2br w:val="nil"/>
              <w:tr2bl w:val="nil"/>
            </w:tcBorders>
            <w:noWrap w:val="0"/>
            <w:vAlign w:val="center"/>
          </w:tcPr>
          <w:p w14:paraId="2979DD83">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1113" w:type="dxa"/>
            <w:vMerge w:val="continue"/>
            <w:tcBorders>
              <w:tl2br w:val="nil"/>
              <w:tr2bl w:val="nil"/>
            </w:tcBorders>
            <w:noWrap w:val="0"/>
            <w:vAlign w:val="center"/>
          </w:tcPr>
          <w:p w14:paraId="48D24CA2">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1257" w:type="dxa"/>
            <w:vMerge w:val="continue"/>
            <w:tcBorders>
              <w:tl2br w:val="nil"/>
              <w:tr2bl w:val="nil"/>
            </w:tcBorders>
            <w:noWrap w:val="0"/>
            <w:vAlign w:val="center"/>
          </w:tcPr>
          <w:p w14:paraId="5C0DC37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r>
      <w:tr w14:paraId="77BF25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2146" w:type="dxa"/>
            <w:vMerge w:val="continue"/>
            <w:tcBorders>
              <w:tl2br w:val="nil"/>
              <w:tr2bl w:val="nil"/>
            </w:tcBorders>
            <w:noWrap w:val="0"/>
            <w:vAlign w:val="center"/>
          </w:tcPr>
          <w:p w14:paraId="7558A20B">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1312" w:type="dxa"/>
            <w:tcBorders>
              <w:tl2br w:val="nil"/>
              <w:tr2bl w:val="nil"/>
            </w:tcBorders>
            <w:noWrap w:val="0"/>
            <w:vAlign w:val="center"/>
          </w:tcPr>
          <w:p w14:paraId="05E53864">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左</w:t>
            </w:r>
          </w:p>
        </w:tc>
        <w:tc>
          <w:tcPr>
            <w:tcW w:w="1775" w:type="dxa"/>
            <w:tcBorders>
              <w:tl2br w:val="nil"/>
              <w:tr2bl w:val="nil"/>
            </w:tcBorders>
            <w:noWrap w:val="0"/>
            <w:vAlign w:val="center"/>
          </w:tcPr>
          <w:p w14:paraId="0185D01D">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右</w:t>
            </w:r>
          </w:p>
        </w:tc>
        <w:tc>
          <w:tcPr>
            <w:tcW w:w="1150" w:type="dxa"/>
            <w:vMerge w:val="continue"/>
            <w:tcBorders>
              <w:tl2br w:val="nil"/>
              <w:tr2bl w:val="nil"/>
            </w:tcBorders>
            <w:noWrap w:val="0"/>
            <w:vAlign w:val="center"/>
          </w:tcPr>
          <w:p w14:paraId="62B46249">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1113" w:type="dxa"/>
            <w:vMerge w:val="continue"/>
            <w:tcBorders>
              <w:tl2br w:val="nil"/>
              <w:tr2bl w:val="nil"/>
            </w:tcBorders>
            <w:noWrap w:val="0"/>
            <w:vAlign w:val="center"/>
          </w:tcPr>
          <w:p w14:paraId="2F195CB3">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p>
        </w:tc>
        <w:tc>
          <w:tcPr>
            <w:tcW w:w="1257" w:type="dxa"/>
            <w:vMerge w:val="continue"/>
            <w:tcBorders>
              <w:tl2br w:val="nil"/>
              <w:tr2bl w:val="nil"/>
            </w:tcBorders>
            <w:noWrap w:val="0"/>
            <w:vAlign w:val="center"/>
          </w:tcPr>
          <w:p w14:paraId="000CE74F">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r>
      <w:tr w14:paraId="5C3DB4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2146" w:type="dxa"/>
            <w:tcBorders>
              <w:tl2br w:val="nil"/>
              <w:tr2bl w:val="nil"/>
            </w:tcBorders>
            <w:noWrap w:val="0"/>
            <w:vAlign w:val="center"/>
          </w:tcPr>
          <w:p w14:paraId="360DD3E7">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K0+000-K6+323.02</w:t>
            </w:r>
          </w:p>
        </w:tc>
        <w:tc>
          <w:tcPr>
            <w:tcW w:w="1312" w:type="dxa"/>
            <w:tcBorders>
              <w:tl2br w:val="nil"/>
              <w:tr2bl w:val="nil"/>
            </w:tcBorders>
            <w:noWrap w:val="0"/>
            <w:vAlign w:val="center"/>
          </w:tcPr>
          <w:p w14:paraId="646BF3FE">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w:t>
            </w:r>
          </w:p>
        </w:tc>
        <w:tc>
          <w:tcPr>
            <w:tcW w:w="1775" w:type="dxa"/>
            <w:tcBorders>
              <w:tl2br w:val="nil"/>
              <w:tr2bl w:val="nil"/>
            </w:tcBorders>
            <w:noWrap w:val="0"/>
            <w:vAlign w:val="center"/>
          </w:tcPr>
          <w:p w14:paraId="6AD56E37">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3500</w:t>
            </w:r>
          </w:p>
        </w:tc>
        <w:tc>
          <w:tcPr>
            <w:tcW w:w="1150" w:type="dxa"/>
            <w:tcBorders>
              <w:tl2br w:val="nil"/>
              <w:tr2bl w:val="nil"/>
            </w:tcBorders>
            <w:noWrap w:val="0"/>
            <w:vAlign w:val="center"/>
          </w:tcPr>
          <w:p w14:paraId="300E3D6D">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4.56</w:t>
            </w:r>
          </w:p>
        </w:tc>
        <w:tc>
          <w:tcPr>
            <w:tcW w:w="1113" w:type="dxa"/>
            <w:tcBorders>
              <w:tl2br w:val="nil"/>
              <w:tr2bl w:val="nil"/>
            </w:tcBorders>
            <w:noWrap w:val="0"/>
            <w:vAlign w:val="center"/>
          </w:tcPr>
          <w:p w14:paraId="36994258">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5.97</w:t>
            </w:r>
          </w:p>
        </w:tc>
        <w:tc>
          <w:tcPr>
            <w:tcW w:w="1257" w:type="dxa"/>
            <w:tcBorders>
              <w:tl2br w:val="nil"/>
              <w:tr2bl w:val="nil"/>
            </w:tcBorders>
            <w:noWrap w:val="0"/>
            <w:vAlign w:val="center"/>
          </w:tcPr>
          <w:p w14:paraId="38C0B921">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2.89</w:t>
            </w:r>
          </w:p>
        </w:tc>
      </w:tr>
    </w:tbl>
    <w:p w14:paraId="17082252">
      <w:pPr>
        <w:spacing w:line="240" w:lineRule="auto"/>
        <w:ind w:left="0" w:leftChars="0" w:firstLine="0" w:firstLineChars="0"/>
        <w:jc w:val="both"/>
        <w:rPr>
          <w:color w:val="000000" w:themeColor="text1"/>
          <w:highlight w:val="none"/>
        </w:rPr>
      </w:pPr>
    </w:p>
    <w:p w14:paraId="47E61B65">
      <w:pPr>
        <w:spacing w:line="240" w:lineRule="auto"/>
        <w:ind w:left="0" w:leftChars="0" w:firstLine="0" w:firstLineChars="0"/>
        <w:jc w:val="both"/>
        <w:rPr>
          <w:rFonts w:hint="eastAsia" w:cs="Times New Roman"/>
          <w:color w:val="000000" w:themeColor="text1"/>
          <w:highlight w:val="none"/>
          <w:lang w:val="en-US" w:eastAsia="zh-CN"/>
        </w:rPr>
      </w:pPr>
      <w:r>
        <w:rPr>
          <w:color w:val="000000" w:themeColor="text1"/>
          <w:highlight w:val="none"/>
        </w:rPr>
        <w:drawing>
          <wp:inline distT="0" distB="0" distL="114300" distR="114300">
            <wp:extent cx="5270500" cy="3902710"/>
            <wp:effectExtent l="0" t="0" r="2540" b="13970"/>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
                    <pic:cNvPicPr>
                      <a:picLocks noChangeAspect="1"/>
                    </pic:cNvPicPr>
                  </pic:nvPicPr>
                  <pic:blipFill>
                    <a:blip r:embed="rId36"/>
                    <a:stretch>
                      <a:fillRect/>
                    </a:stretch>
                  </pic:blipFill>
                  <pic:spPr>
                    <a:xfrm>
                      <a:off x="0" y="0"/>
                      <a:ext cx="5270500" cy="3902710"/>
                    </a:xfrm>
                    <a:prstGeom prst="rect">
                      <a:avLst/>
                    </a:prstGeom>
                    <a:noFill/>
                    <a:ln>
                      <a:noFill/>
                    </a:ln>
                  </pic:spPr>
                </pic:pic>
              </a:graphicData>
            </a:graphic>
          </wp:inline>
        </w:drawing>
      </w:r>
    </w:p>
    <w:p w14:paraId="5BF43C45">
      <w:pPr>
        <w:pageBreakBefore w:val="0"/>
        <w:wordWrap/>
        <w:topLinePunct w:val="0"/>
        <w:bidi w:val="0"/>
        <w:spacing w:line="360" w:lineRule="auto"/>
        <w:ind w:firstLine="0" w:firstLineChars="0"/>
        <w:jc w:val="center"/>
        <w:rPr>
          <w:rFonts w:hint="eastAsia" w:ascii="Times New Roman" w:hAnsi="Times New Roman" w:cs="Times New Roman"/>
          <w:b/>
          <w:color w:val="000000" w:themeColor="text1"/>
          <w:highlight w:val="none"/>
          <w:lang w:val="en-US" w:eastAsia="zh-CN"/>
        </w:rPr>
      </w:pPr>
      <w:r>
        <w:rPr>
          <w:rFonts w:hint="eastAsia" w:ascii="Times New Roman" w:hAnsi="Times New Roman" w:cs="Times New Roman"/>
          <w:b/>
          <w:color w:val="000000" w:themeColor="text1"/>
          <w:highlight w:val="none"/>
          <w:lang w:val="en-US" w:eastAsia="zh-CN"/>
        </w:rPr>
        <w:t>图3.1-6  弃土场平面图</w:t>
      </w:r>
    </w:p>
    <w:p w14:paraId="0FFCF841">
      <w:pPr>
        <w:pageBreakBefore w:val="0"/>
        <w:wordWrap/>
        <w:topLinePunct w:val="0"/>
        <w:bidi w:val="0"/>
        <w:spacing w:line="360" w:lineRule="auto"/>
        <w:rPr>
          <w:color w:val="000000" w:themeColor="text1"/>
          <w:highlight w:val="none"/>
        </w:rPr>
      </w:pPr>
      <w:r>
        <w:rPr>
          <w:rFonts w:hint="eastAsia"/>
          <w:color w:val="000000" w:themeColor="text1"/>
          <w:highlight w:val="none"/>
        </w:rPr>
        <w:t>根据弃渣场选择原则、弃渣量及弃渣产生部位，共布设1处弃渣场，弃渣场总占地面积0.61hm</w:t>
      </w:r>
      <w:r>
        <w:rPr>
          <w:rFonts w:hint="eastAsia"/>
          <w:color w:val="000000" w:themeColor="text1"/>
          <w:highlight w:val="none"/>
          <w:vertAlign w:val="superscript"/>
        </w:rPr>
        <w:t>2</w:t>
      </w:r>
      <w:r>
        <w:rPr>
          <w:rFonts w:hint="eastAsia"/>
          <w:color w:val="000000" w:themeColor="text1"/>
          <w:highlight w:val="none"/>
        </w:rPr>
        <w:t>，其中排水工程占地面积0.11hm</w:t>
      </w:r>
      <w:r>
        <w:rPr>
          <w:rFonts w:hint="eastAsia"/>
          <w:color w:val="000000" w:themeColor="text1"/>
          <w:highlight w:val="none"/>
          <w:vertAlign w:val="superscript"/>
        </w:rPr>
        <w:t>2</w:t>
      </w:r>
      <w:r>
        <w:rPr>
          <w:rFonts w:hint="eastAsia"/>
          <w:color w:val="000000" w:themeColor="text1"/>
          <w:highlight w:val="none"/>
        </w:rPr>
        <w:t>，弃渣场场内占地面积0.50hm</w:t>
      </w:r>
      <w:r>
        <w:rPr>
          <w:rFonts w:hint="eastAsia"/>
          <w:color w:val="000000" w:themeColor="text1"/>
          <w:highlight w:val="none"/>
          <w:vertAlign w:val="superscript"/>
        </w:rPr>
        <w:t>2</w:t>
      </w:r>
      <w:r>
        <w:rPr>
          <w:rFonts w:hint="eastAsia"/>
          <w:color w:val="000000" w:themeColor="text1"/>
          <w:highlight w:val="none"/>
        </w:rPr>
        <w:t>，现状为废弃坑塘，长度78m，宽度64m，平均深度5.8m，汇水面积0.86hm</w:t>
      </w:r>
      <w:r>
        <w:rPr>
          <w:rFonts w:hint="eastAsia"/>
          <w:color w:val="000000" w:themeColor="text1"/>
          <w:highlight w:val="none"/>
          <w:vertAlign w:val="superscript"/>
        </w:rPr>
        <w:t>2</w:t>
      </w:r>
      <w:r>
        <w:rPr>
          <w:rFonts w:hint="eastAsia"/>
          <w:color w:val="000000" w:themeColor="text1"/>
          <w:highlight w:val="none"/>
        </w:rPr>
        <w:t>，地面以下最大回填深度为5.8m，可弃土容量为2.90万m</w:t>
      </w:r>
      <w:r>
        <w:rPr>
          <w:rFonts w:hint="eastAsia"/>
          <w:color w:val="000000" w:themeColor="text1"/>
          <w:highlight w:val="none"/>
          <w:vertAlign w:val="superscript"/>
        </w:rPr>
        <w:t>3</w:t>
      </w:r>
      <w:r>
        <w:rPr>
          <w:rFonts w:hint="eastAsia"/>
          <w:color w:val="000000" w:themeColor="text1"/>
          <w:highlight w:val="none"/>
        </w:rPr>
        <w:t>，考虑堆放边坡稳定性的提前下，地面以上堆放高度可达到4m，堆放容量为1.66万m</w:t>
      </w:r>
      <w:r>
        <w:rPr>
          <w:rFonts w:hint="eastAsia"/>
          <w:color w:val="000000" w:themeColor="text1"/>
          <w:highlight w:val="none"/>
          <w:vertAlign w:val="superscript"/>
        </w:rPr>
        <w:t>3</w:t>
      </w:r>
      <w:r>
        <w:rPr>
          <w:rFonts w:hint="eastAsia"/>
          <w:color w:val="000000" w:themeColor="text1"/>
          <w:highlight w:val="none"/>
        </w:rPr>
        <w:t>，总可弃土量为4.56万m</w:t>
      </w:r>
      <w:r>
        <w:rPr>
          <w:rFonts w:hint="eastAsia"/>
          <w:color w:val="000000" w:themeColor="text1"/>
          <w:highlight w:val="none"/>
          <w:vertAlign w:val="superscript"/>
        </w:rPr>
        <w:t>3</w:t>
      </w:r>
      <w:r>
        <w:rPr>
          <w:rFonts w:hint="eastAsia"/>
          <w:color w:val="000000" w:themeColor="text1"/>
          <w:highlight w:val="none"/>
        </w:rPr>
        <w:t>，本工程弃渣量为2.89万m</w:t>
      </w:r>
      <w:r>
        <w:rPr>
          <w:rFonts w:hint="eastAsia"/>
          <w:color w:val="000000" w:themeColor="text1"/>
          <w:highlight w:val="none"/>
          <w:vertAlign w:val="superscript"/>
        </w:rPr>
        <w:t>3</w:t>
      </w:r>
      <w:r>
        <w:rPr>
          <w:rFonts w:hint="eastAsia"/>
          <w:color w:val="000000" w:themeColor="text1"/>
          <w:highlight w:val="none"/>
        </w:rPr>
        <w:t>，地面以下可容纳弃土量满足本项目弃土量需求，弃渣结束后渣顶回覆表土厚度0.17m，边坡采用1:1.5，基本同周边原地貌平稳顺接。弃渣场水土保持责任在本项目范围内，弃渣场选址均不在基本农田、生态保护红线、水源地、国家重点公益林等范围内，弃渣场级别均为5级（详见下表）。弃渣场具体特性见下表，弃渣场确认函详见附件。</w:t>
      </w:r>
    </w:p>
    <w:p w14:paraId="7479E0C0">
      <w:pPr>
        <w:pageBreakBefore w:val="0"/>
        <w:wordWrap/>
        <w:topLinePunct w:val="0"/>
        <w:bidi w:val="0"/>
        <w:spacing w:line="360" w:lineRule="auto"/>
        <w:ind w:firstLine="0" w:firstLineChars="0"/>
        <w:jc w:val="center"/>
        <w:rPr>
          <w:rFonts w:hint="eastAsia" w:ascii="Times New Roman" w:hAnsi="Times New Roman" w:cs="Times New Roman"/>
          <w:b/>
          <w:color w:val="000000" w:themeColor="text1"/>
          <w:highlight w:val="none"/>
          <w:lang w:val="en-US" w:eastAsia="zh-CN"/>
        </w:rPr>
      </w:pPr>
      <w:r>
        <w:rPr>
          <w:rFonts w:hint="eastAsia" w:ascii="Times New Roman" w:hAnsi="Times New Roman" w:cs="Times New Roman"/>
          <w:b/>
          <w:color w:val="000000" w:themeColor="text1"/>
          <w:highlight w:val="none"/>
          <w:lang w:val="en-US" w:eastAsia="zh-CN"/>
        </w:rPr>
        <w:t>表3.1-15</w:t>
      </w:r>
      <w:r>
        <w:rPr>
          <w:rFonts w:hint="eastAsia" w:cs="Times New Roman"/>
          <w:b/>
          <w:color w:val="000000" w:themeColor="text1"/>
          <w:highlight w:val="none"/>
          <w:lang w:val="en-US" w:eastAsia="zh-CN"/>
        </w:rPr>
        <w:t xml:space="preserve">  </w:t>
      </w:r>
      <w:r>
        <w:rPr>
          <w:rFonts w:hint="eastAsia" w:ascii="Times New Roman" w:hAnsi="Times New Roman" w:cs="Times New Roman"/>
          <w:b/>
          <w:color w:val="000000" w:themeColor="text1"/>
          <w:highlight w:val="none"/>
          <w:lang w:val="en-US" w:eastAsia="zh-CN"/>
        </w:rPr>
        <w:t>弃渣场级别判定表</w:t>
      </w:r>
    </w:p>
    <w:tbl>
      <w:tblPr>
        <w:tblStyle w:val="34"/>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84"/>
        <w:gridCol w:w="826"/>
        <w:gridCol w:w="880"/>
        <w:gridCol w:w="680"/>
        <w:gridCol w:w="680"/>
        <w:gridCol w:w="734"/>
        <w:gridCol w:w="1600"/>
        <w:gridCol w:w="2335"/>
      </w:tblGrid>
      <w:tr w14:paraId="2EF7CB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61" w:type="pct"/>
            <w:gridSpan w:val="3"/>
            <w:vMerge w:val="restart"/>
            <w:tcBorders>
              <w:tl2br w:val="nil"/>
              <w:tr2bl w:val="nil"/>
            </w:tcBorders>
            <w:noWrap w:val="0"/>
            <w:vAlign w:val="center"/>
          </w:tcPr>
          <w:p w14:paraId="707701C1">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弃渣场布置</w:t>
            </w:r>
          </w:p>
        </w:tc>
        <w:tc>
          <w:tcPr>
            <w:tcW w:w="3538" w:type="pct"/>
            <w:gridSpan w:val="5"/>
            <w:tcBorders>
              <w:tl2br w:val="nil"/>
              <w:tr2bl w:val="nil"/>
            </w:tcBorders>
            <w:noWrap w:val="0"/>
            <w:vAlign w:val="center"/>
          </w:tcPr>
          <w:p w14:paraId="7A7CA0AD">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弃渣场级别判定</w:t>
            </w:r>
          </w:p>
        </w:tc>
      </w:tr>
      <w:tr w14:paraId="35163B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61" w:type="pct"/>
            <w:gridSpan w:val="3"/>
            <w:vMerge w:val="continue"/>
            <w:tcBorders>
              <w:tl2br w:val="nil"/>
              <w:tr2bl w:val="nil"/>
            </w:tcBorders>
            <w:noWrap w:val="0"/>
            <w:vAlign w:val="center"/>
          </w:tcPr>
          <w:p w14:paraId="0B3B5112">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399" w:type="pct"/>
            <w:vMerge w:val="restart"/>
            <w:tcBorders>
              <w:tl2br w:val="nil"/>
              <w:tr2bl w:val="nil"/>
            </w:tcBorders>
            <w:noWrap w:val="0"/>
            <w:vAlign w:val="center"/>
          </w:tcPr>
          <w:p w14:paraId="14A01833">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弃渣量</w:t>
            </w:r>
          </w:p>
          <w:p w14:paraId="4630567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（万m</w:t>
            </w:r>
            <w:r>
              <w:rPr>
                <w:rFonts w:hint="eastAsia" w:ascii="Times New Roman" w:hAnsi="Times New Roman" w:cs="Times New Roman"/>
                <w:color w:val="000000" w:themeColor="text1"/>
                <w:kern w:val="0"/>
                <w:sz w:val="21"/>
                <w:szCs w:val="21"/>
                <w:highlight w:val="none"/>
                <w:vertAlign w:val="superscript"/>
                <w:lang w:val="en-US" w:eastAsia="zh-CN"/>
              </w:rPr>
              <w:t>3</w:t>
            </w:r>
            <w:r>
              <w:rPr>
                <w:rFonts w:hint="eastAsia" w:ascii="Times New Roman" w:hAnsi="Times New Roman" w:cs="Times New Roman"/>
                <w:color w:val="000000" w:themeColor="text1"/>
                <w:kern w:val="0"/>
                <w:sz w:val="21"/>
                <w:szCs w:val="21"/>
                <w:highlight w:val="none"/>
                <w:lang w:val="en-US" w:eastAsia="zh-CN"/>
              </w:rPr>
              <w:t>）</w:t>
            </w:r>
          </w:p>
        </w:tc>
        <w:tc>
          <w:tcPr>
            <w:tcW w:w="829" w:type="pct"/>
            <w:gridSpan w:val="2"/>
            <w:tcBorders>
              <w:tl2br w:val="nil"/>
              <w:tr2bl w:val="nil"/>
            </w:tcBorders>
            <w:noWrap w:val="0"/>
            <w:vAlign w:val="center"/>
          </w:tcPr>
          <w:p w14:paraId="6BBB0889">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最大堆高（m）</w:t>
            </w:r>
          </w:p>
        </w:tc>
        <w:tc>
          <w:tcPr>
            <w:tcW w:w="939" w:type="pct"/>
            <w:vMerge w:val="restart"/>
            <w:tcBorders>
              <w:tl2br w:val="nil"/>
              <w:tr2bl w:val="nil"/>
            </w:tcBorders>
            <w:noWrap w:val="0"/>
            <w:vAlign w:val="center"/>
          </w:tcPr>
          <w:p w14:paraId="75752EE1">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对周边基础设施的影响</w:t>
            </w:r>
          </w:p>
        </w:tc>
        <w:tc>
          <w:tcPr>
            <w:tcW w:w="1370" w:type="pct"/>
            <w:vMerge w:val="restart"/>
            <w:tcBorders>
              <w:tl2br w:val="nil"/>
              <w:tr2bl w:val="nil"/>
            </w:tcBorders>
            <w:noWrap w:val="0"/>
            <w:vAlign w:val="center"/>
          </w:tcPr>
          <w:p w14:paraId="31A03913">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渣场级别</w:t>
            </w:r>
          </w:p>
        </w:tc>
      </w:tr>
      <w:tr w14:paraId="02169A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0" w:type="pct"/>
            <w:tcBorders>
              <w:tl2br w:val="nil"/>
              <w:tr2bl w:val="nil"/>
            </w:tcBorders>
            <w:noWrap w:val="0"/>
            <w:vAlign w:val="center"/>
          </w:tcPr>
          <w:p w14:paraId="6AE9E01C">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弃渣场选址</w:t>
            </w:r>
          </w:p>
        </w:tc>
        <w:tc>
          <w:tcPr>
            <w:tcW w:w="484" w:type="pct"/>
            <w:tcBorders>
              <w:tl2br w:val="nil"/>
              <w:tr2bl w:val="nil"/>
            </w:tcBorders>
            <w:noWrap w:val="0"/>
            <w:vAlign w:val="center"/>
          </w:tcPr>
          <w:p w14:paraId="19EB003E">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弃渣场位置</w:t>
            </w:r>
          </w:p>
        </w:tc>
        <w:tc>
          <w:tcPr>
            <w:tcW w:w="516" w:type="pct"/>
            <w:tcBorders>
              <w:tl2br w:val="nil"/>
              <w:tr2bl w:val="nil"/>
            </w:tcBorders>
            <w:noWrap w:val="0"/>
            <w:vAlign w:val="center"/>
          </w:tcPr>
          <w:p w14:paraId="2903AD7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弃渣场中心坐标</w:t>
            </w:r>
          </w:p>
        </w:tc>
        <w:tc>
          <w:tcPr>
            <w:tcW w:w="399" w:type="pct"/>
            <w:vMerge w:val="continue"/>
            <w:tcBorders>
              <w:tl2br w:val="nil"/>
              <w:tr2bl w:val="nil"/>
            </w:tcBorders>
            <w:noWrap w:val="0"/>
            <w:vAlign w:val="center"/>
          </w:tcPr>
          <w:p w14:paraId="73AC54EF">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399" w:type="pct"/>
            <w:tcBorders>
              <w:tl2br w:val="nil"/>
              <w:tr2bl w:val="nil"/>
            </w:tcBorders>
            <w:noWrap w:val="0"/>
            <w:vAlign w:val="center"/>
          </w:tcPr>
          <w:p w14:paraId="7E1993C4">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地面以下</w:t>
            </w:r>
          </w:p>
        </w:tc>
        <w:tc>
          <w:tcPr>
            <w:tcW w:w="430" w:type="pct"/>
            <w:tcBorders>
              <w:tl2br w:val="nil"/>
              <w:tr2bl w:val="nil"/>
            </w:tcBorders>
            <w:noWrap w:val="0"/>
            <w:vAlign w:val="center"/>
          </w:tcPr>
          <w:p w14:paraId="5F313DE2">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地面以上</w:t>
            </w:r>
          </w:p>
        </w:tc>
        <w:tc>
          <w:tcPr>
            <w:tcW w:w="939" w:type="pct"/>
            <w:vMerge w:val="continue"/>
            <w:tcBorders>
              <w:tl2br w:val="nil"/>
              <w:tr2bl w:val="nil"/>
            </w:tcBorders>
            <w:noWrap w:val="0"/>
            <w:vAlign w:val="center"/>
          </w:tcPr>
          <w:p w14:paraId="24C3950A">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c>
          <w:tcPr>
            <w:tcW w:w="1370" w:type="pct"/>
            <w:vMerge w:val="continue"/>
            <w:tcBorders>
              <w:tl2br w:val="nil"/>
              <w:tr2bl w:val="nil"/>
            </w:tcBorders>
            <w:noWrap w:val="0"/>
            <w:vAlign w:val="center"/>
          </w:tcPr>
          <w:p w14:paraId="3831F38A">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p>
        </w:tc>
      </w:tr>
      <w:tr w14:paraId="30DB12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0" w:type="pct"/>
            <w:tcBorders>
              <w:tl2br w:val="nil"/>
              <w:tr2bl w:val="nil"/>
            </w:tcBorders>
            <w:noWrap w:val="0"/>
            <w:vAlign w:val="center"/>
          </w:tcPr>
          <w:p w14:paraId="2CFFDAA3">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新增弃渣场，废弃坑塘</w:t>
            </w:r>
          </w:p>
        </w:tc>
        <w:tc>
          <w:tcPr>
            <w:tcW w:w="484" w:type="pct"/>
            <w:tcBorders>
              <w:tl2br w:val="nil"/>
              <w:tr2bl w:val="nil"/>
            </w:tcBorders>
            <w:noWrap w:val="0"/>
            <w:vAlign w:val="center"/>
          </w:tcPr>
          <w:p w14:paraId="1B4B1C87">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主线桩号K6+221东侧8.7km</w:t>
            </w:r>
          </w:p>
        </w:tc>
        <w:tc>
          <w:tcPr>
            <w:tcW w:w="516" w:type="pct"/>
            <w:tcBorders>
              <w:tl2br w:val="nil"/>
              <w:tr2bl w:val="nil"/>
            </w:tcBorders>
            <w:noWrap w:val="0"/>
            <w:vAlign w:val="center"/>
          </w:tcPr>
          <w:p w14:paraId="3CDFA397">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东经：</w:t>
            </w:r>
          </w:p>
          <w:p w14:paraId="171C95E7">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130</w:t>
            </w:r>
            <w:r>
              <w:rPr>
                <w:rFonts w:hint="default" w:ascii="Times New Roman" w:hAnsi="Times New Roman" w:cs="Times New Roman"/>
                <w:color w:val="000000" w:themeColor="text1"/>
                <w:kern w:val="0"/>
                <w:sz w:val="21"/>
                <w:szCs w:val="21"/>
                <w:highlight w:val="none"/>
                <w:lang w:val="en-US" w:eastAsia="zh-CN"/>
              </w:rPr>
              <w:t>°3</w:t>
            </w:r>
            <w:r>
              <w:rPr>
                <w:rFonts w:hint="eastAsia" w:ascii="Times New Roman" w:hAnsi="Times New Roman" w:cs="Times New Roman"/>
                <w:color w:val="000000" w:themeColor="text1"/>
                <w:kern w:val="0"/>
                <w:sz w:val="21"/>
                <w:szCs w:val="21"/>
                <w:highlight w:val="none"/>
                <w:lang w:val="en-US" w:eastAsia="zh-CN"/>
              </w:rPr>
              <w:t>0</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7.47</w:t>
            </w:r>
            <w:r>
              <w:rPr>
                <w:rFonts w:hint="default" w:ascii="Times New Roman" w:hAnsi="Times New Roman" w:cs="Times New Roman"/>
                <w:color w:val="000000" w:themeColor="text1"/>
                <w:kern w:val="0"/>
                <w:sz w:val="21"/>
                <w:szCs w:val="21"/>
                <w:highlight w:val="none"/>
                <w:lang w:val="en-US" w:eastAsia="zh-CN"/>
              </w:rPr>
              <w:t>″北纬：</w:t>
            </w:r>
          </w:p>
          <w:p w14:paraId="5B228715">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47</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24</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44.67</w:t>
            </w:r>
            <w:r>
              <w:rPr>
                <w:rFonts w:hint="default" w:ascii="Times New Roman" w:hAnsi="Times New Roman" w:cs="Times New Roman"/>
                <w:color w:val="000000" w:themeColor="text1"/>
                <w:kern w:val="0"/>
                <w:sz w:val="21"/>
                <w:szCs w:val="21"/>
                <w:highlight w:val="none"/>
                <w:lang w:val="en-US" w:eastAsia="zh-CN"/>
              </w:rPr>
              <w:t>″</w:t>
            </w:r>
          </w:p>
        </w:tc>
        <w:tc>
          <w:tcPr>
            <w:tcW w:w="399" w:type="pct"/>
            <w:tcBorders>
              <w:tl2br w:val="nil"/>
              <w:tr2bl w:val="nil"/>
            </w:tcBorders>
            <w:noWrap w:val="0"/>
            <w:vAlign w:val="center"/>
          </w:tcPr>
          <w:p w14:paraId="3187FC4C">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2.89</w:t>
            </w:r>
          </w:p>
        </w:tc>
        <w:tc>
          <w:tcPr>
            <w:tcW w:w="399" w:type="pct"/>
            <w:tcBorders>
              <w:tl2br w:val="nil"/>
              <w:tr2bl w:val="nil"/>
            </w:tcBorders>
            <w:noWrap w:val="0"/>
            <w:vAlign w:val="center"/>
          </w:tcPr>
          <w:p w14:paraId="3B59F15A">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5.8</w:t>
            </w:r>
          </w:p>
        </w:tc>
        <w:tc>
          <w:tcPr>
            <w:tcW w:w="430" w:type="pct"/>
            <w:tcBorders>
              <w:tl2br w:val="nil"/>
              <w:tr2bl w:val="nil"/>
            </w:tcBorders>
            <w:noWrap w:val="0"/>
            <w:vAlign w:val="center"/>
          </w:tcPr>
          <w:p w14:paraId="22F0A902">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0.17（表土回覆高度）</w:t>
            </w:r>
          </w:p>
        </w:tc>
        <w:tc>
          <w:tcPr>
            <w:tcW w:w="939" w:type="pct"/>
            <w:tcBorders>
              <w:tl2br w:val="nil"/>
              <w:tr2bl w:val="nil"/>
            </w:tcBorders>
            <w:noWrap w:val="0"/>
            <w:vAlign w:val="center"/>
          </w:tcPr>
          <w:p w14:paraId="7FC4117E">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距主线较近，下游3km范围内无居民点等重要基础设施，弃渣结束后渣顶回覆表土厚度0.17m</w:t>
            </w:r>
            <w:r>
              <w:rPr>
                <w:rFonts w:hint="eastAsia" w:ascii="Times New Roman" w:hAnsi="Times New Roman" w:cs="Times New Roman"/>
                <w:color w:val="000000" w:themeColor="text1"/>
                <w:kern w:val="0"/>
                <w:sz w:val="21"/>
                <w:szCs w:val="21"/>
                <w:highlight w:val="none"/>
                <w:lang w:val="en-US" w:eastAsia="zh-CN"/>
              </w:rPr>
              <w:t>基本</w:t>
            </w:r>
            <w:r>
              <w:rPr>
                <w:rFonts w:hint="default" w:ascii="Times New Roman" w:hAnsi="Times New Roman" w:cs="Times New Roman"/>
                <w:color w:val="000000" w:themeColor="text1"/>
                <w:kern w:val="0"/>
                <w:sz w:val="21"/>
                <w:szCs w:val="21"/>
                <w:highlight w:val="none"/>
                <w:lang w:val="en-US" w:eastAsia="zh-CN"/>
              </w:rPr>
              <w:t>同周边原地貌平稳顺接。</w:t>
            </w:r>
          </w:p>
        </w:tc>
        <w:tc>
          <w:tcPr>
            <w:tcW w:w="1370" w:type="pct"/>
            <w:tcBorders>
              <w:tl2br w:val="nil"/>
              <w:tr2bl w:val="nil"/>
            </w:tcBorders>
            <w:noWrap w:val="0"/>
            <w:vAlign w:val="center"/>
          </w:tcPr>
          <w:p w14:paraId="3F08E47B">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根据《水土保持工程设计规范》，本工程涉及弃渣场弃渣量均小于50万m</w:t>
            </w:r>
            <w:r>
              <w:rPr>
                <w:rFonts w:hint="default" w:ascii="Times New Roman" w:hAnsi="Times New Roman" w:cs="Times New Roman"/>
                <w:color w:val="000000" w:themeColor="text1"/>
                <w:kern w:val="0"/>
                <w:sz w:val="21"/>
                <w:szCs w:val="21"/>
                <w:highlight w:val="none"/>
                <w:vertAlign w:val="superscript"/>
                <w:lang w:val="en-US" w:eastAsia="zh-CN"/>
              </w:rPr>
              <w:t>3</w:t>
            </w:r>
            <w:r>
              <w:rPr>
                <w:rFonts w:hint="default" w:ascii="Times New Roman" w:hAnsi="Times New Roman" w:cs="Times New Roman"/>
                <w:color w:val="000000" w:themeColor="text1"/>
                <w:kern w:val="0"/>
                <w:sz w:val="21"/>
                <w:szCs w:val="21"/>
                <w:highlight w:val="none"/>
                <w:lang w:val="en-US" w:eastAsia="zh-CN"/>
              </w:rPr>
              <w:t>，堆渣高度均小于20m，下游3km范围内无居民点、公路等重要基础设施，渣场对主体工程或环境均无危害，因此，确定本工程弃渣场级别均为5级。</w:t>
            </w:r>
          </w:p>
        </w:tc>
      </w:tr>
    </w:tbl>
    <w:p w14:paraId="3F534A12">
      <w:pPr>
        <w:pStyle w:val="138"/>
        <w:rPr>
          <w:rFonts w:hint="default" w:ascii="Times New Roman" w:hAnsi="Times New Roman" w:eastAsia="宋体" w:cs="Times New Roman"/>
          <w:b/>
          <w:color w:val="000000" w:themeColor="text1"/>
          <w:kern w:val="2"/>
          <w:sz w:val="24"/>
          <w:szCs w:val="24"/>
          <w:highlight w:val="none"/>
          <w:lang w:val="en-US" w:eastAsia="zh-CN" w:bidi="ar-SA"/>
        </w:rPr>
      </w:pPr>
      <w:r>
        <w:rPr>
          <w:rFonts w:hint="eastAsia" w:ascii="Times New Roman" w:hAnsi="Times New Roman" w:eastAsia="宋体" w:cs="Times New Roman"/>
          <w:b/>
          <w:color w:val="000000" w:themeColor="text1"/>
          <w:kern w:val="2"/>
          <w:sz w:val="24"/>
          <w:szCs w:val="24"/>
          <w:highlight w:val="none"/>
          <w:lang w:val="en-US" w:eastAsia="zh-CN" w:bidi="ar-SA"/>
        </w:rPr>
        <w:t>表</w:t>
      </w:r>
      <w:r>
        <w:rPr>
          <w:rFonts w:hint="eastAsia" w:ascii="Times New Roman" w:hAnsi="Times New Roman" w:cs="Times New Roman"/>
          <w:b/>
          <w:color w:val="000000" w:themeColor="text1"/>
          <w:kern w:val="2"/>
          <w:sz w:val="24"/>
          <w:szCs w:val="24"/>
          <w:highlight w:val="none"/>
          <w:lang w:val="en-US" w:eastAsia="zh-CN" w:bidi="ar-SA"/>
        </w:rPr>
        <w:t>3.1-16</w:t>
      </w:r>
      <w:r>
        <w:rPr>
          <w:rFonts w:hint="eastAsia" w:ascii="Times New Roman" w:hAnsi="Times New Roman" w:eastAsia="宋体" w:cs="Times New Roman"/>
          <w:b/>
          <w:color w:val="000000" w:themeColor="text1"/>
          <w:kern w:val="2"/>
          <w:sz w:val="24"/>
          <w:szCs w:val="24"/>
          <w:highlight w:val="none"/>
          <w:lang w:val="en-US" w:eastAsia="zh-CN" w:bidi="ar-SA"/>
        </w:rPr>
        <w:t xml:space="preserve">  弃渣场特性表</w:t>
      </w:r>
    </w:p>
    <w:tbl>
      <w:tblPr>
        <w:tblStyle w:val="34"/>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84"/>
        <w:gridCol w:w="6135"/>
      </w:tblGrid>
      <w:tr w14:paraId="1A7083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vMerge w:val="restart"/>
            <w:tcBorders>
              <w:tl2br w:val="nil"/>
              <w:tr2bl w:val="nil"/>
            </w:tcBorders>
            <w:noWrap w:val="0"/>
            <w:vAlign w:val="center"/>
          </w:tcPr>
          <w:p w14:paraId="7251356E">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地理位置</w:t>
            </w:r>
          </w:p>
        </w:tc>
        <w:tc>
          <w:tcPr>
            <w:tcW w:w="3600" w:type="pct"/>
            <w:tcBorders>
              <w:tl2br w:val="nil"/>
              <w:tr2bl w:val="nil"/>
            </w:tcBorders>
            <w:noWrap w:val="0"/>
            <w:vAlign w:val="center"/>
          </w:tcPr>
          <w:p w14:paraId="7CE9C8D3">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主线桩号K6+221东侧8.7km，西侧紧邻现有道路，交通便利</w:t>
            </w:r>
          </w:p>
        </w:tc>
      </w:tr>
      <w:tr w14:paraId="47BA1F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vMerge w:val="continue"/>
            <w:tcBorders>
              <w:tl2br w:val="nil"/>
              <w:tr2bl w:val="nil"/>
            </w:tcBorders>
            <w:noWrap w:val="0"/>
            <w:vAlign w:val="center"/>
          </w:tcPr>
          <w:p w14:paraId="448315FF">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p>
        </w:tc>
        <w:tc>
          <w:tcPr>
            <w:tcW w:w="3600" w:type="pct"/>
            <w:tcBorders>
              <w:tl2br w:val="nil"/>
              <w:tr2bl w:val="nil"/>
            </w:tcBorders>
            <w:noWrap w:val="0"/>
            <w:vAlign w:val="center"/>
          </w:tcPr>
          <w:p w14:paraId="3DAB9E5A">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drawing>
                <wp:inline distT="0" distB="0" distL="114300" distR="114300">
                  <wp:extent cx="3193415" cy="2073910"/>
                  <wp:effectExtent l="0" t="0" r="6985" b="1397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37"/>
                          <a:stretch>
                            <a:fillRect/>
                          </a:stretch>
                        </pic:blipFill>
                        <pic:spPr>
                          <a:xfrm>
                            <a:off x="0" y="0"/>
                            <a:ext cx="3193415" cy="2073910"/>
                          </a:xfrm>
                          <a:prstGeom prst="rect">
                            <a:avLst/>
                          </a:prstGeom>
                          <a:noFill/>
                          <a:ln>
                            <a:noFill/>
                          </a:ln>
                        </pic:spPr>
                      </pic:pic>
                    </a:graphicData>
                  </a:graphic>
                </wp:inline>
              </w:drawing>
            </w:r>
          </w:p>
        </w:tc>
      </w:tr>
      <w:tr w14:paraId="241EEB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1D300FB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中心坐标</w:t>
            </w:r>
          </w:p>
        </w:tc>
        <w:tc>
          <w:tcPr>
            <w:tcW w:w="3600" w:type="pct"/>
            <w:tcBorders>
              <w:tl2br w:val="nil"/>
              <w:tr2bl w:val="nil"/>
            </w:tcBorders>
            <w:noWrap w:val="0"/>
            <w:vAlign w:val="center"/>
          </w:tcPr>
          <w:p w14:paraId="649EDC3A">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东经：</w:t>
            </w:r>
            <w:r>
              <w:rPr>
                <w:rFonts w:hint="eastAsia" w:ascii="Times New Roman" w:hAnsi="Times New Roman" w:cs="Times New Roman"/>
                <w:color w:val="000000" w:themeColor="text1"/>
                <w:kern w:val="0"/>
                <w:sz w:val="21"/>
                <w:szCs w:val="21"/>
                <w:highlight w:val="none"/>
                <w:lang w:val="en-US" w:eastAsia="zh-CN"/>
              </w:rPr>
              <w:t>130</w:t>
            </w:r>
            <w:r>
              <w:rPr>
                <w:rFonts w:hint="default" w:ascii="Times New Roman" w:hAnsi="Times New Roman" w:cs="Times New Roman"/>
                <w:color w:val="000000" w:themeColor="text1"/>
                <w:kern w:val="0"/>
                <w:sz w:val="21"/>
                <w:szCs w:val="21"/>
                <w:highlight w:val="none"/>
                <w:lang w:val="en-US" w:eastAsia="zh-CN"/>
              </w:rPr>
              <w:t>°3</w:t>
            </w:r>
            <w:r>
              <w:rPr>
                <w:rFonts w:hint="eastAsia" w:ascii="Times New Roman" w:hAnsi="Times New Roman" w:cs="Times New Roman"/>
                <w:color w:val="000000" w:themeColor="text1"/>
                <w:kern w:val="0"/>
                <w:sz w:val="21"/>
                <w:szCs w:val="21"/>
                <w:highlight w:val="none"/>
                <w:lang w:val="en-US" w:eastAsia="zh-CN"/>
              </w:rPr>
              <w:t>0</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7.47</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w:t>
            </w:r>
            <w:r>
              <w:rPr>
                <w:rFonts w:hint="default" w:ascii="Times New Roman" w:hAnsi="Times New Roman" w:cs="Times New Roman"/>
                <w:color w:val="000000" w:themeColor="text1"/>
                <w:kern w:val="0"/>
                <w:sz w:val="21"/>
                <w:szCs w:val="21"/>
                <w:highlight w:val="none"/>
                <w:lang w:val="en-US" w:eastAsia="zh-CN"/>
              </w:rPr>
              <w:t>北纬：</w:t>
            </w:r>
            <w:r>
              <w:rPr>
                <w:rFonts w:hint="eastAsia" w:ascii="Times New Roman" w:hAnsi="Times New Roman" w:cs="Times New Roman"/>
                <w:color w:val="000000" w:themeColor="text1"/>
                <w:kern w:val="0"/>
                <w:sz w:val="21"/>
                <w:szCs w:val="21"/>
                <w:highlight w:val="none"/>
                <w:lang w:val="en-US" w:eastAsia="zh-CN"/>
              </w:rPr>
              <w:t>47</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24</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44.67</w:t>
            </w:r>
            <w:r>
              <w:rPr>
                <w:rFonts w:hint="default" w:ascii="Times New Roman" w:hAnsi="Times New Roman" w:cs="Times New Roman"/>
                <w:color w:val="000000" w:themeColor="text1"/>
                <w:kern w:val="0"/>
                <w:sz w:val="21"/>
                <w:szCs w:val="21"/>
                <w:highlight w:val="none"/>
                <w:lang w:val="en-US" w:eastAsia="zh-CN"/>
              </w:rPr>
              <w:t>″</w:t>
            </w:r>
          </w:p>
        </w:tc>
      </w:tr>
      <w:tr w14:paraId="5F3C16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1C25A5E8">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弃渣场选择类型及现状</w:t>
            </w:r>
          </w:p>
        </w:tc>
        <w:tc>
          <w:tcPr>
            <w:tcW w:w="3600" w:type="pct"/>
            <w:tcBorders>
              <w:tl2br w:val="nil"/>
              <w:tr2bl w:val="nil"/>
            </w:tcBorders>
            <w:noWrap w:val="0"/>
            <w:vAlign w:val="center"/>
          </w:tcPr>
          <w:p w14:paraId="50F7980F">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原有废弃</w:t>
            </w:r>
            <w:r>
              <w:rPr>
                <w:rFonts w:hint="eastAsia" w:ascii="Times New Roman" w:hAnsi="Times New Roman" w:cs="Times New Roman"/>
                <w:color w:val="000000" w:themeColor="text1"/>
                <w:kern w:val="0"/>
                <w:sz w:val="21"/>
                <w:szCs w:val="21"/>
                <w:highlight w:val="none"/>
                <w:lang w:val="en-US" w:eastAsia="zh-CN"/>
              </w:rPr>
              <w:t>坑塘</w:t>
            </w:r>
            <w:r>
              <w:rPr>
                <w:rFonts w:hint="default" w:ascii="Times New Roman" w:hAnsi="Times New Roman" w:cs="Times New Roman"/>
                <w:color w:val="000000" w:themeColor="text1"/>
                <w:kern w:val="0"/>
                <w:sz w:val="21"/>
                <w:szCs w:val="21"/>
                <w:highlight w:val="none"/>
                <w:lang w:val="en-US" w:eastAsia="zh-CN"/>
              </w:rPr>
              <w:t>，占地类型为</w:t>
            </w:r>
            <w:r>
              <w:rPr>
                <w:rFonts w:hint="eastAsia" w:ascii="Times New Roman" w:hAnsi="Times New Roman" w:cs="Times New Roman"/>
                <w:color w:val="000000" w:themeColor="text1"/>
                <w:kern w:val="0"/>
                <w:sz w:val="21"/>
                <w:szCs w:val="21"/>
                <w:highlight w:val="none"/>
                <w:lang w:val="en-US" w:eastAsia="zh-CN"/>
              </w:rPr>
              <w:t>其他土地</w:t>
            </w:r>
            <w:r>
              <w:rPr>
                <w:rFonts w:hint="default" w:ascii="Times New Roman" w:hAnsi="Times New Roman" w:cs="Times New Roman"/>
                <w:color w:val="000000" w:themeColor="text1"/>
                <w:kern w:val="0"/>
                <w:sz w:val="21"/>
                <w:szCs w:val="21"/>
                <w:highlight w:val="none"/>
                <w:lang w:val="en-US" w:eastAsia="zh-CN"/>
              </w:rPr>
              <w:t>，</w:t>
            </w:r>
            <w:r>
              <w:rPr>
                <w:rFonts w:hint="eastAsia" w:ascii="Times New Roman" w:hAnsi="Times New Roman" w:cs="Times New Roman"/>
                <w:color w:val="000000" w:themeColor="text1"/>
                <w:kern w:val="0"/>
                <w:sz w:val="21"/>
                <w:szCs w:val="21"/>
                <w:highlight w:val="none"/>
                <w:lang w:val="en-US" w:eastAsia="zh-CN"/>
              </w:rPr>
              <w:t>弃渣场场内</w:t>
            </w:r>
            <w:r>
              <w:rPr>
                <w:rFonts w:hint="default" w:ascii="Times New Roman" w:hAnsi="Times New Roman" w:cs="Times New Roman"/>
                <w:color w:val="000000" w:themeColor="text1"/>
                <w:kern w:val="0"/>
                <w:sz w:val="21"/>
                <w:szCs w:val="21"/>
                <w:highlight w:val="none"/>
                <w:lang w:val="en-US" w:eastAsia="zh-CN"/>
              </w:rPr>
              <w:t>占地面积</w:t>
            </w:r>
            <w:r>
              <w:rPr>
                <w:rFonts w:hint="eastAsia" w:ascii="Times New Roman" w:hAnsi="Times New Roman" w:cs="Times New Roman"/>
                <w:color w:val="000000" w:themeColor="text1"/>
                <w:kern w:val="0"/>
                <w:sz w:val="21"/>
                <w:szCs w:val="21"/>
                <w:highlight w:val="none"/>
                <w:lang w:val="en-US" w:eastAsia="zh-CN"/>
              </w:rPr>
              <w:t>0.50</w:t>
            </w:r>
            <w:r>
              <w:rPr>
                <w:rFonts w:hint="default" w:ascii="Times New Roman" w:hAnsi="Times New Roman" w:cs="Times New Roman"/>
                <w:color w:val="000000" w:themeColor="text1"/>
                <w:kern w:val="0"/>
                <w:sz w:val="21"/>
                <w:szCs w:val="21"/>
                <w:highlight w:val="none"/>
                <w:lang w:val="en-US" w:eastAsia="zh-CN"/>
              </w:rPr>
              <w:t>hm</w:t>
            </w:r>
            <w:r>
              <w:rPr>
                <w:rFonts w:hint="default" w:ascii="Times New Roman" w:hAnsi="Times New Roman" w:cs="Times New Roman"/>
                <w:color w:val="000000" w:themeColor="text1"/>
                <w:kern w:val="0"/>
                <w:sz w:val="21"/>
                <w:szCs w:val="21"/>
                <w:highlight w:val="none"/>
                <w:vertAlign w:val="superscript"/>
                <w:lang w:val="en-US" w:eastAsia="zh-CN"/>
              </w:rPr>
              <w:t>2</w:t>
            </w:r>
            <w:r>
              <w:rPr>
                <w:rFonts w:hint="default" w:ascii="Times New Roman" w:hAnsi="Times New Roman" w:cs="Times New Roman"/>
                <w:color w:val="000000" w:themeColor="text1"/>
                <w:kern w:val="0"/>
                <w:sz w:val="21"/>
                <w:szCs w:val="21"/>
                <w:highlight w:val="none"/>
                <w:lang w:val="en-US" w:eastAsia="zh-CN"/>
              </w:rPr>
              <w:t>，平均坑深</w:t>
            </w:r>
            <w:r>
              <w:rPr>
                <w:rFonts w:hint="eastAsia" w:ascii="Times New Roman" w:hAnsi="Times New Roman" w:cs="Times New Roman"/>
                <w:color w:val="000000" w:themeColor="text1"/>
                <w:kern w:val="0"/>
                <w:sz w:val="21"/>
                <w:szCs w:val="21"/>
                <w:highlight w:val="none"/>
                <w:lang w:val="en-US" w:eastAsia="zh-CN"/>
              </w:rPr>
              <w:t>5.8</w:t>
            </w:r>
            <w:r>
              <w:rPr>
                <w:rFonts w:hint="default" w:ascii="Times New Roman" w:hAnsi="Times New Roman" w:cs="Times New Roman"/>
                <w:color w:val="000000" w:themeColor="text1"/>
                <w:kern w:val="0"/>
                <w:sz w:val="21"/>
                <w:szCs w:val="21"/>
                <w:highlight w:val="none"/>
                <w:lang w:val="en-US" w:eastAsia="zh-CN"/>
              </w:rPr>
              <w:t>m，容积</w:t>
            </w:r>
            <w:r>
              <w:rPr>
                <w:rFonts w:hint="eastAsia" w:ascii="Times New Roman" w:hAnsi="Times New Roman" w:cs="Times New Roman"/>
                <w:color w:val="000000" w:themeColor="text1"/>
                <w:kern w:val="0"/>
                <w:sz w:val="21"/>
                <w:szCs w:val="21"/>
                <w:highlight w:val="none"/>
                <w:lang w:val="en-US" w:eastAsia="zh-CN"/>
              </w:rPr>
              <w:t>2.90</w:t>
            </w:r>
            <w:r>
              <w:rPr>
                <w:rFonts w:hint="default" w:ascii="Times New Roman" w:hAnsi="Times New Roman" w:cs="Times New Roman"/>
                <w:color w:val="000000" w:themeColor="text1"/>
                <w:kern w:val="0"/>
                <w:sz w:val="21"/>
                <w:szCs w:val="21"/>
                <w:highlight w:val="none"/>
                <w:lang w:val="en-US" w:eastAsia="zh-CN"/>
              </w:rPr>
              <w:t>万m</w:t>
            </w:r>
            <w:r>
              <w:rPr>
                <w:rFonts w:hint="default" w:ascii="Times New Roman" w:hAnsi="Times New Roman" w:cs="Times New Roman"/>
                <w:color w:val="000000" w:themeColor="text1"/>
                <w:kern w:val="0"/>
                <w:sz w:val="21"/>
                <w:szCs w:val="21"/>
                <w:highlight w:val="none"/>
                <w:vertAlign w:val="superscript"/>
                <w:lang w:val="en-US" w:eastAsia="zh-CN"/>
              </w:rPr>
              <w:t>3</w:t>
            </w:r>
            <w:r>
              <w:rPr>
                <w:rFonts w:hint="default" w:ascii="Times New Roman" w:hAnsi="Times New Roman" w:cs="Times New Roman"/>
                <w:color w:val="000000" w:themeColor="text1"/>
                <w:kern w:val="0"/>
                <w:sz w:val="21"/>
                <w:szCs w:val="21"/>
                <w:highlight w:val="none"/>
                <w:lang w:val="en-US" w:eastAsia="zh-CN"/>
              </w:rPr>
              <w:t>，占地范围内无可剥离的表土。</w:t>
            </w:r>
          </w:p>
        </w:tc>
      </w:tr>
      <w:tr w14:paraId="2B85C5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5E4A1EF9">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现状地形图</w:t>
            </w:r>
          </w:p>
        </w:tc>
        <w:tc>
          <w:tcPr>
            <w:tcW w:w="3600" w:type="pct"/>
            <w:tcBorders>
              <w:tl2br w:val="nil"/>
              <w:tr2bl w:val="nil"/>
            </w:tcBorders>
            <w:noWrap w:val="0"/>
            <w:vAlign w:val="center"/>
          </w:tcPr>
          <w:p w14:paraId="5A1F91FC">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drawing>
                <wp:inline distT="0" distB="0" distL="114300" distR="114300">
                  <wp:extent cx="3202305" cy="2056765"/>
                  <wp:effectExtent l="0" t="0" r="13335" b="635"/>
                  <wp:docPr id="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pic:cNvPicPr>
                            <a:picLocks noChangeAspect="1"/>
                          </pic:cNvPicPr>
                        </pic:nvPicPr>
                        <pic:blipFill>
                          <a:blip r:embed="rId38"/>
                          <a:stretch>
                            <a:fillRect/>
                          </a:stretch>
                        </pic:blipFill>
                        <pic:spPr>
                          <a:xfrm>
                            <a:off x="0" y="0"/>
                            <a:ext cx="3202305" cy="2056765"/>
                          </a:xfrm>
                          <a:prstGeom prst="rect">
                            <a:avLst/>
                          </a:prstGeom>
                          <a:noFill/>
                          <a:ln>
                            <a:noFill/>
                          </a:ln>
                        </pic:spPr>
                      </pic:pic>
                    </a:graphicData>
                  </a:graphic>
                </wp:inline>
              </w:drawing>
            </w:r>
          </w:p>
        </w:tc>
      </w:tr>
      <w:tr w14:paraId="1ECA51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17ED2997">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弃渣量及渣体类型</w:t>
            </w:r>
          </w:p>
        </w:tc>
        <w:tc>
          <w:tcPr>
            <w:tcW w:w="3600" w:type="pct"/>
            <w:tcBorders>
              <w:tl2br w:val="nil"/>
              <w:tr2bl w:val="nil"/>
            </w:tcBorders>
            <w:noWrap w:val="0"/>
            <w:vAlign w:val="center"/>
          </w:tcPr>
          <w:p w14:paraId="59250A3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弃渣场总弃渣量</w:t>
            </w:r>
            <w:r>
              <w:rPr>
                <w:rFonts w:hint="eastAsia" w:ascii="Times New Roman" w:hAnsi="Times New Roman" w:cs="Times New Roman"/>
                <w:color w:val="000000" w:themeColor="text1"/>
                <w:kern w:val="0"/>
                <w:sz w:val="21"/>
                <w:szCs w:val="21"/>
                <w:highlight w:val="none"/>
                <w:lang w:val="en-US" w:eastAsia="zh-CN"/>
              </w:rPr>
              <w:t>2.89</w:t>
            </w:r>
            <w:r>
              <w:rPr>
                <w:rFonts w:hint="default" w:ascii="Times New Roman" w:hAnsi="Times New Roman" w:cs="Times New Roman"/>
                <w:color w:val="000000" w:themeColor="text1"/>
                <w:kern w:val="0"/>
                <w:sz w:val="21"/>
                <w:szCs w:val="21"/>
                <w:highlight w:val="none"/>
                <w:lang w:val="en-US" w:eastAsia="zh-CN"/>
              </w:rPr>
              <w:t>万m</w:t>
            </w:r>
            <w:r>
              <w:rPr>
                <w:rFonts w:hint="default" w:ascii="Times New Roman" w:hAnsi="Times New Roman" w:cs="Times New Roman"/>
                <w:color w:val="000000" w:themeColor="text1"/>
                <w:kern w:val="0"/>
                <w:sz w:val="21"/>
                <w:szCs w:val="21"/>
                <w:highlight w:val="none"/>
                <w:vertAlign w:val="superscript"/>
                <w:lang w:val="en-US" w:eastAsia="zh-CN"/>
              </w:rPr>
              <w:t>3</w:t>
            </w:r>
            <w:r>
              <w:rPr>
                <w:rFonts w:hint="default" w:ascii="Times New Roman" w:hAnsi="Times New Roman" w:cs="Times New Roman"/>
                <w:color w:val="000000" w:themeColor="text1"/>
                <w:kern w:val="0"/>
                <w:sz w:val="21"/>
                <w:szCs w:val="21"/>
                <w:highlight w:val="none"/>
                <w:lang w:val="en-US" w:eastAsia="zh-CN"/>
              </w:rPr>
              <w:t>（自然方），弃渣主要为沿线不良地质段换填土方。</w:t>
            </w:r>
          </w:p>
        </w:tc>
      </w:tr>
      <w:tr w14:paraId="6E8D0A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7630786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周边重要设施</w:t>
            </w:r>
          </w:p>
        </w:tc>
        <w:tc>
          <w:tcPr>
            <w:tcW w:w="3600" w:type="pct"/>
            <w:tcBorders>
              <w:tl2br w:val="nil"/>
              <w:tr2bl w:val="nil"/>
            </w:tcBorders>
            <w:noWrap w:val="0"/>
            <w:vAlign w:val="center"/>
          </w:tcPr>
          <w:p w14:paraId="1DEF94D0">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距主线较近，下游3km范围内无居民点等重要基础设施，弃渣结束后渣顶同周边原地貌平稳顺接。</w:t>
            </w:r>
            <w:r>
              <w:rPr>
                <w:rFonts w:hint="eastAsia" w:ascii="Times New Roman" w:hAnsi="Times New Roman" w:cs="Times New Roman"/>
                <w:color w:val="000000" w:themeColor="text1"/>
                <w:kern w:val="0"/>
                <w:sz w:val="21"/>
                <w:szCs w:val="21"/>
                <w:highlight w:val="none"/>
                <w:lang w:val="en-US" w:eastAsia="zh-CN"/>
              </w:rPr>
              <w:t>主体</w:t>
            </w:r>
            <w:r>
              <w:rPr>
                <w:rFonts w:hint="default" w:ascii="Times New Roman" w:hAnsi="Times New Roman" w:cs="Times New Roman"/>
                <w:color w:val="000000" w:themeColor="text1"/>
                <w:kern w:val="0"/>
                <w:sz w:val="21"/>
                <w:szCs w:val="21"/>
                <w:highlight w:val="none"/>
                <w:lang w:val="en-US" w:eastAsia="zh-CN"/>
              </w:rPr>
              <w:t>设计林草措施后同周边植被环境相协调。</w:t>
            </w:r>
          </w:p>
        </w:tc>
      </w:tr>
      <w:tr w14:paraId="47EF6B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475B32C2">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周边地形地貌</w:t>
            </w:r>
          </w:p>
        </w:tc>
        <w:tc>
          <w:tcPr>
            <w:tcW w:w="3600" w:type="pct"/>
            <w:tcBorders>
              <w:tl2br w:val="nil"/>
              <w:tr2bl w:val="nil"/>
            </w:tcBorders>
            <w:noWrap w:val="0"/>
            <w:vAlign w:val="center"/>
          </w:tcPr>
          <w:p w14:paraId="4933D665">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弃</w:t>
            </w:r>
            <w:r>
              <w:rPr>
                <w:rFonts w:hint="eastAsia" w:ascii="Times New Roman" w:hAnsi="Times New Roman" w:cs="Times New Roman"/>
                <w:color w:val="000000" w:themeColor="text1"/>
                <w:kern w:val="0"/>
                <w:sz w:val="21"/>
                <w:szCs w:val="21"/>
                <w:highlight w:val="none"/>
                <w:lang w:val="en-US" w:eastAsia="zh-CN"/>
              </w:rPr>
              <w:t>渣</w:t>
            </w:r>
            <w:r>
              <w:rPr>
                <w:rFonts w:hint="default" w:ascii="Times New Roman" w:hAnsi="Times New Roman" w:cs="Times New Roman"/>
                <w:color w:val="000000" w:themeColor="text1"/>
                <w:kern w:val="0"/>
                <w:sz w:val="21"/>
                <w:szCs w:val="21"/>
                <w:highlight w:val="none"/>
                <w:lang w:val="en-US" w:eastAsia="zh-CN"/>
              </w:rPr>
              <w:t>场所在区域地貌单元为低山丘陵</w:t>
            </w:r>
            <w:r>
              <w:rPr>
                <w:rFonts w:hint="eastAsia" w:ascii="Times New Roman" w:hAnsi="Times New Roman" w:cs="Times New Roman"/>
                <w:color w:val="000000" w:themeColor="text1"/>
                <w:kern w:val="0"/>
                <w:sz w:val="21"/>
                <w:szCs w:val="21"/>
                <w:highlight w:val="none"/>
                <w:lang w:val="en-US" w:eastAsia="zh-CN"/>
              </w:rPr>
              <w:t>。</w:t>
            </w:r>
          </w:p>
        </w:tc>
      </w:tr>
      <w:tr w14:paraId="6EC4B6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6D205BCD">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涉及敏感区情况</w:t>
            </w:r>
          </w:p>
        </w:tc>
        <w:tc>
          <w:tcPr>
            <w:tcW w:w="3600" w:type="pct"/>
            <w:tcBorders>
              <w:tl2br w:val="nil"/>
              <w:tr2bl w:val="nil"/>
            </w:tcBorders>
            <w:noWrap w:val="0"/>
            <w:vAlign w:val="center"/>
          </w:tcPr>
          <w:p w14:paraId="7F94952F">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选址位于</w:t>
            </w:r>
            <w:r>
              <w:rPr>
                <w:rFonts w:hint="eastAsia" w:ascii="Times New Roman" w:hAnsi="Times New Roman" w:cs="Times New Roman"/>
                <w:color w:val="000000" w:themeColor="text1"/>
                <w:kern w:val="0"/>
                <w:sz w:val="21"/>
                <w:szCs w:val="21"/>
                <w:highlight w:val="none"/>
                <w:lang w:val="en-US" w:eastAsia="zh-CN"/>
              </w:rPr>
              <w:t>鹤岗市东山区</w:t>
            </w:r>
            <w:r>
              <w:rPr>
                <w:rFonts w:hint="default" w:ascii="Times New Roman" w:hAnsi="Times New Roman" w:cs="Times New Roman"/>
                <w:color w:val="000000" w:themeColor="text1"/>
                <w:kern w:val="0"/>
                <w:sz w:val="21"/>
                <w:szCs w:val="21"/>
                <w:highlight w:val="none"/>
                <w:lang w:val="en-US" w:eastAsia="zh-CN"/>
              </w:rPr>
              <w:t>境内，无法避让东北漫川漫岗省级水土流失重点治理区和鹤岗市水土流失重点预防区；该弃渣场不在基本农田、生态保护红线、水源地、岸线保护范围、国家重点公益林等范围内。</w:t>
            </w:r>
          </w:p>
        </w:tc>
      </w:tr>
      <w:tr w14:paraId="262443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708B1089">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地质资料（主设地质勘察报告）</w:t>
            </w:r>
          </w:p>
        </w:tc>
        <w:tc>
          <w:tcPr>
            <w:tcW w:w="3600" w:type="pct"/>
            <w:tcBorders>
              <w:tl2br w:val="nil"/>
              <w:tr2bl w:val="nil"/>
            </w:tcBorders>
            <w:noWrap w:val="0"/>
            <w:vAlign w:val="center"/>
          </w:tcPr>
          <w:p w14:paraId="1475DC1A">
            <w:pPr>
              <w:pageBreakBefore w:val="0"/>
              <w:widowControl/>
              <w:wordWrap/>
              <w:topLinePunct w:val="0"/>
              <w:bidi w:val="0"/>
              <w:spacing w:line="240" w:lineRule="auto"/>
              <w:ind w:firstLine="0" w:firstLineChars="0"/>
              <w:jc w:val="center"/>
              <w:rPr>
                <w:rFonts w:hint="default"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w:t>
            </w:r>
            <w:r>
              <w:rPr>
                <w:rFonts w:hint="default" w:ascii="Times New Roman" w:hAnsi="Times New Roman" w:cs="Times New Roman"/>
                <w:color w:val="000000" w:themeColor="text1"/>
                <w:kern w:val="0"/>
                <w:sz w:val="21"/>
                <w:szCs w:val="21"/>
                <w:highlight w:val="none"/>
                <w:lang w:val="en-US" w:eastAsia="zh-CN"/>
              </w:rPr>
              <w:t>场所在区域未发现有其他不利于工程建设的如滑坡、崩塌、泥石流、地面沉降、地裂缝、活动断裂、采空区等不良地质作用，区域稳定性较好，场地地层条件好，地基稳定性较好，适宜本工程建设。</w:t>
            </w:r>
          </w:p>
        </w:tc>
      </w:tr>
      <w:tr w14:paraId="5335CD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1FEBB1AE">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弃渣方式</w:t>
            </w:r>
          </w:p>
        </w:tc>
        <w:tc>
          <w:tcPr>
            <w:tcW w:w="3600" w:type="pct"/>
            <w:tcBorders>
              <w:tl2br w:val="nil"/>
              <w:tr2bl w:val="nil"/>
            </w:tcBorders>
            <w:noWrap w:val="0"/>
            <w:vAlign w:val="center"/>
          </w:tcPr>
          <w:p w14:paraId="056377F6">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台阶式堆渣，分层碾压砌筑，压实度大于1.17。</w:t>
            </w:r>
          </w:p>
        </w:tc>
      </w:tr>
      <w:tr w14:paraId="458DEB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99" w:type="pct"/>
            <w:tcBorders>
              <w:tl2br w:val="nil"/>
              <w:tr2bl w:val="nil"/>
            </w:tcBorders>
            <w:noWrap w:val="0"/>
            <w:vAlign w:val="center"/>
          </w:tcPr>
          <w:p w14:paraId="6A145C41">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恢复治理方案</w:t>
            </w:r>
          </w:p>
        </w:tc>
        <w:tc>
          <w:tcPr>
            <w:tcW w:w="3600" w:type="pct"/>
            <w:tcBorders>
              <w:tl2br w:val="nil"/>
              <w:tr2bl w:val="nil"/>
            </w:tcBorders>
            <w:noWrap w:val="0"/>
            <w:vAlign w:val="center"/>
          </w:tcPr>
          <w:p w14:paraId="59441570">
            <w:pPr>
              <w:pageBreakBefore w:val="0"/>
              <w:widowControl/>
              <w:wordWrap/>
              <w:topLinePunct w:val="0"/>
              <w:bidi w:val="0"/>
              <w:spacing w:line="240" w:lineRule="auto"/>
              <w:ind w:firstLine="0" w:firstLineChars="0"/>
              <w:jc w:val="center"/>
              <w:rPr>
                <w:rFonts w:hint="eastAsia" w:ascii="Times New Roman" w:hAnsi="Times New Roman" w:cs="Times New Roman"/>
                <w:color w:val="000000" w:themeColor="text1"/>
                <w:kern w:val="0"/>
                <w:sz w:val="21"/>
                <w:szCs w:val="21"/>
                <w:highlight w:val="none"/>
                <w:lang w:val="en-US" w:eastAsia="zh-CN"/>
              </w:rPr>
            </w:pPr>
            <w:r>
              <w:rPr>
                <w:rFonts w:hint="eastAsia" w:ascii="Times New Roman" w:hAnsi="Times New Roman" w:cs="Times New Roman"/>
                <w:color w:val="000000" w:themeColor="text1"/>
                <w:kern w:val="0"/>
                <w:sz w:val="21"/>
                <w:szCs w:val="21"/>
                <w:highlight w:val="none"/>
                <w:lang w:val="en-US" w:eastAsia="zh-CN"/>
              </w:rPr>
              <w:t>主体设计计占地范围内上游边界处布置截排水沟，渣顶灌草栽植措施。</w:t>
            </w:r>
          </w:p>
        </w:tc>
      </w:tr>
    </w:tbl>
    <w:p w14:paraId="56208560">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6</w:t>
      </w:r>
      <w:r>
        <w:rPr>
          <w:color w:val="000000" w:themeColor="text1"/>
          <w:highlight w:val="none"/>
        </w:rPr>
        <w:t>）</w:t>
      </w:r>
      <w:r>
        <w:rPr>
          <w:rFonts w:hint="eastAsia"/>
          <w:color w:val="000000" w:themeColor="text1"/>
          <w:highlight w:val="none"/>
          <w:lang w:val="en-US" w:eastAsia="zh-CN"/>
        </w:rPr>
        <w:t>综合站场</w:t>
      </w:r>
      <w:r>
        <w:rPr>
          <w:rFonts w:hint="eastAsia"/>
          <w:color w:val="000000" w:themeColor="text1"/>
          <w:highlight w:val="none"/>
        </w:rPr>
        <w:t>及桥梁</w:t>
      </w:r>
      <w:r>
        <w:rPr>
          <w:color w:val="000000" w:themeColor="text1"/>
          <w:highlight w:val="none"/>
        </w:rPr>
        <w:t>施工场</w:t>
      </w:r>
    </w:p>
    <w:p w14:paraId="346C5073">
      <w:pPr>
        <w:pageBreakBefore w:val="0"/>
        <w:wordWrap/>
        <w:topLinePunct w:val="0"/>
        <w:bidi w:val="0"/>
        <w:spacing w:line="360" w:lineRule="auto"/>
        <w:rPr>
          <w:color w:val="000000" w:themeColor="text1"/>
          <w:highlight w:val="none"/>
        </w:rPr>
      </w:pPr>
      <w:r>
        <w:rPr>
          <w:color w:val="000000" w:themeColor="text1"/>
          <w:highlight w:val="none"/>
        </w:rPr>
        <w:t>项目</w:t>
      </w:r>
      <w:r>
        <w:rPr>
          <w:rFonts w:hint="eastAsia"/>
          <w:color w:val="000000" w:themeColor="text1"/>
          <w:highlight w:val="none"/>
        </w:rPr>
        <w:t>本着节约占地，方便运输及管理的需要。项目临时占地采用点位分散及功能集中的原则进行建设，即各类站场能合并的就合并建设。</w:t>
      </w:r>
      <w:r>
        <w:rPr>
          <w:rFonts w:hint="eastAsia"/>
          <w:color w:val="000000" w:themeColor="text1"/>
          <w:highlight w:val="none"/>
          <w:lang w:val="en-US" w:eastAsia="zh-CN"/>
        </w:rPr>
        <w:t>本项目路线相对较短，因此</w:t>
      </w:r>
      <w:r>
        <w:rPr>
          <w:rFonts w:hint="eastAsia"/>
          <w:color w:val="000000" w:themeColor="text1"/>
          <w:highlight w:val="none"/>
        </w:rPr>
        <w:t>设置</w:t>
      </w:r>
      <w:r>
        <w:rPr>
          <w:rFonts w:hint="eastAsia"/>
          <w:color w:val="000000" w:themeColor="text1"/>
          <w:highlight w:val="none"/>
          <w:lang w:val="en-US" w:eastAsia="zh-CN"/>
        </w:rPr>
        <w:t>1</w:t>
      </w:r>
      <w:r>
        <w:rPr>
          <w:rFonts w:hint="eastAsia"/>
          <w:color w:val="000000" w:themeColor="text1"/>
          <w:highlight w:val="none"/>
        </w:rPr>
        <w:t>处综合站场。综合站场内主要含有</w:t>
      </w:r>
      <w:r>
        <w:rPr>
          <w:rFonts w:hint="eastAsia"/>
          <w:color w:val="000000" w:themeColor="text1"/>
          <w:highlight w:val="none"/>
          <w:lang w:val="en-US" w:eastAsia="zh-CN"/>
        </w:rPr>
        <w:t>施工驻地、</w:t>
      </w:r>
      <w:r>
        <w:rPr>
          <w:rFonts w:hint="eastAsia"/>
          <w:color w:val="000000" w:themeColor="text1"/>
          <w:highlight w:val="none"/>
        </w:rPr>
        <w:t>基层拌合、沥青面层拌合、混凝土拌合站及桥梁预制场。综合站场</w:t>
      </w:r>
      <w:r>
        <w:rPr>
          <w:rFonts w:hint="eastAsia"/>
          <w:color w:val="000000" w:themeColor="text1"/>
          <w:highlight w:val="none"/>
          <w:lang w:val="en-US" w:eastAsia="zh-CN"/>
        </w:rPr>
        <w:t>占地面积3</w:t>
      </w:r>
      <w:r>
        <w:rPr>
          <w:rFonts w:hint="eastAsia"/>
          <w:color w:val="000000" w:themeColor="text1"/>
          <w:highlight w:val="none"/>
        </w:rPr>
        <w:t>hm</w:t>
      </w:r>
      <w:r>
        <w:rPr>
          <w:color w:val="000000" w:themeColor="text1"/>
          <w:highlight w:val="none"/>
          <w:vertAlign w:val="superscript"/>
        </w:rPr>
        <w:t>2</w:t>
      </w:r>
      <w:r>
        <w:rPr>
          <w:rFonts w:hint="eastAsia"/>
          <w:color w:val="000000" w:themeColor="text1"/>
          <w:highlight w:val="none"/>
        </w:rPr>
        <w:t>，为</w:t>
      </w:r>
      <w:r>
        <w:rPr>
          <w:rFonts w:hint="eastAsia"/>
          <w:color w:val="000000" w:themeColor="text1"/>
          <w:highlight w:val="none"/>
          <w:lang w:val="en-US" w:eastAsia="zh-CN"/>
        </w:rPr>
        <w:t>工矿仓储用地</w:t>
      </w:r>
      <w:r>
        <w:rPr>
          <w:rFonts w:hint="eastAsia"/>
          <w:color w:val="000000" w:themeColor="text1"/>
          <w:highlight w:val="none"/>
        </w:rPr>
        <w:t>。</w:t>
      </w:r>
    </w:p>
    <w:p w14:paraId="411CDF61">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根据分析结果可知，项目</w:t>
      </w:r>
      <w:r>
        <w:rPr>
          <w:rFonts w:hint="eastAsia"/>
          <w:color w:val="000000" w:themeColor="text1"/>
          <w:highlight w:val="none"/>
          <w:lang w:val="en-US" w:eastAsia="zh-CN"/>
        </w:rPr>
        <w:t>综合站场</w:t>
      </w:r>
      <w:r>
        <w:rPr>
          <w:rFonts w:hint="eastAsia"/>
          <w:color w:val="000000" w:themeColor="text1"/>
          <w:highlight w:val="none"/>
        </w:rPr>
        <w:t>不占用生态红线，不涉及重要生态环境敏感区，均避开永久基本农田、公益林及饮用水水源保护区等，与周边村屯满足沥青拌合站距离居民距离符合300m的要求，基层拌合站距离居民区的距离符合200m的要求，本工程</w:t>
      </w:r>
      <w:r>
        <w:rPr>
          <w:rFonts w:hint="eastAsia"/>
          <w:color w:val="000000" w:themeColor="text1"/>
          <w:highlight w:val="none"/>
          <w:lang w:val="en-US" w:eastAsia="zh-CN"/>
        </w:rPr>
        <w:t>综合站场</w:t>
      </w:r>
      <w:r>
        <w:rPr>
          <w:rFonts w:hint="eastAsia"/>
          <w:color w:val="000000" w:themeColor="text1"/>
          <w:highlight w:val="none"/>
        </w:rPr>
        <w:t>选址合理。</w:t>
      </w:r>
    </w:p>
    <w:p w14:paraId="360AFF1F">
      <w:pPr>
        <w:pageBreakBefore w:val="0"/>
        <w:wordWrap/>
        <w:topLinePunct w:val="0"/>
        <w:bidi w:val="0"/>
        <w:spacing w:line="360" w:lineRule="auto"/>
        <w:rPr>
          <w:color w:val="000000" w:themeColor="text1"/>
          <w:highlight w:val="none"/>
        </w:rPr>
      </w:pPr>
      <w:r>
        <w:rPr>
          <w:color w:val="000000" w:themeColor="text1"/>
          <w:highlight w:val="none"/>
        </w:rPr>
        <w:t>本项目共设置</w:t>
      </w:r>
      <w:r>
        <w:rPr>
          <w:rFonts w:hint="eastAsia"/>
          <w:color w:val="000000" w:themeColor="text1"/>
          <w:highlight w:val="none"/>
          <w:lang w:val="en-US" w:eastAsia="zh-CN"/>
        </w:rPr>
        <w:t>3</w:t>
      </w:r>
      <w:r>
        <w:rPr>
          <w:color w:val="000000" w:themeColor="text1"/>
          <w:highlight w:val="none"/>
        </w:rPr>
        <w:t>处桥梁施工场地，均位于各桥梁附近</w:t>
      </w:r>
      <w:r>
        <w:rPr>
          <w:rFonts w:hint="eastAsia"/>
          <w:color w:val="000000" w:themeColor="text1"/>
          <w:highlight w:val="none"/>
          <w:lang w:eastAsia="zh-CN"/>
        </w:rPr>
        <w:t>，</w:t>
      </w:r>
      <w:r>
        <w:rPr>
          <w:color w:val="000000" w:themeColor="text1"/>
          <w:highlight w:val="none"/>
        </w:rPr>
        <w:t>合计占地面积</w:t>
      </w:r>
      <w:r>
        <w:rPr>
          <w:rFonts w:hint="eastAsia"/>
          <w:color w:val="000000" w:themeColor="text1"/>
          <w:highlight w:val="none"/>
          <w:lang w:val="en-US" w:eastAsia="zh-CN"/>
        </w:rPr>
        <w:t>0.4</w:t>
      </w:r>
      <w:r>
        <w:rPr>
          <w:color w:val="000000" w:themeColor="text1"/>
          <w:highlight w:val="none"/>
        </w:rPr>
        <w:t>hm</w:t>
      </w:r>
      <w:r>
        <w:rPr>
          <w:color w:val="000000" w:themeColor="text1"/>
          <w:highlight w:val="none"/>
          <w:vertAlign w:val="superscript"/>
        </w:rPr>
        <w:t>2</w:t>
      </w:r>
      <w:r>
        <w:rPr>
          <w:color w:val="000000" w:themeColor="text1"/>
          <w:highlight w:val="none"/>
        </w:rPr>
        <w:t>，</w:t>
      </w:r>
      <w:r>
        <w:rPr>
          <w:rFonts w:hint="eastAsia"/>
          <w:color w:val="000000" w:themeColor="text1"/>
          <w:highlight w:val="none"/>
          <w:lang w:val="en-US" w:eastAsia="zh-CN"/>
        </w:rPr>
        <w:t>均属于桥梁永久征地范围内，占地类型为耕地和草地</w:t>
      </w:r>
      <w:r>
        <w:rPr>
          <w:color w:val="000000" w:themeColor="text1"/>
          <w:highlight w:val="none"/>
        </w:rPr>
        <w:t>，</w:t>
      </w:r>
      <w:r>
        <w:rPr>
          <w:rFonts w:hint="eastAsia"/>
          <w:color w:val="000000" w:themeColor="text1"/>
          <w:highlight w:val="none"/>
        </w:rPr>
        <w:t>不占用生态保护红线，</w:t>
      </w:r>
      <w:r>
        <w:rPr>
          <w:color w:val="000000" w:themeColor="text1"/>
          <w:highlight w:val="none"/>
        </w:rPr>
        <w:t>场地周边300m范围内无居民分布。</w:t>
      </w:r>
    </w:p>
    <w:p w14:paraId="6F8D4B82">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综合站场</w:t>
      </w:r>
      <w:r>
        <w:rPr>
          <w:color w:val="000000" w:themeColor="text1"/>
          <w:highlight w:val="none"/>
        </w:rPr>
        <w:t>情况见表3.1-</w:t>
      </w:r>
      <w:r>
        <w:rPr>
          <w:rFonts w:hint="eastAsia"/>
          <w:color w:val="000000" w:themeColor="text1"/>
          <w:highlight w:val="none"/>
          <w:lang w:val="en-US" w:eastAsia="zh-CN"/>
        </w:rPr>
        <w:t>17</w:t>
      </w:r>
      <w:r>
        <w:rPr>
          <w:color w:val="000000" w:themeColor="text1"/>
          <w:highlight w:val="none"/>
        </w:rPr>
        <w:t>。</w:t>
      </w:r>
    </w:p>
    <w:p w14:paraId="26C7B1F8">
      <w:pPr>
        <w:pageBreakBefore w:val="0"/>
        <w:wordWrap/>
        <w:topLinePunct w:val="0"/>
        <w:bidi w:val="0"/>
        <w:spacing w:line="360" w:lineRule="auto"/>
        <w:ind w:firstLine="0" w:firstLineChars="0"/>
        <w:jc w:val="center"/>
        <w:rPr>
          <w:b/>
          <w:color w:val="000000" w:themeColor="text1"/>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0A1E67B7">
      <w:pPr>
        <w:pageBreakBefore w:val="0"/>
        <w:wordWrap/>
        <w:topLinePunct w:val="0"/>
        <w:bidi w:val="0"/>
        <w:spacing w:line="360" w:lineRule="auto"/>
        <w:ind w:firstLine="0" w:firstLineChars="0"/>
        <w:jc w:val="center"/>
        <w:rPr>
          <w:color w:val="000000" w:themeColor="text1"/>
          <w:highlight w:val="none"/>
        </w:rPr>
      </w:pPr>
      <w:r>
        <w:rPr>
          <w:b/>
          <w:color w:val="000000" w:themeColor="text1"/>
          <w:highlight w:val="none"/>
        </w:rPr>
        <w:t>表3.1-</w:t>
      </w:r>
      <w:r>
        <w:rPr>
          <w:rFonts w:hint="eastAsia"/>
          <w:b/>
          <w:color w:val="000000" w:themeColor="text1"/>
          <w:highlight w:val="none"/>
          <w:lang w:val="en-US" w:eastAsia="zh-CN"/>
        </w:rPr>
        <w:t>17</w:t>
      </w:r>
      <w:r>
        <w:rPr>
          <w:b/>
          <w:color w:val="000000" w:themeColor="text1"/>
          <w:highlight w:val="none"/>
        </w:rPr>
        <w:t xml:space="preserve">  </w:t>
      </w:r>
      <w:bookmarkStart w:id="258" w:name="_Hlk69302083"/>
      <w:r>
        <w:rPr>
          <w:rFonts w:hint="eastAsia"/>
          <w:b/>
          <w:color w:val="000000" w:themeColor="text1"/>
          <w:highlight w:val="none"/>
          <w:lang w:val="en-US" w:eastAsia="zh-CN"/>
        </w:rPr>
        <w:t>综合站场</w:t>
      </w:r>
      <w:r>
        <w:rPr>
          <w:rFonts w:hint="eastAsia"/>
          <w:b/>
          <w:color w:val="000000" w:themeColor="text1"/>
          <w:highlight w:val="none"/>
        </w:rPr>
        <w:t>和桥梁</w:t>
      </w:r>
      <w:r>
        <w:rPr>
          <w:rFonts w:hint="eastAsia"/>
          <w:b/>
          <w:color w:val="000000" w:themeColor="text1"/>
          <w:highlight w:val="none"/>
          <w:lang w:val="en-US" w:eastAsia="zh-CN"/>
        </w:rPr>
        <w:t>施工场</w:t>
      </w:r>
      <w:r>
        <w:rPr>
          <w:b/>
          <w:color w:val="000000" w:themeColor="text1"/>
          <w:highlight w:val="none"/>
        </w:rPr>
        <w:t>情况一览表</w:t>
      </w:r>
    </w:p>
    <w:tbl>
      <w:tblPr>
        <w:tblStyle w:val="33"/>
        <w:tblW w:w="0" w:type="auto"/>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
      <w:tblGrid>
        <w:gridCol w:w="673"/>
        <w:gridCol w:w="1597"/>
        <w:gridCol w:w="1165"/>
        <w:gridCol w:w="935"/>
        <w:gridCol w:w="1257"/>
        <w:gridCol w:w="1018"/>
        <w:gridCol w:w="2548"/>
        <w:gridCol w:w="4780"/>
      </w:tblGrid>
      <w:tr w14:paraId="0769A25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73" w:type="dxa"/>
            <w:noWrap/>
            <w:tcMar>
              <w:top w:w="15" w:type="dxa"/>
              <w:left w:w="15" w:type="dxa"/>
              <w:right w:w="15" w:type="dxa"/>
            </w:tcMar>
            <w:vAlign w:val="center"/>
          </w:tcPr>
          <w:p w14:paraId="7C05849A">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color w:val="000000" w:themeColor="text1"/>
                <w:kern w:val="0"/>
                <w:sz w:val="21"/>
                <w:szCs w:val="21"/>
                <w:highlight w:val="none"/>
              </w:rPr>
              <w:t>序号</w:t>
            </w:r>
          </w:p>
        </w:tc>
        <w:tc>
          <w:tcPr>
            <w:tcW w:w="1597" w:type="dxa"/>
            <w:noWrap/>
            <w:tcMar>
              <w:top w:w="15" w:type="dxa"/>
              <w:left w:w="15" w:type="dxa"/>
              <w:right w:w="15" w:type="dxa"/>
            </w:tcMar>
            <w:vAlign w:val="center"/>
          </w:tcPr>
          <w:p w14:paraId="078A2869">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color w:val="000000" w:themeColor="text1"/>
                <w:kern w:val="0"/>
                <w:sz w:val="21"/>
                <w:szCs w:val="21"/>
                <w:highlight w:val="none"/>
              </w:rPr>
              <w:t>工程名称</w:t>
            </w:r>
          </w:p>
        </w:tc>
        <w:tc>
          <w:tcPr>
            <w:tcW w:w="1165" w:type="dxa"/>
            <w:noWrap/>
            <w:tcMar>
              <w:top w:w="15" w:type="dxa"/>
              <w:left w:w="15" w:type="dxa"/>
              <w:right w:w="15" w:type="dxa"/>
            </w:tcMar>
            <w:vAlign w:val="center"/>
          </w:tcPr>
          <w:p w14:paraId="5F0454F8">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color w:val="000000" w:themeColor="text1"/>
                <w:kern w:val="0"/>
                <w:sz w:val="21"/>
                <w:szCs w:val="21"/>
                <w:highlight w:val="none"/>
              </w:rPr>
              <w:t>位置或桩号</w:t>
            </w:r>
          </w:p>
        </w:tc>
        <w:tc>
          <w:tcPr>
            <w:tcW w:w="935" w:type="dxa"/>
            <w:noWrap/>
            <w:tcMar>
              <w:top w:w="15" w:type="dxa"/>
              <w:left w:w="15" w:type="dxa"/>
              <w:right w:w="15" w:type="dxa"/>
            </w:tcMar>
            <w:vAlign w:val="center"/>
          </w:tcPr>
          <w:p w14:paraId="2D422131">
            <w:pPr>
              <w:pageBreakBefore w:val="0"/>
              <w:widowControl/>
              <w:wordWrap/>
              <w:topLinePunct w:val="0"/>
              <w:bidi w:val="0"/>
              <w:spacing w:line="360" w:lineRule="auto"/>
              <w:ind w:firstLine="0" w:firstLineChars="0"/>
              <w:jc w:val="center"/>
              <w:textAlignment w:val="center"/>
              <w:rPr>
                <w:color w:val="000000" w:themeColor="text1"/>
                <w:sz w:val="21"/>
                <w:szCs w:val="21"/>
                <w:highlight w:val="none"/>
              </w:rPr>
            </w:pPr>
            <w:r>
              <w:rPr>
                <w:rFonts w:hint="eastAsia"/>
                <w:color w:val="000000" w:themeColor="text1"/>
                <w:kern w:val="0"/>
                <w:sz w:val="21"/>
                <w:szCs w:val="21"/>
                <w:highlight w:val="none"/>
              </w:rPr>
              <w:t>占地类型</w:t>
            </w:r>
          </w:p>
        </w:tc>
        <w:tc>
          <w:tcPr>
            <w:tcW w:w="1257" w:type="dxa"/>
            <w:noWrap/>
            <w:tcMar>
              <w:top w:w="15" w:type="dxa"/>
              <w:left w:w="15" w:type="dxa"/>
              <w:right w:w="15" w:type="dxa"/>
            </w:tcMar>
            <w:vAlign w:val="center"/>
          </w:tcPr>
          <w:p w14:paraId="3D22AE22">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rFonts w:hint="eastAsia"/>
                <w:color w:val="000000" w:themeColor="text1"/>
                <w:kern w:val="0"/>
                <w:sz w:val="21"/>
                <w:szCs w:val="21"/>
                <w:highlight w:val="none"/>
              </w:rPr>
              <w:t>占地面积</w:t>
            </w:r>
          </w:p>
          <w:p w14:paraId="3522CB42">
            <w:pPr>
              <w:pageBreakBefore w:val="0"/>
              <w:widowControl/>
              <w:wordWrap/>
              <w:topLinePunct w:val="0"/>
              <w:bidi w:val="0"/>
              <w:spacing w:line="360" w:lineRule="auto"/>
              <w:ind w:firstLine="0" w:firstLineChars="0"/>
              <w:jc w:val="center"/>
              <w:textAlignment w:val="center"/>
              <w:rPr>
                <w:rFonts w:hint="eastAsia" w:eastAsia="宋体"/>
                <w:color w:val="000000" w:themeColor="text1"/>
                <w:sz w:val="21"/>
                <w:szCs w:val="21"/>
                <w:highlight w:val="none"/>
                <w:lang w:eastAsia="zh-CN"/>
              </w:rPr>
            </w:pPr>
            <w:r>
              <w:rPr>
                <w:rFonts w:hint="eastAsia"/>
                <w:color w:val="000000" w:themeColor="text1"/>
                <w:kern w:val="0"/>
                <w:sz w:val="21"/>
                <w:szCs w:val="21"/>
                <w:highlight w:val="none"/>
                <w:lang w:eastAsia="zh-CN"/>
              </w:rPr>
              <w:t>（</w:t>
            </w:r>
            <w:r>
              <w:rPr>
                <w:color w:val="000000" w:themeColor="text1"/>
                <w:kern w:val="0"/>
                <w:sz w:val="21"/>
                <w:szCs w:val="21"/>
                <w:highlight w:val="none"/>
              </w:rPr>
              <w:t>hm</w:t>
            </w:r>
            <w:r>
              <w:rPr>
                <w:color w:val="000000" w:themeColor="text1"/>
                <w:kern w:val="0"/>
                <w:sz w:val="21"/>
                <w:szCs w:val="21"/>
                <w:highlight w:val="none"/>
                <w:vertAlign w:val="superscript"/>
              </w:rPr>
              <w:t>2</w:t>
            </w:r>
            <w:r>
              <w:rPr>
                <w:rFonts w:hint="eastAsia"/>
                <w:color w:val="000000" w:themeColor="text1"/>
                <w:kern w:val="0"/>
                <w:sz w:val="21"/>
                <w:szCs w:val="21"/>
                <w:highlight w:val="none"/>
                <w:lang w:eastAsia="zh-CN"/>
              </w:rPr>
              <w:t>）</w:t>
            </w:r>
          </w:p>
        </w:tc>
        <w:tc>
          <w:tcPr>
            <w:tcW w:w="1018" w:type="dxa"/>
            <w:vAlign w:val="center"/>
          </w:tcPr>
          <w:p w14:paraId="36FCA047">
            <w:pPr>
              <w:pageBreakBefore w:val="0"/>
              <w:wordWrap/>
              <w:topLinePunct w:val="0"/>
              <w:bidi w:val="0"/>
              <w:spacing w:line="360" w:lineRule="auto"/>
              <w:ind w:firstLine="0" w:firstLineChars="0"/>
              <w:jc w:val="center"/>
              <w:textAlignment w:val="center"/>
              <w:rPr>
                <w:color w:val="000000" w:themeColor="text1"/>
                <w:kern w:val="0"/>
                <w:sz w:val="21"/>
                <w:szCs w:val="21"/>
                <w:highlight w:val="none"/>
              </w:rPr>
            </w:pPr>
            <w:r>
              <w:rPr>
                <w:rFonts w:hint="eastAsia"/>
                <w:color w:val="000000" w:themeColor="text1"/>
                <w:kern w:val="0"/>
                <w:sz w:val="21"/>
                <w:szCs w:val="21"/>
                <w:highlight w:val="none"/>
              </w:rPr>
              <w:t>新修便道</w:t>
            </w:r>
          </w:p>
          <w:p w14:paraId="1FF79A95">
            <w:pPr>
              <w:pageBreakBefore w:val="0"/>
              <w:wordWrap/>
              <w:topLinePunct w:val="0"/>
              <w:bidi w:val="0"/>
              <w:spacing w:line="360" w:lineRule="auto"/>
              <w:ind w:firstLine="0" w:firstLineChars="0"/>
              <w:jc w:val="center"/>
              <w:textAlignment w:val="center"/>
              <w:rPr>
                <w:color w:val="000000" w:themeColor="text1"/>
                <w:kern w:val="0"/>
                <w:sz w:val="21"/>
                <w:szCs w:val="21"/>
                <w:highlight w:val="none"/>
              </w:rPr>
            </w:pPr>
            <w:r>
              <w:rPr>
                <w:rFonts w:hint="eastAsia"/>
                <w:color w:val="000000" w:themeColor="text1"/>
                <w:kern w:val="0"/>
                <w:sz w:val="21"/>
                <w:szCs w:val="21"/>
                <w:highlight w:val="none"/>
              </w:rPr>
              <w:t>（km）</w:t>
            </w:r>
          </w:p>
        </w:tc>
        <w:tc>
          <w:tcPr>
            <w:tcW w:w="2548" w:type="dxa"/>
            <w:noWrap/>
            <w:tcMar>
              <w:top w:w="15" w:type="dxa"/>
              <w:left w:w="15" w:type="dxa"/>
              <w:right w:w="15" w:type="dxa"/>
            </w:tcMar>
            <w:vAlign w:val="center"/>
          </w:tcPr>
          <w:p w14:paraId="780CA20D">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rFonts w:hint="eastAsia"/>
                <w:color w:val="000000" w:themeColor="text1"/>
                <w:kern w:val="0"/>
                <w:sz w:val="21"/>
                <w:szCs w:val="21"/>
                <w:highlight w:val="none"/>
              </w:rPr>
              <w:t>环境说明</w:t>
            </w:r>
          </w:p>
        </w:tc>
        <w:tc>
          <w:tcPr>
            <w:tcW w:w="4780" w:type="dxa"/>
            <w:vAlign w:val="center"/>
          </w:tcPr>
          <w:p w14:paraId="7E392999">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rFonts w:hint="eastAsia"/>
                <w:color w:val="000000" w:themeColor="text1"/>
                <w:kern w:val="0"/>
                <w:sz w:val="21"/>
                <w:szCs w:val="21"/>
                <w:highlight w:val="none"/>
              </w:rPr>
              <w:t>现状照片</w:t>
            </w:r>
          </w:p>
        </w:tc>
      </w:tr>
      <w:tr w14:paraId="4176411A">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73" w:type="dxa"/>
            <w:noWrap/>
            <w:tcMar>
              <w:top w:w="15" w:type="dxa"/>
              <w:left w:w="15" w:type="dxa"/>
              <w:right w:w="15" w:type="dxa"/>
            </w:tcMar>
            <w:vAlign w:val="center"/>
          </w:tcPr>
          <w:p w14:paraId="4ACD2EBC">
            <w:pPr>
              <w:pageBreakBefore w:val="0"/>
              <w:widowControl/>
              <w:wordWrap/>
              <w:topLinePunct w:val="0"/>
              <w:bidi w:val="0"/>
              <w:spacing w:line="360" w:lineRule="auto"/>
              <w:ind w:firstLine="0" w:firstLineChars="0"/>
              <w:jc w:val="center"/>
              <w:textAlignment w:val="center"/>
              <w:rPr>
                <w:color w:val="000000" w:themeColor="text1"/>
                <w:kern w:val="0"/>
                <w:sz w:val="21"/>
                <w:szCs w:val="21"/>
                <w:highlight w:val="none"/>
              </w:rPr>
            </w:pPr>
            <w:r>
              <w:rPr>
                <w:rFonts w:hint="eastAsia"/>
                <w:color w:val="000000" w:themeColor="text1"/>
                <w:kern w:val="0"/>
                <w:sz w:val="21"/>
                <w:szCs w:val="21"/>
                <w:highlight w:val="none"/>
              </w:rPr>
              <w:t>1</w:t>
            </w:r>
          </w:p>
        </w:tc>
        <w:tc>
          <w:tcPr>
            <w:tcW w:w="1597" w:type="dxa"/>
            <w:noWrap/>
            <w:tcMar>
              <w:top w:w="15" w:type="dxa"/>
              <w:left w:w="15" w:type="dxa"/>
              <w:right w:w="15" w:type="dxa"/>
            </w:tcMar>
            <w:vAlign w:val="center"/>
          </w:tcPr>
          <w:p w14:paraId="7963F4FE">
            <w:pPr>
              <w:pageBreakBefore w:val="0"/>
              <w:widowControl/>
              <w:wordWrap/>
              <w:topLinePunct w:val="0"/>
              <w:bidi w:val="0"/>
              <w:spacing w:line="36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sz w:val="21"/>
                <w:szCs w:val="21"/>
                <w:highlight w:val="none"/>
                <w:lang w:val="en-US" w:eastAsia="zh-CN"/>
              </w:rPr>
              <w:t>综合站场（包含施工驻地、</w:t>
            </w:r>
            <w:r>
              <w:rPr>
                <w:rFonts w:hint="eastAsia"/>
                <w:color w:val="000000" w:themeColor="text1"/>
                <w:sz w:val="21"/>
                <w:szCs w:val="21"/>
                <w:highlight w:val="none"/>
              </w:rPr>
              <w:t>基层拌合、沥青面层拌合、混凝土拌合、桥梁预制站</w:t>
            </w:r>
            <w:r>
              <w:rPr>
                <w:rFonts w:hint="eastAsia"/>
                <w:color w:val="000000" w:themeColor="text1"/>
                <w:sz w:val="21"/>
                <w:szCs w:val="21"/>
                <w:highlight w:val="none"/>
                <w:lang w:eastAsia="zh-CN"/>
              </w:rPr>
              <w:t>）</w:t>
            </w:r>
          </w:p>
        </w:tc>
        <w:tc>
          <w:tcPr>
            <w:tcW w:w="1165" w:type="dxa"/>
            <w:noWrap/>
            <w:tcMar>
              <w:top w:w="15" w:type="dxa"/>
              <w:left w:w="15" w:type="dxa"/>
              <w:right w:w="15" w:type="dxa"/>
            </w:tcMar>
            <w:vAlign w:val="center"/>
          </w:tcPr>
          <w:p w14:paraId="3A1C3961">
            <w:pPr>
              <w:pageBreakBefore w:val="0"/>
              <w:widowControl/>
              <w:wordWrap/>
              <w:topLinePunct w:val="0"/>
              <w:bidi w:val="0"/>
              <w:spacing w:line="360" w:lineRule="auto"/>
              <w:ind w:firstLine="0" w:firstLineChars="0"/>
              <w:jc w:val="center"/>
              <w:textAlignment w:val="center"/>
              <w:rPr>
                <w:rFonts w:hint="default"/>
                <w:color w:val="000000" w:themeColor="text1"/>
                <w:kern w:val="0"/>
                <w:sz w:val="21"/>
                <w:szCs w:val="21"/>
                <w:highlight w:val="none"/>
                <w:lang w:val="en-US"/>
              </w:rPr>
            </w:pPr>
            <w:r>
              <w:rPr>
                <w:rFonts w:hint="eastAsia"/>
                <w:color w:val="000000" w:themeColor="text1"/>
                <w:kern w:val="0"/>
                <w:sz w:val="21"/>
                <w:szCs w:val="21"/>
                <w:highlight w:val="none"/>
              </w:rPr>
              <w:t>位于宝泉岭中心医院北侧850m，距离项目起点距离3.4m，距离上路桩号K6+221为8.7k</w:t>
            </w:r>
            <w:r>
              <w:rPr>
                <w:rFonts w:hint="eastAsia"/>
                <w:color w:val="000000" w:themeColor="text1"/>
                <w:kern w:val="0"/>
                <w:sz w:val="21"/>
                <w:szCs w:val="21"/>
                <w:highlight w:val="none"/>
                <w:lang w:val="en-US" w:eastAsia="zh-CN"/>
              </w:rPr>
              <w:t>m</w:t>
            </w:r>
            <w:r>
              <w:rPr>
                <w:rFonts w:hint="eastAsia"/>
                <w:color w:val="000000" w:themeColor="text1"/>
                <w:kern w:val="0"/>
                <w:sz w:val="21"/>
                <w:szCs w:val="21"/>
                <w:highlight w:val="none"/>
                <w:lang w:eastAsia="zh-CN"/>
              </w:rPr>
              <w:t>，</w:t>
            </w:r>
          </w:p>
        </w:tc>
        <w:tc>
          <w:tcPr>
            <w:tcW w:w="935" w:type="dxa"/>
            <w:noWrap/>
            <w:tcMar>
              <w:top w:w="15" w:type="dxa"/>
              <w:left w:w="15" w:type="dxa"/>
              <w:right w:w="15" w:type="dxa"/>
            </w:tcMar>
            <w:vAlign w:val="center"/>
          </w:tcPr>
          <w:p w14:paraId="2DC31638">
            <w:pPr>
              <w:pageBreakBefore w:val="0"/>
              <w:widowControl/>
              <w:wordWrap/>
              <w:topLinePunct w:val="0"/>
              <w:bidi w:val="0"/>
              <w:spacing w:line="360" w:lineRule="auto"/>
              <w:ind w:firstLine="0" w:firstLineChars="0"/>
              <w:jc w:val="center"/>
              <w:textAlignment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工矿仓储用地</w:t>
            </w:r>
          </w:p>
        </w:tc>
        <w:tc>
          <w:tcPr>
            <w:tcW w:w="1257" w:type="dxa"/>
            <w:noWrap/>
            <w:tcMar>
              <w:top w:w="15" w:type="dxa"/>
              <w:left w:w="15" w:type="dxa"/>
              <w:right w:w="15" w:type="dxa"/>
            </w:tcMar>
            <w:vAlign w:val="center"/>
          </w:tcPr>
          <w:p w14:paraId="206985E3">
            <w:pPr>
              <w:pageBreakBefore w:val="0"/>
              <w:widowControl/>
              <w:wordWrap/>
              <w:topLinePunct w:val="0"/>
              <w:bidi w:val="0"/>
              <w:spacing w:line="360" w:lineRule="auto"/>
              <w:ind w:firstLine="0" w:firstLineChars="0"/>
              <w:jc w:val="center"/>
              <w:textAlignment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3</w:t>
            </w:r>
          </w:p>
        </w:tc>
        <w:tc>
          <w:tcPr>
            <w:tcW w:w="1018" w:type="dxa"/>
            <w:vAlign w:val="center"/>
          </w:tcPr>
          <w:p w14:paraId="74090B9C">
            <w:pPr>
              <w:pageBreakBefore w:val="0"/>
              <w:wordWrap/>
              <w:topLinePunct w:val="0"/>
              <w:bidi w:val="0"/>
              <w:spacing w:line="360" w:lineRule="auto"/>
              <w:ind w:firstLine="0" w:firstLineChars="0"/>
              <w:jc w:val="center"/>
              <w:textAlignment w:val="center"/>
              <w:rPr>
                <w:rFonts w:hint="default"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w:t>
            </w:r>
          </w:p>
        </w:tc>
        <w:tc>
          <w:tcPr>
            <w:tcW w:w="2548" w:type="dxa"/>
            <w:noWrap/>
            <w:tcMar>
              <w:top w:w="15" w:type="dxa"/>
              <w:left w:w="15" w:type="dxa"/>
              <w:right w:w="15" w:type="dxa"/>
            </w:tcMar>
            <w:vAlign w:val="center"/>
          </w:tcPr>
          <w:p w14:paraId="5AC54E37">
            <w:pPr>
              <w:pageBreakBefore w:val="0"/>
              <w:widowControl/>
              <w:wordWrap/>
              <w:topLinePunct w:val="0"/>
              <w:bidi w:val="0"/>
              <w:spacing w:line="360" w:lineRule="auto"/>
              <w:ind w:firstLine="0" w:firstLineChars="0"/>
              <w:jc w:val="center"/>
              <w:textAlignment w:val="center"/>
              <w:rPr>
                <w:rFonts w:hint="eastAsia" w:eastAsia="宋体"/>
                <w:color w:val="000000" w:themeColor="text1"/>
                <w:kern w:val="0"/>
                <w:sz w:val="21"/>
                <w:szCs w:val="21"/>
                <w:highlight w:val="none"/>
                <w:lang w:eastAsia="zh-CN"/>
              </w:rPr>
            </w:pPr>
            <w:r>
              <w:rPr>
                <w:rFonts w:hint="eastAsia"/>
                <w:color w:val="000000" w:themeColor="text1"/>
                <w:sz w:val="21"/>
                <w:szCs w:val="21"/>
                <w:highlight w:val="none"/>
              </w:rPr>
              <w:t>沥青拌合站距离居民距离符合300m的要求，基层拌合站距离居民区的距离符合200m的要求</w:t>
            </w:r>
            <w:r>
              <w:rPr>
                <w:rFonts w:hint="eastAsia"/>
                <w:color w:val="000000" w:themeColor="text1"/>
                <w:sz w:val="21"/>
                <w:szCs w:val="21"/>
                <w:highlight w:val="none"/>
                <w:lang w:eastAsia="zh-CN"/>
              </w:rPr>
              <w:t>，不涉及永久基本农田、基本草原、国家级公益林、耕地、特殊、重要生态环境敏感区和饮用水水源保护区</w:t>
            </w:r>
          </w:p>
        </w:tc>
        <w:tc>
          <w:tcPr>
            <w:tcW w:w="4780" w:type="dxa"/>
          </w:tcPr>
          <w:p w14:paraId="1A6917E5">
            <w:pPr>
              <w:pageBreakBefore w:val="0"/>
              <w:widowControl/>
              <w:wordWrap/>
              <w:topLinePunct w:val="0"/>
              <w:bidi w:val="0"/>
              <w:spacing w:line="360" w:lineRule="auto"/>
              <w:ind w:firstLine="0" w:firstLineChars="0"/>
              <w:jc w:val="center"/>
              <w:textAlignment w:val="center"/>
              <w:rPr>
                <w:rFonts w:hint="eastAsia" w:eastAsia="宋体"/>
                <w:color w:val="000000" w:themeColor="text1"/>
                <w:kern w:val="0"/>
                <w:sz w:val="21"/>
                <w:szCs w:val="21"/>
                <w:highlight w:val="none"/>
                <w:lang w:eastAsia="zh-CN"/>
              </w:rPr>
            </w:pPr>
            <w:r>
              <w:rPr>
                <w:rFonts w:hint="eastAsia" w:eastAsia="宋体"/>
                <w:color w:val="000000" w:themeColor="text1"/>
                <w:kern w:val="0"/>
                <w:sz w:val="21"/>
                <w:szCs w:val="21"/>
                <w:highlight w:val="none"/>
                <w:lang w:eastAsia="zh-CN"/>
              </w:rPr>
              <w:drawing>
                <wp:inline distT="0" distB="0" distL="114300" distR="114300">
                  <wp:extent cx="3025140" cy="1947545"/>
                  <wp:effectExtent l="0" t="0" r="3810" b="14605"/>
                  <wp:docPr id="78" name="图片 78" descr="170122901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701229018611"/>
                          <pic:cNvPicPr>
                            <a:picLocks noChangeAspect="1"/>
                          </pic:cNvPicPr>
                        </pic:nvPicPr>
                        <pic:blipFill>
                          <a:blip r:embed="rId39"/>
                          <a:stretch>
                            <a:fillRect/>
                          </a:stretch>
                        </pic:blipFill>
                        <pic:spPr>
                          <a:xfrm>
                            <a:off x="0" y="0"/>
                            <a:ext cx="3025140" cy="1947545"/>
                          </a:xfrm>
                          <a:prstGeom prst="rect">
                            <a:avLst/>
                          </a:prstGeom>
                        </pic:spPr>
                      </pic:pic>
                    </a:graphicData>
                  </a:graphic>
                </wp:inline>
              </w:drawing>
            </w:r>
          </w:p>
        </w:tc>
      </w:tr>
      <w:tr w14:paraId="5EDF1375">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73" w:type="dxa"/>
            <w:noWrap/>
            <w:tcMar>
              <w:top w:w="15" w:type="dxa"/>
              <w:left w:w="15" w:type="dxa"/>
              <w:right w:w="15" w:type="dxa"/>
            </w:tcMar>
            <w:vAlign w:val="center"/>
          </w:tcPr>
          <w:p w14:paraId="78990F09">
            <w:pPr>
              <w:pageBreakBefore w:val="0"/>
              <w:widowControl/>
              <w:wordWrap/>
              <w:topLinePunct w:val="0"/>
              <w:bidi w:val="0"/>
              <w:spacing w:line="360" w:lineRule="auto"/>
              <w:ind w:firstLine="0" w:firstLineChars="0"/>
              <w:jc w:val="center"/>
              <w:textAlignment w:val="center"/>
              <w:rPr>
                <w:rFonts w:hint="eastAsia"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2</w:t>
            </w:r>
          </w:p>
        </w:tc>
        <w:tc>
          <w:tcPr>
            <w:tcW w:w="1597" w:type="dxa"/>
            <w:shd w:val="clear" w:color="auto" w:fill="auto"/>
            <w:noWrap/>
            <w:tcMar>
              <w:top w:w="15" w:type="dxa"/>
              <w:left w:w="15" w:type="dxa"/>
              <w:right w:w="15" w:type="dxa"/>
            </w:tcMar>
            <w:vAlign w:val="center"/>
          </w:tcPr>
          <w:p w14:paraId="0B7DA3D4">
            <w:pPr>
              <w:pageBreakBefore w:val="0"/>
              <w:widowControl/>
              <w:wordWrap/>
              <w:topLinePunct w:val="0"/>
              <w:bidi w:val="0"/>
              <w:spacing w:line="36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跨铁路大桥施工场地</w:t>
            </w:r>
          </w:p>
        </w:tc>
        <w:tc>
          <w:tcPr>
            <w:tcW w:w="1165" w:type="dxa"/>
            <w:shd w:val="clear" w:color="auto" w:fill="auto"/>
            <w:noWrap/>
            <w:tcMar>
              <w:top w:w="15" w:type="dxa"/>
              <w:left w:w="15" w:type="dxa"/>
              <w:right w:w="15" w:type="dxa"/>
            </w:tcMar>
            <w:vAlign w:val="center"/>
          </w:tcPr>
          <w:p w14:paraId="057BBDB0">
            <w:pPr>
              <w:pageBreakBefore w:val="0"/>
              <w:widowControl/>
              <w:wordWrap/>
              <w:topLinePunct w:val="0"/>
              <w:bidi w:val="0"/>
              <w:spacing w:line="360" w:lineRule="auto"/>
              <w:ind w:firstLine="0" w:firstLineChars="0"/>
              <w:jc w:val="center"/>
              <w:textAlignment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A</w:t>
            </w:r>
            <w:r>
              <w:rPr>
                <w:rFonts w:hint="eastAsia"/>
                <w:color w:val="000000" w:themeColor="text1"/>
                <w:kern w:val="0"/>
                <w:sz w:val="21"/>
                <w:szCs w:val="21"/>
                <w:highlight w:val="none"/>
              </w:rPr>
              <w:t>K</w:t>
            </w:r>
            <w:r>
              <w:rPr>
                <w:rFonts w:hint="eastAsia"/>
                <w:color w:val="000000" w:themeColor="text1"/>
                <w:kern w:val="0"/>
                <w:sz w:val="21"/>
                <w:szCs w:val="21"/>
                <w:highlight w:val="none"/>
                <w:lang w:val="en-US" w:eastAsia="zh-CN"/>
              </w:rPr>
              <w:t>3</w:t>
            </w:r>
            <w:r>
              <w:rPr>
                <w:rFonts w:hint="eastAsia"/>
                <w:color w:val="000000" w:themeColor="text1"/>
                <w:kern w:val="0"/>
                <w:sz w:val="21"/>
                <w:szCs w:val="21"/>
                <w:highlight w:val="none"/>
              </w:rPr>
              <w:t>+</w:t>
            </w:r>
            <w:r>
              <w:rPr>
                <w:rFonts w:hint="eastAsia"/>
                <w:color w:val="000000" w:themeColor="text1"/>
                <w:kern w:val="0"/>
                <w:sz w:val="21"/>
                <w:szCs w:val="21"/>
                <w:highlight w:val="none"/>
                <w:lang w:val="en-US" w:eastAsia="zh-CN"/>
              </w:rPr>
              <w:t>8</w:t>
            </w:r>
            <w:r>
              <w:rPr>
                <w:rFonts w:hint="eastAsia"/>
                <w:color w:val="000000" w:themeColor="text1"/>
                <w:kern w:val="0"/>
                <w:sz w:val="21"/>
                <w:szCs w:val="21"/>
                <w:highlight w:val="none"/>
              </w:rPr>
              <w:t>00</w:t>
            </w:r>
          </w:p>
        </w:tc>
        <w:tc>
          <w:tcPr>
            <w:tcW w:w="935" w:type="dxa"/>
            <w:shd w:val="clear" w:color="auto" w:fill="auto"/>
            <w:noWrap/>
            <w:tcMar>
              <w:top w:w="15" w:type="dxa"/>
              <w:left w:w="15" w:type="dxa"/>
              <w:right w:w="15" w:type="dxa"/>
            </w:tcMar>
            <w:vAlign w:val="center"/>
          </w:tcPr>
          <w:p w14:paraId="5924984E">
            <w:pPr>
              <w:pageBreakBefore w:val="0"/>
              <w:widowControl/>
              <w:wordWrap/>
              <w:topLinePunct w:val="0"/>
              <w:bidi w:val="0"/>
              <w:spacing w:line="360" w:lineRule="auto"/>
              <w:ind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s="Times New Roman"/>
                <w:color w:val="000000" w:themeColor="text1"/>
                <w:kern w:val="0"/>
                <w:sz w:val="21"/>
                <w:szCs w:val="21"/>
                <w:highlight w:val="none"/>
                <w:lang w:val="en-US" w:eastAsia="zh-CN" w:bidi="ar-SA"/>
              </w:rPr>
              <w:t>耕地</w:t>
            </w:r>
          </w:p>
        </w:tc>
        <w:tc>
          <w:tcPr>
            <w:tcW w:w="1257" w:type="dxa"/>
            <w:shd w:val="clear" w:color="auto" w:fill="auto"/>
            <w:noWrap/>
            <w:tcMar>
              <w:top w:w="15" w:type="dxa"/>
              <w:left w:w="15" w:type="dxa"/>
              <w:right w:w="15" w:type="dxa"/>
            </w:tcMar>
            <w:vAlign w:val="center"/>
          </w:tcPr>
          <w:p w14:paraId="193A9576">
            <w:pPr>
              <w:pageBreakBefore w:val="0"/>
              <w:widowControl/>
              <w:wordWrap/>
              <w:topLinePunct w:val="0"/>
              <w:bidi w:val="0"/>
              <w:spacing w:line="360" w:lineRule="auto"/>
              <w:ind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0.2</w:t>
            </w:r>
          </w:p>
        </w:tc>
        <w:tc>
          <w:tcPr>
            <w:tcW w:w="1018" w:type="dxa"/>
            <w:shd w:val="clear" w:color="auto" w:fill="auto"/>
            <w:vAlign w:val="center"/>
          </w:tcPr>
          <w:p w14:paraId="7A038AF3">
            <w:pPr>
              <w:pageBreakBefore w:val="0"/>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w:t>
            </w:r>
          </w:p>
        </w:tc>
        <w:tc>
          <w:tcPr>
            <w:tcW w:w="2548" w:type="dxa"/>
            <w:shd w:val="clear" w:color="auto" w:fill="auto"/>
            <w:noWrap/>
            <w:tcMar>
              <w:top w:w="15" w:type="dxa"/>
              <w:left w:w="15" w:type="dxa"/>
              <w:right w:w="15" w:type="dxa"/>
            </w:tcMar>
            <w:vAlign w:val="center"/>
          </w:tcPr>
          <w:p w14:paraId="0F1270A4">
            <w:pPr>
              <w:pageBreakBefore w:val="0"/>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耕地</w:t>
            </w: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桥梁永久征地范围内</w:t>
            </w:r>
            <w:r>
              <w:rPr>
                <w:rFonts w:hint="eastAsia"/>
                <w:color w:val="000000" w:themeColor="text1"/>
                <w:sz w:val="21"/>
                <w:szCs w:val="21"/>
                <w:highlight w:val="none"/>
                <w:lang w:eastAsia="zh-CN"/>
              </w:rPr>
              <w:t>）</w:t>
            </w:r>
            <w:r>
              <w:rPr>
                <w:rFonts w:hint="eastAsia"/>
                <w:color w:val="000000" w:themeColor="text1"/>
                <w:sz w:val="21"/>
                <w:szCs w:val="21"/>
                <w:highlight w:val="none"/>
              </w:rPr>
              <w:t>，</w:t>
            </w:r>
            <w:r>
              <w:rPr>
                <w:color w:val="000000" w:themeColor="text1"/>
                <w:sz w:val="21"/>
                <w:szCs w:val="21"/>
                <w:highlight w:val="none"/>
              </w:rPr>
              <w:t>300</w:t>
            </w:r>
            <w:r>
              <w:rPr>
                <w:rFonts w:hint="eastAsia"/>
                <w:color w:val="000000" w:themeColor="text1"/>
                <w:sz w:val="21"/>
                <w:szCs w:val="21"/>
                <w:highlight w:val="none"/>
              </w:rPr>
              <w:t>m范围内无居民分布</w:t>
            </w:r>
          </w:p>
        </w:tc>
        <w:tc>
          <w:tcPr>
            <w:tcW w:w="4780" w:type="dxa"/>
            <w:shd w:val="clear" w:color="auto" w:fill="auto"/>
            <w:vAlign w:val="top"/>
          </w:tcPr>
          <w:p w14:paraId="5D4872F4">
            <w:pPr>
              <w:pageBreakBefore w:val="0"/>
              <w:wordWrap/>
              <w:topLinePunct w:val="0"/>
              <w:bidi w:val="0"/>
              <w:spacing w:line="360" w:lineRule="auto"/>
              <w:ind w:firstLine="0" w:firstLineChars="0"/>
              <w:jc w:val="center"/>
              <w:rPr>
                <w:rFonts w:hint="eastAsia" w:ascii="Times New Roman" w:hAnsi="Times New Roman" w:eastAsia="仿宋_GB2312" w:cs="Times New Roman"/>
                <w:color w:val="000000" w:themeColor="text1"/>
                <w:kern w:val="2"/>
                <w:sz w:val="24"/>
                <w:szCs w:val="32"/>
                <w:highlight w:val="none"/>
                <w:lang w:val="en-US" w:eastAsia="zh-CN" w:bidi="ar-SA"/>
              </w:rPr>
            </w:pPr>
            <w:r>
              <w:rPr>
                <w:rFonts w:hint="eastAsia" w:eastAsia="宋体"/>
                <w:color w:val="000000" w:themeColor="text1"/>
                <w:sz w:val="20"/>
                <w:szCs w:val="20"/>
                <w:highlight w:val="none"/>
                <w:lang w:eastAsia="zh-CN"/>
              </w:rPr>
              <w:drawing>
                <wp:inline distT="0" distB="0" distL="114300" distR="114300">
                  <wp:extent cx="3026410" cy="2157095"/>
                  <wp:effectExtent l="0" t="0" r="6350" b="6985"/>
                  <wp:docPr id="25" name="图片 25" descr="170122929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01229290016"/>
                          <pic:cNvPicPr>
                            <a:picLocks noChangeAspect="1"/>
                          </pic:cNvPicPr>
                        </pic:nvPicPr>
                        <pic:blipFill>
                          <a:blip r:embed="rId40"/>
                          <a:stretch>
                            <a:fillRect/>
                          </a:stretch>
                        </pic:blipFill>
                        <pic:spPr>
                          <a:xfrm>
                            <a:off x="0" y="0"/>
                            <a:ext cx="3026410" cy="2157095"/>
                          </a:xfrm>
                          <a:prstGeom prst="rect">
                            <a:avLst/>
                          </a:prstGeom>
                        </pic:spPr>
                      </pic:pic>
                    </a:graphicData>
                  </a:graphic>
                </wp:inline>
              </w:drawing>
            </w:r>
          </w:p>
        </w:tc>
      </w:tr>
      <w:tr w14:paraId="087B2360">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960" w:hRule="atLeast"/>
        </w:trPr>
        <w:tc>
          <w:tcPr>
            <w:tcW w:w="673" w:type="dxa"/>
            <w:noWrap/>
            <w:tcMar>
              <w:top w:w="15" w:type="dxa"/>
              <w:left w:w="15" w:type="dxa"/>
              <w:right w:w="15" w:type="dxa"/>
            </w:tcMar>
            <w:vAlign w:val="center"/>
          </w:tcPr>
          <w:p w14:paraId="3BF3E6F7">
            <w:pPr>
              <w:pageBreakBefore w:val="0"/>
              <w:widowControl/>
              <w:wordWrap/>
              <w:topLinePunct w:val="0"/>
              <w:bidi w:val="0"/>
              <w:spacing w:line="360" w:lineRule="auto"/>
              <w:ind w:firstLine="0" w:firstLineChars="0"/>
              <w:jc w:val="center"/>
              <w:textAlignment w:val="center"/>
              <w:rPr>
                <w:rFonts w:hint="eastAsia" w:eastAsia="宋体"/>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3</w:t>
            </w:r>
          </w:p>
        </w:tc>
        <w:tc>
          <w:tcPr>
            <w:tcW w:w="1597" w:type="dxa"/>
            <w:shd w:val="clear" w:color="auto" w:fill="auto"/>
            <w:noWrap/>
            <w:tcMar>
              <w:top w:w="15" w:type="dxa"/>
              <w:left w:w="15" w:type="dxa"/>
              <w:right w:w="15" w:type="dxa"/>
            </w:tcMar>
            <w:vAlign w:val="center"/>
          </w:tcPr>
          <w:p w14:paraId="7A56CD6E">
            <w:pPr>
              <w:pageBreakBefore w:val="0"/>
              <w:widowControl/>
              <w:wordWrap/>
              <w:topLinePunct w:val="0"/>
              <w:bidi w:val="0"/>
              <w:spacing w:line="36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跨朝鲜河桥施工场地</w:t>
            </w:r>
          </w:p>
        </w:tc>
        <w:tc>
          <w:tcPr>
            <w:tcW w:w="1165" w:type="dxa"/>
            <w:shd w:val="clear" w:color="auto" w:fill="auto"/>
            <w:noWrap/>
            <w:tcMar>
              <w:top w:w="15" w:type="dxa"/>
              <w:left w:w="15" w:type="dxa"/>
              <w:right w:w="15" w:type="dxa"/>
            </w:tcMar>
            <w:vAlign w:val="center"/>
          </w:tcPr>
          <w:p w14:paraId="01CE413D">
            <w:pPr>
              <w:pageBreakBefore w:val="0"/>
              <w:widowControl/>
              <w:wordWrap/>
              <w:topLinePunct w:val="0"/>
              <w:bidi w:val="0"/>
              <w:spacing w:line="360" w:lineRule="auto"/>
              <w:ind w:firstLine="0" w:firstLineChars="0"/>
              <w:jc w:val="center"/>
              <w:textAlignment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A</w:t>
            </w:r>
            <w:r>
              <w:rPr>
                <w:rFonts w:hint="eastAsia"/>
                <w:color w:val="000000" w:themeColor="text1"/>
                <w:kern w:val="0"/>
                <w:sz w:val="21"/>
                <w:szCs w:val="21"/>
                <w:highlight w:val="none"/>
              </w:rPr>
              <w:t>K4+0</w:t>
            </w:r>
            <w:r>
              <w:rPr>
                <w:rFonts w:hint="eastAsia"/>
                <w:color w:val="000000" w:themeColor="text1"/>
                <w:kern w:val="0"/>
                <w:sz w:val="21"/>
                <w:szCs w:val="21"/>
                <w:highlight w:val="none"/>
                <w:lang w:val="en-US" w:eastAsia="zh-CN"/>
              </w:rPr>
              <w:t>0</w:t>
            </w:r>
            <w:r>
              <w:rPr>
                <w:rFonts w:hint="eastAsia"/>
                <w:color w:val="000000" w:themeColor="text1"/>
                <w:kern w:val="0"/>
                <w:sz w:val="21"/>
                <w:szCs w:val="21"/>
                <w:highlight w:val="none"/>
              </w:rPr>
              <w:t>0</w:t>
            </w:r>
          </w:p>
        </w:tc>
        <w:tc>
          <w:tcPr>
            <w:tcW w:w="935" w:type="dxa"/>
            <w:shd w:val="clear" w:color="auto" w:fill="auto"/>
            <w:noWrap/>
            <w:tcMar>
              <w:top w:w="15" w:type="dxa"/>
              <w:left w:w="15" w:type="dxa"/>
              <w:right w:w="15" w:type="dxa"/>
            </w:tcMar>
            <w:vAlign w:val="center"/>
          </w:tcPr>
          <w:p w14:paraId="0EA497B4">
            <w:pPr>
              <w:pageBreakBefore w:val="0"/>
              <w:widowControl/>
              <w:wordWrap/>
              <w:topLinePunct w:val="0"/>
              <w:bidi w:val="0"/>
              <w:spacing w:line="360" w:lineRule="auto"/>
              <w:ind w:firstLine="0" w:firstLineChars="0"/>
              <w:jc w:val="center"/>
              <w:textAlignment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rPr>
              <w:t>草地</w:t>
            </w:r>
          </w:p>
        </w:tc>
        <w:tc>
          <w:tcPr>
            <w:tcW w:w="1257" w:type="dxa"/>
            <w:shd w:val="clear" w:color="auto" w:fill="auto"/>
            <w:noWrap/>
            <w:tcMar>
              <w:top w:w="15" w:type="dxa"/>
              <w:left w:w="15" w:type="dxa"/>
              <w:right w:w="15" w:type="dxa"/>
            </w:tcMar>
            <w:vAlign w:val="center"/>
          </w:tcPr>
          <w:p w14:paraId="3C96EA5E">
            <w:pPr>
              <w:pageBreakBefore w:val="0"/>
              <w:widowControl/>
              <w:wordWrap/>
              <w:topLinePunct w:val="0"/>
              <w:bidi w:val="0"/>
              <w:spacing w:line="360" w:lineRule="auto"/>
              <w:ind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0.1</w:t>
            </w:r>
          </w:p>
        </w:tc>
        <w:tc>
          <w:tcPr>
            <w:tcW w:w="1018" w:type="dxa"/>
            <w:shd w:val="clear" w:color="auto" w:fill="auto"/>
            <w:vAlign w:val="center"/>
          </w:tcPr>
          <w:p w14:paraId="786AFB7F">
            <w:pPr>
              <w:pageBreakBefore w:val="0"/>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w:t>
            </w:r>
          </w:p>
        </w:tc>
        <w:tc>
          <w:tcPr>
            <w:tcW w:w="2548" w:type="dxa"/>
            <w:shd w:val="clear" w:color="auto" w:fill="auto"/>
            <w:noWrap/>
            <w:tcMar>
              <w:top w:w="15" w:type="dxa"/>
              <w:left w:w="15" w:type="dxa"/>
              <w:right w:w="15" w:type="dxa"/>
            </w:tcMar>
            <w:vAlign w:val="center"/>
          </w:tcPr>
          <w:p w14:paraId="23DD312C">
            <w:pPr>
              <w:pageBreakBefore w:val="0"/>
              <w:wordWrap/>
              <w:topLinePunct w:val="0"/>
              <w:bidi w:val="0"/>
              <w:spacing w:line="36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草地</w:t>
            </w: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桥梁永久征地范围内</w:t>
            </w:r>
            <w:r>
              <w:rPr>
                <w:rFonts w:hint="eastAsia"/>
                <w:color w:val="000000" w:themeColor="text1"/>
                <w:sz w:val="21"/>
                <w:szCs w:val="21"/>
                <w:highlight w:val="none"/>
                <w:lang w:eastAsia="zh-CN"/>
              </w:rPr>
              <w:t>）</w:t>
            </w:r>
            <w:r>
              <w:rPr>
                <w:rFonts w:hint="eastAsia"/>
                <w:color w:val="000000" w:themeColor="text1"/>
                <w:sz w:val="21"/>
                <w:szCs w:val="21"/>
                <w:highlight w:val="none"/>
              </w:rPr>
              <w:t>，周围为耕地，</w:t>
            </w:r>
            <w:r>
              <w:rPr>
                <w:rFonts w:hint="eastAsia"/>
                <w:color w:val="000000" w:themeColor="text1"/>
                <w:sz w:val="21"/>
                <w:szCs w:val="21"/>
                <w:highlight w:val="none"/>
                <w:lang w:val="en-US" w:eastAsia="zh-CN"/>
              </w:rPr>
              <w:t>3</w:t>
            </w:r>
            <w:r>
              <w:rPr>
                <w:color w:val="000000" w:themeColor="text1"/>
                <w:sz w:val="21"/>
                <w:szCs w:val="21"/>
                <w:highlight w:val="none"/>
              </w:rPr>
              <w:t>00</w:t>
            </w:r>
            <w:r>
              <w:rPr>
                <w:rFonts w:hint="eastAsia"/>
                <w:color w:val="000000" w:themeColor="text1"/>
                <w:sz w:val="21"/>
                <w:szCs w:val="21"/>
                <w:highlight w:val="none"/>
              </w:rPr>
              <w:t>m范围内无居民分</w:t>
            </w:r>
          </w:p>
        </w:tc>
        <w:tc>
          <w:tcPr>
            <w:tcW w:w="4780" w:type="dxa"/>
            <w:shd w:val="clear" w:color="auto" w:fill="auto"/>
            <w:vAlign w:val="top"/>
          </w:tcPr>
          <w:p w14:paraId="1F7765F1">
            <w:pPr>
              <w:pageBreakBefore w:val="0"/>
              <w:wordWrap/>
              <w:topLinePunct w:val="0"/>
              <w:bidi w:val="0"/>
              <w:spacing w:line="360" w:lineRule="auto"/>
              <w:rPr>
                <w:rFonts w:eastAsia="仿宋_GB2312"/>
                <w:color w:val="000000" w:themeColor="text1"/>
                <w:szCs w:val="32"/>
                <w:highlight w:val="none"/>
              </w:rPr>
            </w:pPr>
            <w:r>
              <w:rPr>
                <w:rFonts w:hint="eastAsia" w:eastAsia="仿宋_GB2312"/>
                <w:color w:val="000000" w:themeColor="text1"/>
                <w:szCs w:val="32"/>
                <w:highlight w:val="none"/>
                <w:lang w:eastAsia="zh-CN"/>
              </w:rPr>
              <w:drawing>
                <wp:anchor distT="0" distB="0" distL="114300" distR="114300" simplePos="0" relativeHeight="251717632" behindDoc="0" locked="0" layoutInCell="1" allowOverlap="1">
                  <wp:simplePos x="0" y="0"/>
                  <wp:positionH relativeFrom="column">
                    <wp:posOffset>55245</wp:posOffset>
                  </wp:positionH>
                  <wp:positionV relativeFrom="paragraph">
                    <wp:posOffset>7620</wp:posOffset>
                  </wp:positionV>
                  <wp:extent cx="2899410" cy="2461895"/>
                  <wp:effectExtent l="0" t="0" r="11430" b="6985"/>
                  <wp:wrapNone/>
                  <wp:docPr id="37" name="图片 37" descr="1701229900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01229900332"/>
                          <pic:cNvPicPr>
                            <a:picLocks noChangeAspect="1"/>
                          </pic:cNvPicPr>
                        </pic:nvPicPr>
                        <pic:blipFill>
                          <a:blip r:embed="rId41"/>
                          <a:stretch>
                            <a:fillRect/>
                          </a:stretch>
                        </pic:blipFill>
                        <pic:spPr>
                          <a:xfrm>
                            <a:off x="0" y="0"/>
                            <a:ext cx="2899410" cy="2461895"/>
                          </a:xfrm>
                          <a:prstGeom prst="rect">
                            <a:avLst/>
                          </a:prstGeom>
                        </pic:spPr>
                      </pic:pic>
                    </a:graphicData>
                  </a:graphic>
                </wp:anchor>
              </w:drawing>
            </w:r>
          </w:p>
          <w:p w14:paraId="1A714AC9">
            <w:pPr>
              <w:pageBreakBefore w:val="0"/>
              <w:wordWrap/>
              <w:topLinePunct w:val="0"/>
              <w:bidi w:val="0"/>
              <w:spacing w:line="360" w:lineRule="auto"/>
              <w:ind w:firstLine="480" w:firstLineChars="200"/>
              <w:rPr>
                <w:rFonts w:hint="eastAsia" w:ascii="Times New Roman" w:hAnsi="Times New Roman" w:eastAsia="仿宋_GB2312" w:cs="Times New Roman"/>
                <w:color w:val="000000" w:themeColor="text1"/>
                <w:kern w:val="2"/>
                <w:sz w:val="24"/>
                <w:szCs w:val="32"/>
                <w:highlight w:val="none"/>
                <w:lang w:val="en-US" w:eastAsia="zh-CN" w:bidi="ar-SA"/>
              </w:rPr>
            </w:pPr>
          </w:p>
        </w:tc>
      </w:tr>
      <w:tr w14:paraId="25F325E1">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40" w:hRule="atLeast"/>
        </w:trPr>
        <w:tc>
          <w:tcPr>
            <w:tcW w:w="673" w:type="dxa"/>
            <w:noWrap/>
            <w:tcMar>
              <w:top w:w="15" w:type="dxa"/>
              <w:left w:w="15" w:type="dxa"/>
              <w:right w:w="15" w:type="dxa"/>
            </w:tcMar>
            <w:vAlign w:val="center"/>
          </w:tcPr>
          <w:p w14:paraId="06C506DF">
            <w:pPr>
              <w:pageBreakBefore w:val="0"/>
              <w:widowControl/>
              <w:wordWrap/>
              <w:topLinePunct w:val="0"/>
              <w:bidi w:val="0"/>
              <w:spacing w:line="360" w:lineRule="auto"/>
              <w:ind w:firstLine="0" w:firstLineChars="0"/>
              <w:jc w:val="center"/>
              <w:textAlignment w:val="center"/>
              <w:rPr>
                <w:rFonts w:hint="default"/>
                <w:color w:val="000000" w:themeColor="text1"/>
                <w:kern w:val="0"/>
                <w:sz w:val="21"/>
                <w:szCs w:val="21"/>
                <w:highlight w:val="none"/>
                <w:lang w:val="en-US" w:eastAsia="zh-CN"/>
              </w:rPr>
            </w:pPr>
            <w:r>
              <w:rPr>
                <w:rFonts w:hint="eastAsia"/>
                <w:color w:val="000000" w:themeColor="text1"/>
                <w:kern w:val="0"/>
                <w:sz w:val="21"/>
                <w:szCs w:val="21"/>
                <w:highlight w:val="none"/>
                <w:lang w:val="en-US" w:eastAsia="zh-CN"/>
              </w:rPr>
              <w:t>4</w:t>
            </w:r>
          </w:p>
        </w:tc>
        <w:tc>
          <w:tcPr>
            <w:tcW w:w="1597" w:type="dxa"/>
            <w:shd w:val="clear" w:color="auto" w:fill="auto"/>
            <w:noWrap/>
            <w:tcMar>
              <w:top w:w="15" w:type="dxa"/>
              <w:left w:w="15" w:type="dxa"/>
              <w:right w:w="15" w:type="dxa"/>
            </w:tcMar>
            <w:vAlign w:val="center"/>
          </w:tcPr>
          <w:p w14:paraId="4F650FFB">
            <w:pPr>
              <w:pageBreakBefore w:val="0"/>
              <w:widowControl/>
              <w:wordWrap/>
              <w:topLinePunct w:val="0"/>
              <w:bidi w:val="0"/>
              <w:spacing w:line="36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跨沟渠桥施工场地</w:t>
            </w:r>
          </w:p>
        </w:tc>
        <w:tc>
          <w:tcPr>
            <w:tcW w:w="1165" w:type="dxa"/>
            <w:shd w:val="clear" w:color="auto" w:fill="auto"/>
            <w:noWrap/>
            <w:tcMar>
              <w:top w:w="15" w:type="dxa"/>
              <w:left w:w="15" w:type="dxa"/>
              <w:right w:w="15" w:type="dxa"/>
            </w:tcMar>
            <w:vAlign w:val="center"/>
          </w:tcPr>
          <w:p w14:paraId="1BC15383">
            <w:pPr>
              <w:pageBreakBefore w:val="0"/>
              <w:widowControl/>
              <w:wordWrap/>
              <w:topLinePunct w:val="0"/>
              <w:bidi w:val="0"/>
              <w:spacing w:line="360" w:lineRule="auto"/>
              <w:ind w:firstLine="0" w:firstLineChars="0"/>
              <w:jc w:val="center"/>
              <w:textAlignment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A</w:t>
            </w:r>
            <w:r>
              <w:rPr>
                <w:rFonts w:hint="eastAsia"/>
                <w:color w:val="000000" w:themeColor="text1"/>
                <w:kern w:val="0"/>
                <w:sz w:val="21"/>
                <w:szCs w:val="21"/>
                <w:highlight w:val="none"/>
              </w:rPr>
              <w:t>K</w:t>
            </w:r>
            <w:r>
              <w:rPr>
                <w:rFonts w:hint="eastAsia"/>
                <w:color w:val="000000" w:themeColor="text1"/>
                <w:kern w:val="0"/>
                <w:sz w:val="21"/>
                <w:szCs w:val="21"/>
                <w:highlight w:val="none"/>
                <w:lang w:val="en-US" w:eastAsia="zh-CN"/>
              </w:rPr>
              <w:t>2</w:t>
            </w:r>
            <w:r>
              <w:rPr>
                <w:rFonts w:hint="eastAsia"/>
                <w:color w:val="000000" w:themeColor="text1"/>
                <w:kern w:val="0"/>
                <w:sz w:val="21"/>
                <w:szCs w:val="21"/>
                <w:highlight w:val="none"/>
              </w:rPr>
              <w:t>+</w:t>
            </w:r>
            <w:r>
              <w:rPr>
                <w:rFonts w:hint="eastAsia"/>
                <w:color w:val="000000" w:themeColor="text1"/>
                <w:kern w:val="0"/>
                <w:sz w:val="21"/>
                <w:szCs w:val="21"/>
                <w:highlight w:val="none"/>
                <w:lang w:val="en-US" w:eastAsia="zh-CN"/>
              </w:rPr>
              <w:t>40</w:t>
            </w:r>
            <w:r>
              <w:rPr>
                <w:rFonts w:hint="eastAsia"/>
                <w:color w:val="000000" w:themeColor="text1"/>
                <w:kern w:val="0"/>
                <w:sz w:val="21"/>
                <w:szCs w:val="21"/>
                <w:highlight w:val="none"/>
              </w:rPr>
              <w:t>0</w:t>
            </w:r>
          </w:p>
        </w:tc>
        <w:tc>
          <w:tcPr>
            <w:tcW w:w="935" w:type="dxa"/>
            <w:shd w:val="clear" w:color="auto" w:fill="auto"/>
            <w:noWrap/>
            <w:tcMar>
              <w:top w:w="15" w:type="dxa"/>
              <w:left w:w="15" w:type="dxa"/>
              <w:right w:w="15" w:type="dxa"/>
            </w:tcMar>
            <w:vAlign w:val="center"/>
          </w:tcPr>
          <w:p w14:paraId="23F6F25E">
            <w:pPr>
              <w:pageBreakBefore w:val="0"/>
              <w:widowControl/>
              <w:wordWrap/>
              <w:topLinePunct w:val="0"/>
              <w:bidi w:val="0"/>
              <w:spacing w:line="360" w:lineRule="auto"/>
              <w:ind w:firstLine="0" w:firstLineChars="0"/>
              <w:jc w:val="center"/>
              <w:textAlignment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草地</w:t>
            </w:r>
          </w:p>
        </w:tc>
        <w:tc>
          <w:tcPr>
            <w:tcW w:w="1257" w:type="dxa"/>
            <w:shd w:val="clear" w:color="auto" w:fill="auto"/>
            <w:noWrap/>
            <w:tcMar>
              <w:top w:w="15" w:type="dxa"/>
              <w:left w:w="15" w:type="dxa"/>
              <w:right w:w="15" w:type="dxa"/>
            </w:tcMar>
            <w:vAlign w:val="center"/>
          </w:tcPr>
          <w:p w14:paraId="4E18B667">
            <w:pPr>
              <w:pageBreakBefore w:val="0"/>
              <w:widowControl/>
              <w:wordWrap/>
              <w:topLinePunct w:val="0"/>
              <w:bidi w:val="0"/>
              <w:spacing w:line="360" w:lineRule="auto"/>
              <w:ind w:firstLine="0" w:firstLineChars="0"/>
              <w:jc w:val="center"/>
              <w:textAlignment w:val="center"/>
              <w:rPr>
                <w:rFonts w:hint="eastAsia" w:ascii="Times New Roman" w:hAnsi="Times New Roman" w:eastAsia="宋体" w:cs="Times New Roman"/>
                <w:color w:val="000000" w:themeColor="text1"/>
                <w:kern w:val="0"/>
                <w:sz w:val="21"/>
                <w:szCs w:val="21"/>
                <w:highlight w:val="none"/>
                <w:lang w:val="en-US" w:eastAsia="zh-CN" w:bidi="ar-SA"/>
              </w:rPr>
            </w:pPr>
            <w:r>
              <w:rPr>
                <w:rFonts w:hint="eastAsia"/>
                <w:color w:val="000000" w:themeColor="text1"/>
                <w:kern w:val="0"/>
                <w:sz w:val="21"/>
                <w:szCs w:val="21"/>
                <w:highlight w:val="none"/>
                <w:lang w:val="en-US" w:eastAsia="zh-CN"/>
              </w:rPr>
              <w:t>0.1</w:t>
            </w:r>
          </w:p>
        </w:tc>
        <w:tc>
          <w:tcPr>
            <w:tcW w:w="1018" w:type="dxa"/>
            <w:shd w:val="clear" w:color="auto" w:fill="auto"/>
            <w:vAlign w:val="center"/>
          </w:tcPr>
          <w:p w14:paraId="0DD4704B">
            <w:pPr>
              <w:pageBreakBefore w:val="0"/>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rPr>
              <w:t>/</w:t>
            </w:r>
          </w:p>
        </w:tc>
        <w:tc>
          <w:tcPr>
            <w:tcW w:w="2548" w:type="dxa"/>
            <w:shd w:val="clear" w:color="auto" w:fill="auto"/>
            <w:noWrap/>
            <w:tcMar>
              <w:top w:w="15" w:type="dxa"/>
              <w:left w:w="15" w:type="dxa"/>
              <w:right w:w="15" w:type="dxa"/>
            </w:tcMar>
            <w:vAlign w:val="center"/>
          </w:tcPr>
          <w:p w14:paraId="0DDA4EBD">
            <w:pPr>
              <w:pageBreakBefore w:val="0"/>
              <w:wordWrap/>
              <w:topLinePunct w:val="0"/>
              <w:bidi w:val="0"/>
              <w:spacing w:line="36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草地</w:t>
            </w: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桥梁永久征地范围内</w:t>
            </w:r>
            <w:r>
              <w:rPr>
                <w:rFonts w:hint="eastAsia"/>
                <w:color w:val="000000" w:themeColor="text1"/>
                <w:sz w:val="21"/>
                <w:szCs w:val="21"/>
                <w:highlight w:val="none"/>
                <w:lang w:eastAsia="zh-CN"/>
              </w:rPr>
              <w:t>）</w:t>
            </w:r>
            <w:r>
              <w:rPr>
                <w:rFonts w:hint="eastAsia"/>
                <w:color w:val="000000" w:themeColor="text1"/>
                <w:sz w:val="21"/>
                <w:szCs w:val="21"/>
                <w:highlight w:val="none"/>
              </w:rPr>
              <w:t>，周围为耕地和</w:t>
            </w:r>
            <w:r>
              <w:rPr>
                <w:rFonts w:hint="eastAsia"/>
                <w:color w:val="000000" w:themeColor="text1"/>
                <w:sz w:val="21"/>
                <w:szCs w:val="21"/>
                <w:highlight w:val="none"/>
                <w:lang w:val="en-US" w:eastAsia="zh-CN"/>
              </w:rPr>
              <w:t>草地</w:t>
            </w:r>
            <w:r>
              <w:rPr>
                <w:rFonts w:hint="eastAsia"/>
                <w:color w:val="000000" w:themeColor="text1"/>
                <w:sz w:val="21"/>
                <w:szCs w:val="21"/>
                <w:highlight w:val="none"/>
              </w:rPr>
              <w:t>，</w:t>
            </w:r>
            <w:r>
              <w:rPr>
                <w:color w:val="000000" w:themeColor="text1"/>
                <w:sz w:val="21"/>
                <w:szCs w:val="21"/>
                <w:highlight w:val="none"/>
              </w:rPr>
              <w:t>300</w:t>
            </w:r>
            <w:r>
              <w:rPr>
                <w:rFonts w:hint="eastAsia"/>
                <w:color w:val="000000" w:themeColor="text1"/>
                <w:sz w:val="21"/>
                <w:szCs w:val="21"/>
                <w:highlight w:val="none"/>
              </w:rPr>
              <w:t>m范围内无居民分布</w:t>
            </w:r>
          </w:p>
        </w:tc>
        <w:tc>
          <w:tcPr>
            <w:tcW w:w="4780" w:type="dxa"/>
            <w:shd w:val="clear" w:color="auto" w:fill="auto"/>
            <w:vAlign w:val="top"/>
          </w:tcPr>
          <w:p w14:paraId="7E39F628">
            <w:pPr>
              <w:pStyle w:val="42"/>
              <w:pageBreakBefore w:val="0"/>
              <w:wordWrap/>
              <w:topLinePunct w:val="0"/>
              <w:bidi w:val="0"/>
              <w:spacing w:line="360" w:lineRule="auto"/>
              <w:ind w:firstLine="240" w:firstLineChars="100"/>
              <w:rPr>
                <w:rFonts w:hint="eastAsia"/>
                <w:color w:val="000000" w:themeColor="text1"/>
                <w:highlight w:val="none"/>
                <w:lang w:eastAsia="zh-CN"/>
              </w:rPr>
            </w:pPr>
            <w:r>
              <w:rPr>
                <w:rFonts w:hint="eastAsia"/>
                <w:color w:val="000000" w:themeColor="text1"/>
                <w:highlight w:val="none"/>
                <w:lang w:eastAsia="zh-CN"/>
              </w:rPr>
              <w:drawing>
                <wp:anchor distT="0" distB="0" distL="114300" distR="114300" simplePos="0" relativeHeight="251718656" behindDoc="0" locked="0" layoutInCell="1" allowOverlap="1">
                  <wp:simplePos x="0" y="0"/>
                  <wp:positionH relativeFrom="column">
                    <wp:posOffset>85090</wp:posOffset>
                  </wp:positionH>
                  <wp:positionV relativeFrom="paragraph">
                    <wp:posOffset>27940</wp:posOffset>
                  </wp:positionV>
                  <wp:extent cx="2880360" cy="2315845"/>
                  <wp:effectExtent l="0" t="0" r="0" b="635"/>
                  <wp:wrapNone/>
                  <wp:docPr id="57" name="图片 57" descr="170123497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1701234978734"/>
                          <pic:cNvPicPr>
                            <a:picLocks noChangeAspect="1"/>
                          </pic:cNvPicPr>
                        </pic:nvPicPr>
                        <pic:blipFill>
                          <a:blip r:embed="rId42"/>
                          <a:stretch>
                            <a:fillRect/>
                          </a:stretch>
                        </pic:blipFill>
                        <pic:spPr>
                          <a:xfrm>
                            <a:off x="0" y="0"/>
                            <a:ext cx="2880360" cy="2315845"/>
                          </a:xfrm>
                          <a:prstGeom prst="rect">
                            <a:avLst/>
                          </a:prstGeom>
                        </pic:spPr>
                      </pic:pic>
                    </a:graphicData>
                  </a:graphic>
                </wp:anchor>
              </w:drawing>
            </w:r>
          </w:p>
          <w:p w14:paraId="5D585609">
            <w:pPr>
              <w:rPr>
                <w:rFonts w:hint="eastAsia"/>
                <w:color w:val="000000" w:themeColor="text1"/>
                <w:highlight w:val="none"/>
                <w:lang w:eastAsia="zh-CN"/>
              </w:rPr>
            </w:pPr>
          </w:p>
          <w:p w14:paraId="18F65242">
            <w:pPr>
              <w:pStyle w:val="42"/>
              <w:rPr>
                <w:rFonts w:hint="eastAsia"/>
                <w:color w:val="000000" w:themeColor="text1"/>
                <w:highlight w:val="none"/>
                <w:lang w:eastAsia="zh-CN"/>
              </w:rPr>
            </w:pPr>
          </w:p>
          <w:p w14:paraId="6B1D32F9">
            <w:pPr>
              <w:rPr>
                <w:rFonts w:hint="eastAsia"/>
                <w:color w:val="000000" w:themeColor="text1"/>
                <w:highlight w:val="none"/>
                <w:lang w:eastAsia="zh-CN"/>
              </w:rPr>
            </w:pPr>
          </w:p>
          <w:p w14:paraId="4C820E69">
            <w:pPr>
              <w:pStyle w:val="42"/>
              <w:rPr>
                <w:rFonts w:hint="eastAsia"/>
                <w:color w:val="000000" w:themeColor="text1"/>
                <w:highlight w:val="none"/>
                <w:lang w:eastAsia="zh-CN"/>
              </w:rPr>
            </w:pPr>
          </w:p>
          <w:p w14:paraId="508A0CC7">
            <w:pPr>
              <w:rPr>
                <w:rFonts w:hint="eastAsia"/>
                <w:color w:val="000000" w:themeColor="text1"/>
                <w:highlight w:val="none"/>
                <w:lang w:eastAsia="zh-CN"/>
              </w:rPr>
            </w:pPr>
          </w:p>
          <w:p w14:paraId="0CD5EE23">
            <w:pPr>
              <w:pStyle w:val="42"/>
              <w:rPr>
                <w:rFonts w:hint="eastAsia"/>
                <w:color w:val="000000" w:themeColor="text1"/>
                <w:highlight w:val="none"/>
                <w:lang w:eastAsia="zh-CN"/>
              </w:rPr>
            </w:pPr>
          </w:p>
          <w:p w14:paraId="19FC5827">
            <w:pPr>
              <w:rPr>
                <w:rFonts w:hint="eastAsia"/>
                <w:color w:val="000000" w:themeColor="text1"/>
                <w:highlight w:val="none"/>
                <w:lang w:eastAsia="zh-CN"/>
              </w:rPr>
            </w:pPr>
          </w:p>
          <w:p w14:paraId="291F3BFD">
            <w:pPr>
              <w:ind w:firstLine="480" w:firstLineChars="200"/>
              <w:rPr>
                <w:rFonts w:hint="eastAsia" w:ascii="Times New Roman" w:hAnsi="Times New Roman" w:eastAsia="宋体" w:cs="Times New Roman"/>
                <w:color w:val="000000" w:themeColor="text1"/>
                <w:kern w:val="2"/>
                <w:sz w:val="24"/>
                <w:szCs w:val="24"/>
                <w:highlight w:val="none"/>
                <w:lang w:val="en-US" w:eastAsia="zh-CN" w:bidi="ar-SA"/>
              </w:rPr>
            </w:pPr>
          </w:p>
        </w:tc>
      </w:tr>
      <w:bookmarkEnd w:id="258"/>
    </w:tbl>
    <w:p w14:paraId="6DFFB597">
      <w:pPr>
        <w:pageBreakBefore w:val="0"/>
        <w:wordWrap/>
        <w:topLinePunct w:val="0"/>
        <w:bidi w:val="0"/>
        <w:spacing w:line="360" w:lineRule="auto"/>
        <w:rPr>
          <w:color w:val="000000" w:themeColor="text1"/>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type="linesAndChars" w:linePitch="312" w:charSpace="0"/>
        </w:sectPr>
      </w:pPr>
    </w:p>
    <w:p w14:paraId="4454DDC4">
      <w:pPr>
        <w:pageBreakBefore w:val="0"/>
        <w:wordWrap/>
        <w:topLinePunct w:val="0"/>
        <w:bidi w:val="0"/>
        <w:spacing w:line="360" w:lineRule="auto"/>
        <w:jc w:val="left"/>
        <w:rPr>
          <w:color w:val="000000" w:themeColor="text1"/>
          <w:highlight w:val="none"/>
        </w:rPr>
      </w:pPr>
      <w:r>
        <w:rPr>
          <w:color w:val="000000" w:themeColor="text1"/>
          <w:highlight w:val="none"/>
        </w:rPr>
        <w:t>（</w:t>
      </w:r>
      <w:r>
        <w:rPr>
          <w:rFonts w:hint="eastAsia"/>
          <w:color w:val="000000" w:themeColor="text1"/>
          <w:highlight w:val="none"/>
          <w:lang w:val="en-US" w:eastAsia="zh-CN"/>
        </w:rPr>
        <w:t>6</w:t>
      </w:r>
      <w:r>
        <w:rPr>
          <w:color w:val="000000" w:themeColor="text1"/>
          <w:highlight w:val="none"/>
        </w:rPr>
        <w:t>）临时施工便道</w:t>
      </w:r>
    </w:p>
    <w:p w14:paraId="20A62FB0">
      <w:pPr>
        <w:pageBreakBefore w:val="0"/>
        <w:wordWrap/>
        <w:topLinePunct w:val="0"/>
        <w:bidi w:val="0"/>
        <w:spacing w:line="360" w:lineRule="auto"/>
        <w:jc w:val="left"/>
        <w:rPr>
          <w:color w:val="000000" w:themeColor="text1"/>
          <w:highlight w:val="none"/>
        </w:rPr>
      </w:pPr>
      <w:r>
        <w:rPr>
          <w:rFonts w:hint="eastAsia"/>
          <w:color w:val="000000" w:themeColor="text1"/>
          <w:highlight w:val="none"/>
        </w:rPr>
        <w:t>施工道路分为场内道路及场外道路，场外道路除利用G332鹤名公路和乡镇道路运输材料外，新建施工便道长度1.08km，平均宽度7.0m，占地面积为7557m</w:t>
      </w:r>
      <w:r>
        <w:rPr>
          <w:rFonts w:hint="eastAsia"/>
          <w:color w:val="000000" w:themeColor="text1"/>
          <w:highlight w:val="none"/>
          <w:vertAlign w:val="superscript"/>
        </w:rPr>
        <w:t>2</w:t>
      </w:r>
      <w:r>
        <w:rPr>
          <w:rFonts w:hint="eastAsia"/>
          <w:color w:val="000000" w:themeColor="text1"/>
          <w:highlight w:val="none"/>
        </w:rPr>
        <w:t>，全部为临时占地。待工程结束后拆除，满足运输要求。</w:t>
      </w:r>
    </w:p>
    <w:p w14:paraId="411CEA0B">
      <w:pPr>
        <w:pageBreakBefore w:val="0"/>
        <w:wordWrap/>
        <w:topLinePunct w:val="0"/>
        <w:bidi w:val="0"/>
        <w:spacing w:line="360" w:lineRule="auto"/>
        <w:ind w:firstLine="482"/>
        <w:jc w:val="center"/>
        <w:rPr>
          <w:b/>
          <w:bCs/>
          <w:color w:val="000000" w:themeColor="text1"/>
          <w:highlight w:val="none"/>
        </w:rPr>
      </w:pPr>
      <w:r>
        <w:rPr>
          <w:b/>
          <w:bCs/>
          <w:color w:val="000000" w:themeColor="text1"/>
          <w:highlight w:val="none"/>
        </w:rPr>
        <w:t>表3.1-</w:t>
      </w:r>
      <w:r>
        <w:rPr>
          <w:rFonts w:hint="eastAsia"/>
          <w:b/>
          <w:bCs/>
          <w:color w:val="000000" w:themeColor="text1"/>
          <w:highlight w:val="none"/>
          <w:lang w:val="en-US" w:eastAsia="zh-CN"/>
        </w:rPr>
        <w:t>18</w:t>
      </w:r>
      <w:r>
        <w:rPr>
          <w:b/>
          <w:bCs/>
          <w:color w:val="000000" w:themeColor="text1"/>
          <w:highlight w:val="none"/>
        </w:rPr>
        <w:t xml:space="preserve">  </w:t>
      </w:r>
      <w:r>
        <w:rPr>
          <w:rFonts w:hint="eastAsia"/>
          <w:b/>
          <w:bCs/>
          <w:color w:val="000000" w:themeColor="text1"/>
          <w:highlight w:val="none"/>
        </w:rPr>
        <w:t>施工便道</w:t>
      </w:r>
      <w:r>
        <w:rPr>
          <w:b/>
          <w:bCs/>
          <w:color w:val="000000" w:themeColor="text1"/>
          <w:highlight w:val="none"/>
        </w:rPr>
        <w:t>情况表</w:t>
      </w:r>
    </w:p>
    <w:tbl>
      <w:tblPr>
        <w:tblStyle w:val="3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142"/>
        <w:gridCol w:w="1789"/>
        <w:gridCol w:w="1200"/>
        <w:gridCol w:w="1280"/>
        <w:gridCol w:w="2421"/>
      </w:tblGrid>
      <w:tr w14:paraId="27C8E2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Merge w:val="restart"/>
            <w:vAlign w:val="center"/>
          </w:tcPr>
          <w:p w14:paraId="280E84CE">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r>
              <w:rPr>
                <w:color w:val="000000" w:themeColor="text1"/>
                <w:sz w:val="21"/>
                <w:szCs w:val="21"/>
                <w:highlight w:val="none"/>
              </w:rPr>
              <w:t>工程名称</w:t>
            </w:r>
          </w:p>
        </w:tc>
        <w:tc>
          <w:tcPr>
            <w:tcW w:w="670" w:type="pct"/>
            <w:vMerge w:val="restart"/>
            <w:vAlign w:val="center"/>
          </w:tcPr>
          <w:p w14:paraId="609311FF">
            <w:pPr>
              <w:pageBreakBefore w:val="0"/>
              <w:widowControl/>
              <w:wordWrap/>
              <w:topLinePunct w:val="0"/>
              <w:bidi w:val="0"/>
              <w:spacing w:line="240" w:lineRule="auto"/>
              <w:ind w:firstLine="0" w:firstLineChars="0"/>
              <w:jc w:val="center"/>
              <w:textAlignment w:val="center"/>
              <w:rPr>
                <w:color w:val="000000" w:themeColor="text1"/>
                <w:sz w:val="21"/>
                <w:szCs w:val="21"/>
                <w:highlight w:val="none"/>
              </w:rPr>
            </w:pPr>
            <w:r>
              <w:rPr>
                <w:color w:val="000000" w:themeColor="text1"/>
                <w:sz w:val="21"/>
                <w:szCs w:val="21"/>
                <w:highlight w:val="none"/>
              </w:rPr>
              <w:t>位置</w:t>
            </w:r>
          </w:p>
          <w:p w14:paraId="400656C2">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r>
              <w:rPr>
                <w:color w:val="000000" w:themeColor="text1"/>
                <w:sz w:val="21"/>
                <w:szCs w:val="21"/>
                <w:highlight w:val="none"/>
              </w:rPr>
              <w:t>或桩号</w:t>
            </w:r>
          </w:p>
        </w:tc>
        <w:tc>
          <w:tcPr>
            <w:tcW w:w="1049" w:type="pct"/>
            <w:vMerge w:val="restart"/>
            <w:vAlign w:val="center"/>
          </w:tcPr>
          <w:p w14:paraId="17F70EA6">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r>
              <w:rPr>
                <w:color w:val="000000" w:themeColor="text1"/>
                <w:sz w:val="21"/>
                <w:szCs w:val="21"/>
                <w:highlight w:val="none"/>
              </w:rPr>
              <w:t>所属县、乡、村或个人</w:t>
            </w:r>
          </w:p>
        </w:tc>
        <w:tc>
          <w:tcPr>
            <w:tcW w:w="704" w:type="pct"/>
            <w:vMerge w:val="restart"/>
            <w:vAlign w:val="center"/>
          </w:tcPr>
          <w:p w14:paraId="340DACE7">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r>
              <w:rPr>
                <w:color w:val="000000" w:themeColor="text1"/>
                <w:sz w:val="21"/>
                <w:szCs w:val="21"/>
                <w:highlight w:val="none"/>
              </w:rPr>
              <w:t>长度（</w:t>
            </w:r>
            <w:r>
              <w:rPr>
                <w:rFonts w:hint="eastAsia"/>
                <w:color w:val="000000" w:themeColor="text1"/>
                <w:sz w:val="21"/>
                <w:szCs w:val="21"/>
                <w:highlight w:val="none"/>
              </w:rPr>
              <w:t>k</w:t>
            </w:r>
            <w:r>
              <w:rPr>
                <w:color w:val="000000" w:themeColor="text1"/>
                <w:sz w:val="21"/>
                <w:szCs w:val="21"/>
                <w:highlight w:val="none"/>
              </w:rPr>
              <w:t>m）</w:t>
            </w:r>
          </w:p>
        </w:tc>
        <w:tc>
          <w:tcPr>
            <w:tcW w:w="750" w:type="pct"/>
            <w:vMerge w:val="restart"/>
            <w:vAlign w:val="center"/>
          </w:tcPr>
          <w:p w14:paraId="34E7F1A9">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r>
              <w:rPr>
                <w:color w:val="000000" w:themeColor="text1"/>
                <w:sz w:val="21"/>
                <w:szCs w:val="21"/>
                <w:highlight w:val="none"/>
              </w:rPr>
              <w:t>宽度（m）</w:t>
            </w:r>
          </w:p>
        </w:tc>
        <w:tc>
          <w:tcPr>
            <w:tcW w:w="1420" w:type="pct"/>
            <w:vAlign w:val="center"/>
          </w:tcPr>
          <w:p w14:paraId="0A2D050B">
            <w:pPr>
              <w:pageBreakBefore w:val="0"/>
              <w:widowControl/>
              <w:wordWrap/>
              <w:topLinePunct w:val="0"/>
              <w:bidi w:val="0"/>
              <w:spacing w:line="240" w:lineRule="auto"/>
              <w:ind w:firstLine="0" w:firstLineChars="0"/>
              <w:jc w:val="center"/>
              <w:textAlignment w:val="center"/>
              <w:rPr>
                <w:color w:val="000000" w:themeColor="text1"/>
                <w:sz w:val="21"/>
                <w:szCs w:val="21"/>
                <w:highlight w:val="none"/>
              </w:rPr>
            </w:pPr>
            <w:r>
              <w:rPr>
                <w:color w:val="000000" w:themeColor="text1"/>
                <w:sz w:val="21"/>
                <w:szCs w:val="21"/>
                <w:highlight w:val="none"/>
              </w:rPr>
              <w:t>土地类别及数量</w:t>
            </w:r>
          </w:p>
        </w:tc>
      </w:tr>
      <w:tr w14:paraId="3E90F6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Merge w:val="continue"/>
            <w:vAlign w:val="center"/>
          </w:tcPr>
          <w:p w14:paraId="69876C6E">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p>
        </w:tc>
        <w:tc>
          <w:tcPr>
            <w:tcW w:w="670" w:type="pct"/>
            <w:vMerge w:val="continue"/>
            <w:vAlign w:val="center"/>
          </w:tcPr>
          <w:p w14:paraId="689027E3">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p>
        </w:tc>
        <w:tc>
          <w:tcPr>
            <w:tcW w:w="1049" w:type="pct"/>
            <w:vMerge w:val="continue"/>
            <w:vAlign w:val="center"/>
          </w:tcPr>
          <w:p w14:paraId="596E5BAE">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p>
        </w:tc>
        <w:tc>
          <w:tcPr>
            <w:tcW w:w="704" w:type="pct"/>
            <w:vMerge w:val="continue"/>
            <w:vAlign w:val="center"/>
          </w:tcPr>
          <w:p w14:paraId="4EF89BCE">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p>
        </w:tc>
        <w:tc>
          <w:tcPr>
            <w:tcW w:w="750" w:type="pct"/>
            <w:vMerge w:val="continue"/>
            <w:vAlign w:val="center"/>
          </w:tcPr>
          <w:p w14:paraId="2768C44E">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p>
        </w:tc>
        <w:tc>
          <w:tcPr>
            <w:tcW w:w="1420" w:type="pct"/>
            <w:vAlign w:val="center"/>
          </w:tcPr>
          <w:p w14:paraId="704BA42E">
            <w:pPr>
              <w:pageBreakBefore w:val="0"/>
              <w:widowControl/>
              <w:wordWrap/>
              <w:topLinePunct w:val="0"/>
              <w:bidi w:val="0"/>
              <w:spacing w:line="240" w:lineRule="auto"/>
              <w:ind w:firstLine="0" w:firstLineChars="0"/>
              <w:jc w:val="center"/>
              <w:textAlignment w:val="center"/>
              <w:rPr>
                <w:color w:val="000000" w:themeColor="text1"/>
                <w:sz w:val="21"/>
                <w:szCs w:val="21"/>
                <w:highlight w:val="none"/>
              </w:rPr>
            </w:pPr>
            <w:r>
              <w:rPr>
                <w:rFonts w:hint="eastAsia"/>
                <w:color w:val="000000" w:themeColor="text1"/>
                <w:sz w:val="21"/>
                <w:szCs w:val="21"/>
                <w:highlight w:val="none"/>
                <w:lang w:val="en-US" w:eastAsia="zh-CN"/>
              </w:rPr>
              <w:t>耕地（</w:t>
            </w:r>
            <w:r>
              <w:rPr>
                <w:rFonts w:hint="eastAsia"/>
                <w:color w:val="000000" w:themeColor="text1"/>
                <w:sz w:val="21"/>
                <w:szCs w:val="21"/>
                <w:highlight w:val="none"/>
              </w:rPr>
              <w:t>hm</w:t>
            </w:r>
            <w:r>
              <w:rPr>
                <w:color w:val="000000" w:themeColor="text1"/>
                <w:sz w:val="21"/>
                <w:szCs w:val="21"/>
                <w:highlight w:val="none"/>
                <w:vertAlign w:val="superscript"/>
              </w:rPr>
              <w:t>2</w:t>
            </w:r>
            <w:r>
              <w:rPr>
                <w:rFonts w:hint="eastAsia"/>
                <w:color w:val="000000" w:themeColor="text1"/>
                <w:sz w:val="21"/>
                <w:szCs w:val="21"/>
                <w:highlight w:val="none"/>
              </w:rPr>
              <w:t>）</w:t>
            </w:r>
          </w:p>
        </w:tc>
      </w:tr>
      <w:tr w14:paraId="16ECAE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4501244B">
            <w:pPr>
              <w:pageBreakBefore w:val="0"/>
              <w:widowControl/>
              <w:wordWrap/>
              <w:topLinePunct w:val="0"/>
              <w:bidi w:val="0"/>
              <w:spacing w:line="240" w:lineRule="auto"/>
              <w:ind w:firstLine="0" w:firstLineChars="0"/>
              <w:jc w:val="center"/>
              <w:textAlignment w:val="center"/>
              <w:rPr>
                <w:bCs/>
                <w:color w:val="000000" w:themeColor="text1"/>
                <w:sz w:val="21"/>
                <w:szCs w:val="21"/>
                <w:highlight w:val="none"/>
              </w:rPr>
            </w:pPr>
            <w:r>
              <w:rPr>
                <w:bCs/>
                <w:color w:val="000000" w:themeColor="text1"/>
                <w:kern w:val="0"/>
                <w:sz w:val="21"/>
                <w:szCs w:val="21"/>
                <w:highlight w:val="none"/>
              </w:rPr>
              <w:t>1</w:t>
            </w:r>
          </w:p>
        </w:tc>
        <w:tc>
          <w:tcPr>
            <w:tcW w:w="670" w:type="pct"/>
            <w:vAlign w:val="center"/>
          </w:tcPr>
          <w:p w14:paraId="06BE3032">
            <w:pPr>
              <w:pageBreakBefore w:val="0"/>
              <w:widowControl/>
              <w:wordWrap/>
              <w:topLinePunct w:val="0"/>
              <w:bidi w:val="0"/>
              <w:spacing w:line="240" w:lineRule="auto"/>
              <w:ind w:firstLine="0" w:firstLineChars="0"/>
              <w:jc w:val="center"/>
              <w:textAlignment w:val="center"/>
              <w:rPr>
                <w:b/>
                <w:bCs/>
                <w:color w:val="000000" w:themeColor="text1"/>
                <w:sz w:val="21"/>
                <w:szCs w:val="21"/>
                <w:highlight w:val="none"/>
              </w:rPr>
            </w:pPr>
            <w:r>
              <w:rPr>
                <w:rFonts w:hint="eastAsia"/>
                <w:color w:val="000000" w:themeColor="text1"/>
                <w:kern w:val="0"/>
                <w:sz w:val="21"/>
                <w:szCs w:val="21"/>
                <w:highlight w:val="none"/>
                <w:lang w:val="en-US" w:eastAsia="zh-CN"/>
              </w:rPr>
              <w:t>A</w:t>
            </w:r>
            <w:r>
              <w:rPr>
                <w:rFonts w:hint="eastAsia"/>
                <w:color w:val="000000" w:themeColor="text1"/>
                <w:kern w:val="0"/>
                <w:sz w:val="21"/>
                <w:szCs w:val="21"/>
                <w:highlight w:val="none"/>
              </w:rPr>
              <w:t>K</w:t>
            </w:r>
            <w:r>
              <w:rPr>
                <w:rFonts w:hint="eastAsia"/>
                <w:color w:val="000000" w:themeColor="text1"/>
                <w:kern w:val="0"/>
                <w:sz w:val="21"/>
                <w:szCs w:val="21"/>
                <w:highlight w:val="none"/>
                <w:lang w:val="en-US" w:eastAsia="zh-CN"/>
              </w:rPr>
              <w:t>2</w:t>
            </w:r>
            <w:r>
              <w:rPr>
                <w:rFonts w:hint="eastAsia"/>
                <w:color w:val="000000" w:themeColor="text1"/>
                <w:kern w:val="0"/>
                <w:sz w:val="21"/>
                <w:szCs w:val="21"/>
                <w:highlight w:val="none"/>
              </w:rPr>
              <w:t>+</w:t>
            </w:r>
            <w:r>
              <w:rPr>
                <w:rFonts w:hint="eastAsia"/>
                <w:color w:val="000000" w:themeColor="text1"/>
                <w:kern w:val="0"/>
                <w:sz w:val="21"/>
                <w:szCs w:val="21"/>
                <w:highlight w:val="none"/>
                <w:lang w:val="en-US" w:eastAsia="zh-CN"/>
              </w:rPr>
              <w:t>45</w:t>
            </w:r>
            <w:r>
              <w:rPr>
                <w:rFonts w:hint="eastAsia"/>
                <w:color w:val="000000" w:themeColor="text1"/>
                <w:kern w:val="0"/>
                <w:sz w:val="21"/>
                <w:szCs w:val="21"/>
                <w:highlight w:val="none"/>
              </w:rPr>
              <w:t>0</w:t>
            </w:r>
          </w:p>
        </w:tc>
        <w:tc>
          <w:tcPr>
            <w:tcW w:w="1049" w:type="pct"/>
            <w:vAlign w:val="center"/>
          </w:tcPr>
          <w:p w14:paraId="3E1226E7">
            <w:pPr>
              <w:pageBreakBefore w:val="0"/>
              <w:widowControl/>
              <w:wordWrap/>
              <w:topLinePunct w:val="0"/>
              <w:bidi w:val="0"/>
              <w:spacing w:line="240" w:lineRule="auto"/>
              <w:ind w:firstLine="0" w:firstLineChars="0"/>
              <w:jc w:val="center"/>
              <w:textAlignment w:val="center"/>
              <w:rPr>
                <w:color w:val="000000" w:themeColor="text1"/>
                <w:sz w:val="21"/>
                <w:szCs w:val="21"/>
                <w:highlight w:val="none"/>
              </w:rPr>
            </w:pPr>
            <w:r>
              <w:rPr>
                <w:rFonts w:hint="eastAsia"/>
                <w:color w:val="000000" w:themeColor="text1"/>
                <w:sz w:val="21"/>
                <w:szCs w:val="21"/>
                <w:highlight w:val="none"/>
                <w:lang w:val="en-US" w:eastAsia="zh-CN"/>
              </w:rPr>
              <w:t>宝泉岭</w:t>
            </w:r>
            <w:r>
              <w:rPr>
                <w:rFonts w:hint="eastAsia"/>
                <w:color w:val="000000" w:themeColor="text1"/>
                <w:sz w:val="21"/>
                <w:szCs w:val="21"/>
                <w:highlight w:val="none"/>
              </w:rPr>
              <w:t>农场</w:t>
            </w:r>
          </w:p>
        </w:tc>
        <w:tc>
          <w:tcPr>
            <w:tcW w:w="704" w:type="pct"/>
            <w:vAlign w:val="center"/>
          </w:tcPr>
          <w:p w14:paraId="29A6AB9B">
            <w:pPr>
              <w:pageBreakBefore w:val="0"/>
              <w:widowControl/>
              <w:wordWrap/>
              <w:topLinePunct w:val="0"/>
              <w:bidi w:val="0"/>
              <w:spacing w:line="240" w:lineRule="auto"/>
              <w:ind w:firstLine="0" w:firstLineChars="0"/>
              <w:jc w:val="center"/>
              <w:textAlignment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1.08</w:t>
            </w:r>
          </w:p>
        </w:tc>
        <w:tc>
          <w:tcPr>
            <w:tcW w:w="750" w:type="pct"/>
            <w:vAlign w:val="center"/>
          </w:tcPr>
          <w:p w14:paraId="1F4C668E">
            <w:pPr>
              <w:pageBreakBefore w:val="0"/>
              <w:widowControl/>
              <w:wordWrap/>
              <w:topLinePunct w:val="0"/>
              <w:bidi w:val="0"/>
              <w:spacing w:line="240" w:lineRule="auto"/>
              <w:ind w:firstLine="0" w:firstLineChars="0"/>
              <w:jc w:val="center"/>
              <w:textAlignment w:val="center"/>
              <w:rPr>
                <w:rFonts w:hint="default" w:eastAsia="宋体"/>
                <w:color w:val="000000" w:themeColor="text1"/>
                <w:sz w:val="21"/>
                <w:szCs w:val="21"/>
                <w:highlight w:val="none"/>
                <w:lang w:val="en-US" w:eastAsia="zh-CN"/>
              </w:rPr>
            </w:pPr>
            <w:r>
              <w:rPr>
                <w:rFonts w:hint="eastAsia"/>
                <w:color w:val="000000" w:themeColor="text1"/>
                <w:kern w:val="0"/>
                <w:sz w:val="21"/>
                <w:szCs w:val="21"/>
                <w:highlight w:val="none"/>
                <w:lang w:val="en-US" w:eastAsia="zh-CN"/>
              </w:rPr>
              <w:t>7.0</w:t>
            </w:r>
          </w:p>
        </w:tc>
        <w:tc>
          <w:tcPr>
            <w:tcW w:w="1420" w:type="pct"/>
            <w:vAlign w:val="center"/>
          </w:tcPr>
          <w:p w14:paraId="3E14676E">
            <w:pPr>
              <w:pageBreakBefore w:val="0"/>
              <w:widowControl/>
              <w:wordWrap/>
              <w:topLinePunct w:val="0"/>
              <w:bidi w:val="0"/>
              <w:spacing w:line="240" w:lineRule="auto"/>
              <w:ind w:firstLine="0" w:firstLineChars="0"/>
              <w:jc w:val="center"/>
              <w:textAlignment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0.76</w:t>
            </w:r>
          </w:p>
        </w:tc>
      </w:tr>
      <w:tr w14:paraId="62514F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24" w:type="pct"/>
            <w:gridSpan w:val="3"/>
            <w:vAlign w:val="center"/>
          </w:tcPr>
          <w:p w14:paraId="7F111E0A">
            <w:pPr>
              <w:pageBreakBefore w:val="0"/>
              <w:widowControl/>
              <w:wordWrap/>
              <w:topLinePunct w:val="0"/>
              <w:bidi w:val="0"/>
              <w:spacing w:line="240" w:lineRule="auto"/>
              <w:ind w:firstLine="0" w:firstLineChars="0"/>
              <w:jc w:val="center"/>
              <w:textAlignment w:val="center"/>
              <w:rPr>
                <w:color w:val="000000" w:themeColor="text1"/>
                <w:sz w:val="21"/>
                <w:szCs w:val="21"/>
                <w:highlight w:val="none"/>
              </w:rPr>
            </w:pPr>
            <w:r>
              <w:rPr>
                <w:rFonts w:hint="eastAsia"/>
                <w:color w:val="000000" w:themeColor="text1"/>
                <w:sz w:val="21"/>
                <w:szCs w:val="21"/>
                <w:highlight w:val="none"/>
              </w:rPr>
              <w:t>总计</w:t>
            </w:r>
          </w:p>
        </w:tc>
        <w:tc>
          <w:tcPr>
            <w:tcW w:w="704" w:type="pct"/>
            <w:shd w:val="clear" w:color="auto" w:fill="auto"/>
            <w:vAlign w:val="center"/>
          </w:tcPr>
          <w:p w14:paraId="062B929A">
            <w:pPr>
              <w:pageBreakBefore w:val="0"/>
              <w:widowControl/>
              <w:wordWrap/>
              <w:topLinePunct w:val="0"/>
              <w:bidi w:val="0"/>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1.08</w:t>
            </w:r>
          </w:p>
        </w:tc>
        <w:tc>
          <w:tcPr>
            <w:tcW w:w="750" w:type="pct"/>
            <w:shd w:val="clear" w:color="auto" w:fill="auto"/>
            <w:vAlign w:val="center"/>
          </w:tcPr>
          <w:p w14:paraId="459A827A">
            <w:pPr>
              <w:pageBreakBefore w:val="0"/>
              <w:widowControl/>
              <w:wordWrap/>
              <w:topLinePunct w:val="0"/>
              <w:bidi w:val="0"/>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kern w:val="0"/>
                <w:sz w:val="21"/>
                <w:szCs w:val="21"/>
                <w:highlight w:val="none"/>
                <w:lang w:val="en-US" w:eastAsia="zh-CN"/>
              </w:rPr>
              <w:t>7.0</w:t>
            </w:r>
          </w:p>
        </w:tc>
        <w:tc>
          <w:tcPr>
            <w:tcW w:w="1420" w:type="pct"/>
            <w:shd w:val="clear" w:color="auto" w:fill="auto"/>
            <w:vAlign w:val="center"/>
          </w:tcPr>
          <w:p w14:paraId="31DA5D2F">
            <w:pPr>
              <w:pageBreakBefore w:val="0"/>
              <w:widowControl/>
              <w:wordWrap/>
              <w:topLinePunct w:val="0"/>
              <w:bidi w:val="0"/>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0.76</w:t>
            </w:r>
          </w:p>
        </w:tc>
      </w:tr>
    </w:tbl>
    <w:p w14:paraId="592468FA">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项目施工便道设计充分利用现有道路，仅少量施工便道为新建道路，新建施工便道尽量控制路宽，减少临时占地面积，同时新建施工便道在施工结束后均恢复成原有地貌。施工便道设置较合理。</w:t>
      </w:r>
    </w:p>
    <w:p w14:paraId="40996841">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w:t>
      </w:r>
      <w:r>
        <w:rPr>
          <w:rFonts w:hint="eastAsia"/>
          <w:color w:val="000000" w:themeColor="text1"/>
          <w:highlight w:val="none"/>
        </w:rPr>
        <w:t>临时用地</w:t>
      </w:r>
      <w:r>
        <w:rPr>
          <w:rFonts w:hint="eastAsia"/>
          <w:color w:val="000000" w:themeColor="text1"/>
          <w:highlight w:val="none"/>
          <w:lang w:eastAsia="zh-CN"/>
        </w:rPr>
        <w:t>（</w:t>
      </w:r>
      <w:r>
        <w:rPr>
          <w:rFonts w:hint="eastAsia"/>
          <w:color w:val="000000" w:themeColor="text1"/>
          <w:highlight w:val="none"/>
          <w:lang w:val="en-US" w:eastAsia="zh-CN"/>
        </w:rPr>
        <w:t>施工便道</w:t>
      </w:r>
      <w:r>
        <w:rPr>
          <w:rFonts w:hint="eastAsia"/>
          <w:color w:val="000000" w:themeColor="text1"/>
          <w:highlight w:val="none"/>
          <w:lang w:eastAsia="zh-CN"/>
        </w:rPr>
        <w:t>）</w:t>
      </w:r>
      <w:r>
        <w:rPr>
          <w:rFonts w:hint="eastAsia"/>
          <w:color w:val="000000" w:themeColor="text1"/>
          <w:highlight w:val="none"/>
        </w:rPr>
        <w:t>确实难以避让永久基本农田，</w:t>
      </w:r>
      <w:r>
        <w:rPr>
          <w:rFonts w:hint="eastAsia"/>
          <w:color w:val="000000" w:themeColor="text1"/>
          <w:highlight w:val="none"/>
          <w:lang w:val="en-US" w:eastAsia="zh-CN"/>
        </w:rPr>
        <w:t>本项目在建设过程中临时占地内</w:t>
      </w:r>
      <w:r>
        <w:rPr>
          <w:rFonts w:hint="eastAsia"/>
          <w:color w:val="000000" w:themeColor="text1"/>
          <w:highlight w:val="none"/>
        </w:rPr>
        <w:t>不修建永久性建（构）筑物、经复垦能恢复原种植</w:t>
      </w:r>
      <w:r>
        <w:rPr>
          <w:rFonts w:hint="eastAsia"/>
          <w:color w:val="000000" w:themeColor="text1"/>
          <w:highlight w:val="none"/>
          <w:lang w:eastAsia="zh-CN"/>
        </w:rPr>
        <w:t>。</w:t>
      </w:r>
      <w:r>
        <w:rPr>
          <w:rFonts w:hint="eastAsia"/>
          <w:color w:val="000000" w:themeColor="text1"/>
          <w:highlight w:val="none"/>
          <w:lang w:val="en-US" w:eastAsia="zh-CN"/>
        </w:rPr>
        <w:t>本项目建设单位</w:t>
      </w:r>
      <w:r>
        <w:rPr>
          <w:rFonts w:hint="eastAsia"/>
          <w:color w:val="000000" w:themeColor="text1"/>
          <w:highlight w:val="none"/>
        </w:rPr>
        <w:t>按法定程序申请临时用地并编制土地复垦方案，经县级自然资源主管部门批准可临时占用，并在市级自然资源主管部门备案，同时，通过耕地耕作层土壤剥离再利用等工程技术措施，减少对耕作层的破坏。临时用地到期后</w:t>
      </w:r>
      <w:r>
        <w:rPr>
          <w:rFonts w:hint="eastAsia"/>
          <w:color w:val="000000" w:themeColor="text1"/>
          <w:highlight w:val="none"/>
          <w:lang w:val="en-US" w:eastAsia="zh-CN"/>
        </w:rPr>
        <w:t>建设单位</w:t>
      </w:r>
      <w:r>
        <w:rPr>
          <w:rFonts w:hint="eastAsia"/>
          <w:color w:val="000000" w:themeColor="text1"/>
          <w:highlight w:val="none"/>
        </w:rPr>
        <w:t>及时复垦恢复原种植条件，县级自然资源主管部门会同农业农村等相关主管部门开展土地复垦验收，验收合格的，继续按照永久基本农田保护和管理</w:t>
      </w:r>
      <w:r>
        <w:rPr>
          <w:rFonts w:hint="eastAsia"/>
          <w:color w:val="000000" w:themeColor="text1"/>
          <w:highlight w:val="none"/>
          <w:lang w:val="en-US" w:eastAsia="zh-CN"/>
        </w:rPr>
        <w:t>。</w:t>
      </w:r>
    </w:p>
    <w:p w14:paraId="13E63DB7">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本项目</w:t>
      </w:r>
      <w:r>
        <w:rPr>
          <w:rFonts w:hint="eastAsia"/>
          <w:color w:val="000000" w:themeColor="text1"/>
          <w:highlight w:val="none"/>
        </w:rPr>
        <w:t>坚持“用多少、批多少、占多少、恢复多少”，尽量不占或者少占耕地。科学组织施工，节约集约使用临时用地。制梁场、拌合站等难以恢复原种植条件的不占用耕地和永久基本农田。项目在临时用地使用结束后拆除临建设施，并进行土地复垦，临时占地可恢复原有土地功能。因此项目建设符合《自然资源部关于规范临时用地管理的通知》（自然资规〔2021〕2号）文件要求。</w:t>
      </w:r>
    </w:p>
    <w:p w14:paraId="46381FD9">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1</w:t>
      </w:r>
      <w:r>
        <w:rPr>
          <w:rFonts w:hint="eastAsia"/>
          <w:color w:val="000000" w:themeColor="text1"/>
          <w:highlight w:val="none"/>
        </w:rPr>
        <w:t>.2</w:t>
      </w:r>
      <w:r>
        <w:rPr>
          <w:color w:val="000000" w:themeColor="text1"/>
          <w:highlight w:val="none"/>
        </w:rPr>
        <w:t>工程拆迁</w:t>
      </w:r>
    </w:p>
    <w:p w14:paraId="3AF57E9A">
      <w:pPr>
        <w:pageBreakBefore w:val="0"/>
        <w:wordWrap/>
        <w:topLinePunct w:val="0"/>
        <w:bidi w:val="0"/>
        <w:spacing w:line="360" w:lineRule="auto"/>
        <w:rPr>
          <w:color w:val="000000" w:themeColor="text1"/>
          <w:highlight w:val="none"/>
        </w:rPr>
      </w:pPr>
      <w:r>
        <w:rPr>
          <w:color w:val="000000" w:themeColor="text1"/>
          <w:highlight w:val="none"/>
        </w:rPr>
        <w:t>本工程</w:t>
      </w:r>
      <w:r>
        <w:rPr>
          <w:rFonts w:hint="eastAsia"/>
          <w:color w:val="000000" w:themeColor="text1"/>
          <w:highlight w:val="none"/>
          <w:lang w:val="en-US" w:eastAsia="zh-CN"/>
        </w:rPr>
        <w:t>拆迁建筑物1167m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，拆迁电力线3处</w:t>
      </w:r>
      <w:r>
        <w:rPr>
          <w:color w:val="000000" w:themeColor="text1"/>
          <w:highlight w:val="none"/>
        </w:rPr>
        <w:t>，</w:t>
      </w:r>
      <w:r>
        <w:rPr>
          <w:rFonts w:hint="eastAsia"/>
          <w:color w:val="000000" w:themeColor="text1"/>
          <w:highlight w:val="none"/>
          <w:lang w:val="en-US" w:eastAsia="zh-CN"/>
        </w:rPr>
        <w:t>拆迁电讯线4处</w:t>
      </w:r>
      <w:r>
        <w:rPr>
          <w:rFonts w:hint="eastAsia"/>
          <w:color w:val="000000" w:themeColor="text1"/>
          <w:highlight w:val="none"/>
          <w:lang w:eastAsia="zh-CN"/>
        </w:rPr>
        <w:t>，</w:t>
      </w:r>
      <w:r>
        <w:rPr>
          <w:color w:val="000000" w:themeColor="text1"/>
          <w:highlight w:val="none"/>
        </w:rPr>
        <w:t>分别见表3.1-</w:t>
      </w:r>
      <w:r>
        <w:rPr>
          <w:rFonts w:hint="eastAsia"/>
          <w:color w:val="000000" w:themeColor="text1"/>
          <w:highlight w:val="none"/>
          <w:lang w:val="en-US" w:eastAsia="zh-CN"/>
        </w:rPr>
        <w:t>17、</w:t>
      </w:r>
      <w:r>
        <w:rPr>
          <w:color w:val="000000" w:themeColor="text1"/>
          <w:highlight w:val="none"/>
        </w:rPr>
        <w:t>3.1-</w:t>
      </w:r>
      <w:r>
        <w:rPr>
          <w:rFonts w:hint="eastAsia"/>
          <w:color w:val="000000" w:themeColor="text1"/>
          <w:highlight w:val="none"/>
          <w:lang w:val="en-US" w:eastAsia="zh-CN"/>
        </w:rPr>
        <w:t>18</w:t>
      </w:r>
      <w:r>
        <w:rPr>
          <w:color w:val="000000" w:themeColor="text1"/>
          <w:highlight w:val="none"/>
        </w:rPr>
        <w:t>。</w:t>
      </w:r>
    </w:p>
    <w:p w14:paraId="209EC15E">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1</w:t>
      </w:r>
      <w:r>
        <w:rPr>
          <w:rFonts w:hint="eastAsia"/>
          <w:color w:val="000000" w:themeColor="text1"/>
          <w:highlight w:val="none"/>
        </w:rPr>
        <w:t>.3</w:t>
      </w:r>
      <w:r>
        <w:rPr>
          <w:color w:val="000000" w:themeColor="text1"/>
          <w:highlight w:val="none"/>
        </w:rPr>
        <w:t>树木砍伐</w:t>
      </w:r>
    </w:p>
    <w:p w14:paraId="1EF30560">
      <w:pPr>
        <w:pageBreakBefore w:val="0"/>
        <w:wordWrap/>
        <w:topLinePunct w:val="0"/>
        <w:bidi w:val="0"/>
        <w:spacing w:line="360" w:lineRule="auto"/>
        <w:rPr>
          <w:color w:val="000000" w:themeColor="text1"/>
          <w:highlight w:val="none"/>
        </w:rPr>
      </w:pPr>
      <w:r>
        <w:rPr>
          <w:color w:val="000000" w:themeColor="text1"/>
          <w:highlight w:val="none"/>
        </w:rPr>
        <w:t>本项目</w:t>
      </w:r>
      <w:r>
        <w:rPr>
          <w:rFonts w:hint="eastAsia"/>
          <w:color w:val="000000" w:themeColor="text1"/>
          <w:highlight w:val="none"/>
        </w:rPr>
        <w:t>共计砍伐树木6</w:t>
      </w:r>
      <w:r>
        <w:rPr>
          <w:rFonts w:hint="eastAsia"/>
          <w:color w:val="000000" w:themeColor="text1"/>
          <w:highlight w:val="none"/>
          <w:lang w:val="en-US" w:eastAsia="zh-CN"/>
        </w:rPr>
        <w:t>938</w:t>
      </w:r>
      <w:r>
        <w:rPr>
          <w:rFonts w:hint="eastAsia"/>
          <w:color w:val="000000" w:themeColor="text1"/>
          <w:highlight w:val="none"/>
        </w:rPr>
        <w:t>棵，包括胸径&lt;15cm2007棵、≥15cm 4</w:t>
      </w:r>
      <w:r>
        <w:rPr>
          <w:rFonts w:hint="eastAsia"/>
          <w:color w:val="000000" w:themeColor="text1"/>
          <w:highlight w:val="none"/>
          <w:lang w:val="en-US" w:eastAsia="zh-CN"/>
        </w:rPr>
        <w:t>931</w:t>
      </w:r>
      <w:r>
        <w:rPr>
          <w:rFonts w:hint="eastAsia"/>
          <w:color w:val="000000" w:themeColor="text1"/>
          <w:highlight w:val="none"/>
        </w:rPr>
        <w:t>棵，树种为柞树、桦树、山</w:t>
      </w:r>
      <w:r>
        <w:rPr>
          <w:rFonts w:hint="eastAsia"/>
          <w:color w:val="000000" w:themeColor="text1"/>
          <w:highlight w:val="none"/>
          <w:lang w:val="en-US" w:eastAsia="zh-CN"/>
        </w:rPr>
        <w:t>杨</w:t>
      </w:r>
      <w:r>
        <w:rPr>
          <w:rFonts w:hint="eastAsia"/>
          <w:color w:val="000000" w:themeColor="text1"/>
          <w:highlight w:val="none"/>
        </w:rPr>
        <w:t>、落叶松等</w:t>
      </w:r>
      <w:r>
        <w:rPr>
          <w:color w:val="000000" w:themeColor="text1"/>
          <w:highlight w:val="none"/>
        </w:rPr>
        <w:t>，树木砍伐一览表见表3.1-</w:t>
      </w:r>
      <w:r>
        <w:rPr>
          <w:rFonts w:hint="eastAsia"/>
          <w:color w:val="000000" w:themeColor="text1"/>
          <w:highlight w:val="none"/>
          <w:lang w:val="en-US" w:eastAsia="zh-CN"/>
        </w:rPr>
        <w:t>19</w:t>
      </w:r>
      <w:r>
        <w:rPr>
          <w:color w:val="000000" w:themeColor="text1"/>
          <w:highlight w:val="none"/>
        </w:rPr>
        <w:t>。</w:t>
      </w:r>
    </w:p>
    <w:p w14:paraId="419248D7">
      <w:pPr>
        <w:pageBreakBefore w:val="0"/>
        <w:wordWrap/>
        <w:topLinePunct w:val="0"/>
        <w:bidi w:val="0"/>
        <w:spacing w:line="360" w:lineRule="auto"/>
        <w:ind w:left="0" w:leftChars="0" w:firstLine="0" w:firstLineChars="0"/>
        <w:rPr>
          <w:color w:val="000000" w:themeColor="text1"/>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59AAA645">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19</w:t>
      </w:r>
      <w:r>
        <w:rPr>
          <w:b/>
          <w:color w:val="000000" w:themeColor="text1"/>
          <w:highlight w:val="none"/>
        </w:rPr>
        <w:t xml:space="preserve">  拆迁</w:t>
      </w:r>
      <w:r>
        <w:rPr>
          <w:rFonts w:hint="eastAsia"/>
          <w:b/>
          <w:color w:val="000000" w:themeColor="text1"/>
          <w:highlight w:val="none"/>
          <w:lang w:val="en-US" w:eastAsia="zh-CN"/>
        </w:rPr>
        <w:t>建筑物数量</w:t>
      </w:r>
      <w:r>
        <w:rPr>
          <w:b/>
          <w:color w:val="000000" w:themeColor="text1"/>
          <w:highlight w:val="none"/>
        </w:rPr>
        <w:t>表</w:t>
      </w:r>
    </w:p>
    <w:tbl>
      <w:tblPr>
        <w:tblStyle w:val="33"/>
        <w:tblW w:w="4989"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361"/>
        <w:gridCol w:w="1125"/>
        <w:gridCol w:w="960"/>
        <w:gridCol w:w="900"/>
        <w:gridCol w:w="1080"/>
        <w:gridCol w:w="705"/>
        <w:gridCol w:w="870"/>
        <w:gridCol w:w="885"/>
        <w:gridCol w:w="945"/>
        <w:gridCol w:w="735"/>
        <w:gridCol w:w="900"/>
        <w:gridCol w:w="720"/>
        <w:gridCol w:w="930"/>
        <w:gridCol w:w="855"/>
        <w:gridCol w:w="750"/>
        <w:gridCol w:w="780"/>
        <w:gridCol w:w="642"/>
      </w:tblGrid>
      <w:tr w14:paraId="002B91D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04" w:hRule="atLeast"/>
          <w:jc w:val="center"/>
        </w:trPr>
        <w:tc>
          <w:tcPr>
            <w:tcW w:w="361" w:type="dxa"/>
            <w:vMerge w:val="restart"/>
            <w:vAlign w:val="center"/>
          </w:tcPr>
          <w:p w14:paraId="6440F3D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r>
              <w:rPr>
                <w:rFonts w:hint="eastAsia" w:cs="宋体"/>
                <w:color w:val="000000" w:themeColor="text1"/>
                <w:kern w:val="0"/>
                <w:sz w:val="21"/>
                <w:szCs w:val="21"/>
                <w:highlight w:val="none"/>
              </w:rPr>
              <w:t>序      号</w:t>
            </w:r>
          </w:p>
        </w:tc>
        <w:tc>
          <w:tcPr>
            <w:tcW w:w="1125" w:type="dxa"/>
            <w:vMerge w:val="restart"/>
            <w:noWrap/>
            <w:vAlign w:val="center"/>
          </w:tcPr>
          <w:p w14:paraId="2916779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rPr>
              <w:t>桩号</w:t>
            </w:r>
            <w:r>
              <w:rPr>
                <w:rFonts w:hint="eastAsia" w:cs="宋体"/>
                <w:color w:val="000000" w:themeColor="text1"/>
                <w:kern w:val="0"/>
                <w:sz w:val="21"/>
                <w:szCs w:val="21"/>
                <w:highlight w:val="none"/>
                <w:lang w:val="en-US" w:eastAsia="zh-CN"/>
              </w:rPr>
              <w:t>及起讫桩号</w:t>
            </w:r>
          </w:p>
        </w:tc>
        <w:tc>
          <w:tcPr>
            <w:tcW w:w="1860" w:type="dxa"/>
            <w:gridSpan w:val="2"/>
            <w:vMerge w:val="restart"/>
            <w:vAlign w:val="center"/>
          </w:tcPr>
          <w:p w14:paraId="58E4198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距路中心距离（m）</w:t>
            </w:r>
          </w:p>
        </w:tc>
        <w:tc>
          <w:tcPr>
            <w:tcW w:w="1080" w:type="dxa"/>
            <w:vMerge w:val="restart"/>
            <w:vAlign w:val="center"/>
          </w:tcPr>
          <w:p w14:paraId="5059450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所属县乡</w:t>
            </w:r>
          </w:p>
        </w:tc>
        <w:tc>
          <w:tcPr>
            <w:tcW w:w="9075" w:type="dxa"/>
            <w:gridSpan w:val="11"/>
            <w:noWrap/>
            <w:vAlign w:val="center"/>
          </w:tcPr>
          <w:p w14:paraId="192FE1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r>
              <w:rPr>
                <w:rFonts w:hint="eastAsia" w:cs="宋体"/>
                <w:color w:val="000000" w:themeColor="text1"/>
                <w:kern w:val="0"/>
                <w:sz w:val="21"/>
                <w:szCs w:val="21"/>
                <w:highlight w:val="none"/>
                <w:lang w:val="en-US" w:eastAsia="zh-CN"/>
              </w:rPr>
              <w:t>建筑物种类</w:t>
            </w:r>
          </w:p>
        </w:tc>
        <w:tc>
          <w:tcPr>
            <w:tcW w:w="642" w:type="dxa"/>
            <w:vMerge w:val="restart"/>
            <w:noWrap/>
            <w:vAlign w:val="center"/>
          </w:tcPr>
          <w:p w14:paraId="045526C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备注</w:t>
            </w:r>
          </w:p>
        </w:tc>
      </w:tr>
      <w:tr w14:paraId="33856A9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51" w:hRule="atLeast"/>
          <w:jc w:val="center"/>
        </w:trPr>
        <w:tc>
          <w:tcPr>
            <w:tcW w:w="361" w:type="dxa"/>
            <w:vMerge w:val="continue"/>
            <w:vAlign w:val="center"/>
          </w:tcPr>
          <w:p w14:paraId="5B9BF81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1125" w:type="dxa"/>
            <w:vMerge w:val="continue"/>
            <w:vAlign w:val="center"/>
          </w:tcPr>
          <w:p w14:paraId="2387932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1860" w:type="dxa"/>
            <w:gridSpan w:val="2"/>
            <w:vMerge w:val="continue"/>
            <w:vAlign w:val="center"/>
          </w:tcPr>
          <w:p w14:paraId="159B87B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1080" w:type="dxa"/>
            <w:vMerge w:val="continue"/>
            <w:vAlign w:val="center"/>
          </w:tcPr>
          <w:p w14:paraId="3309E19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705" w:type="dxa"/>
            <w:noWrap/>
            <w:vAlign w:val="center"/>
          </w:tcPr>
          <w:p w14:paraId="75B9D9F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地坪</w:t>
            </w:r>
          </w:p>
        </w:tc>
        <w:tc>
          <w:tcPr>
            <w:tcW w:w="870" w:type="dxa"/>
            <w:noWrap/>
            <w:vAlign w:val="center"/>
          </w:tcPr>
          <w:p w14:paraId="045D59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砖瓦房</w:t>
            </w:r>
          </w:p>
        </w:tc>
        <w:tc>
          <w:tcPr>
            <w:tcW w:w="885" w:type="dxa"/>
            <w:noWrap/>
            <w:vAlign w:val="center"/>
          </w:tcPr>
          <w:p w14:paraId="7BEB8C7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简易房</w:t>
            </w:r>
          </w:p>
        </w:tc>
        <w:tc>
          <w:tcPr>
            <w:tcW w:w="945" w:type="dxa"/>
            <w:noWrap/>
            <w:vAlign w:val="center"/>
          </w:tcPr>
          <w:p w14:paraId="222B7DE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砖围墙</w:t>
            </w:r>
          </w:p>
        </w:tc>
        <w:tc>
          <w:tcPr>
            <w:tcW w:w="735" w:type="dxa"/>
            <w:noWrap/>
            <w:vAlign w:val="center"/>
          </w:tcPr>
          <w:p w14:paraId="5622212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坟地</w:t>
            </w:r>
          </w:p>
        </w:tc>
        <w:tc>
          <w:tcPr>
            <w:tcW w:w="900" w:type="dxa"/>
            <w:noWrap/>
            <w:vAlign w:val="center"/>
          </w:tcPr>
          <w:p w14:paraId="0EB984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铁栅栏</w:t>
            </w:r>
          </w:p>
        </w:tc>
        <w:tc>
          <w:tcPr>
            <w:tcW w:w="720" w:type="dxa"/>
            <w:noWrap/>
            <w:vAlign w:val="center"/>
          </w:tcPr>
          <w:p w14:paraId="4EBE8F9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商服</w:t>
            </w:r>
          </w:p>
        </w:tc>
        <w:tc>
          <w:tcPr>
            <w:tcW w:w="930" w:type="dxa"/>
            <w:noWrap/>
            <w:vAlign w:val="center"/>
          </w:tcPr>
          <w:p w14:paraId="0849254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螃蟹池</w:t>
            </w:r>
          </w:p>
        </w:tc>
        <w:tc>
          <w:tcPr>
            <w:tcW w:w="855" w:type="dxa"/>
            <w:vAlign w:val="center"/>
          </w:tcPr>
          <w:p w14:paraId="79677EE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彩钢房</w:t>
            </w:r>
          </w:p>
        </w:tc>
        <w:tc>
          <w:tcPr>
            <w:tcW w:w="750" w:type="dxa"/>
            <w:vAlign w:val="center"/>
          </w:tcPr>
          <w:p w14:paraId="2BFA5BC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水井</w:t>
            </w:r>
          </w:p>
        </w:tc>
        <w:tc>
          <w:tcPr>
            <w:tcW w:w="780" w:type="dxa"/>
            <w:vAlign w:val="center"/>
          </w:tcPr>
          <w:p w14:paraId="17FDE70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大棚</w:t>
            </w:r>
          </w:p>
        </w:tc>
        <w:tc>
          <w:tcPr>
            <w:tcW w:w="642" w:type="dxa"/>
            <w:vMerge w:val="continue"/>
            <w:vAlign w:val="center"/>
          </w:tcPr>
          <w:p w14:paraId="0CB1395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r>
      <w:tr w14:paraId="676F0C2B">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420" w:hRule="atLeast"/>
          <w:jc w:val="center"/>
        </w:trPr>
        <w:tc>
          <w:tcPr>
            <w:tcW w:w="361" w:type="dxa"/>
            <w:vMerge w:val="continue"/>
            <w:vAlign w:val="center"/>
          </w:tcPr>
          <w:p w14:paraId="7FD6FA3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1125" w:type="dxa"/>
            <w:vMerge w:val="continue"/>
            <w:vAlign w:val="center"/>
          </w:tcPr>
          <w:p w14:paraId="63137B4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960" w:type="dxa"/>
            <w:vAlign w:val="center"/>
          </w:tcPr>
          <w:p w14:paraId="2B4C75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左</w:t>
            </w:r>
          </w:p>
        </w:tc>
        <w:tc>
          <w:tcPr>
            <w:tcW w:w="900" w:type="dxa"/>
            <w:vAlign w:val="center"/>
          </w:tcPr>
          <w:p w14:paraId="53876AD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右</w:t>
            </w:r>
          </w:p>
        </w:tc>
        <w:tc>
          <w:tcPr>
            <w:tcW w:w="1080" w:type="dxa"/>
            <w:vMerge w:val="continue"/>
            <w:vAlign w:val="center"/>
          </w:tcPr>
          <w:p w14:paraId="2A959D9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705" w:type="dxa"/>
            <w:noWrap/>
            <w:vAlign w:val="center"/>
          </w:tcPr>
          <w:p w14:paraId="5CCC7CC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870" w:type="dxa"/>
            <w:noWrap/>
            <w:vAlign w:val="center"/>
          </w:tcPr>
          <w:p w14:paraId="04116EF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885" w:type="dxa"/>
            <w:noWrap/>
            <w:vAlign w:val="center"/>
          </w:tcPr>
          <w:p w14:paraId="5BC17AD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945" w:type="dxa"/>
            <w:noWrap/>
            <w:vAlign w:val="center"/>
          </w:tcPr>
          <w:p w14:paraId="5BB7B51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p>
        </w:tc>
        <w:tc>
          <w:tcPr>
            <w:tcW w:w="735" w:type="dxa"/>
            <w:noWrap/>
            <w:vAlign w:val="center"/>
          </w:tcPr>
          <w:p w14:paraId="5704BB1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座</w:t>
            </w:r>
          </w:p>
        </w:tc>
        <w:tc>
          <w:tcPr>
            <w:tcW w:w="900" w:type="dxa"/>
            <w:noWrap/>
            <w:vAlign w:val="center"/>
          </w:tcPr>
          <w:p w14:paraId="7A68EDA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p>
        </w:tc>
        <w:tc>
          <w:tcPr>
            <w:tcW w:w="720" w:type="dxa"/>
            <w:noWrap/>
            <w:vAlign w:val="center"/>
          </w:tcPr>
          <w:p w14:paraId="678FBA2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930" w:type="dxa"/>
            <w:noWrap/>
            <w:vAlign w:val="center"/>
          </w:tcPr>
          <w:p w14:paraId="66BA39C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855" w:type="dxa"/>
            <w:noWrap/>
            <w:vAlign w:val="center"/>
          </w:tcPr>
          <w:p w14:paraId="493F674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750" w:type="dxa"/>
            <w:noWrap/>
            <w:vAlign w:val="center"/>
          </w:tcPr>
          <w:p w14:paraId="14B1693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口</w:t>
            </w:r>
          </w:p>
        </w:tc>
        <w:tc>
          <w:tcPr>
            <w:tcW w:w="780" w:type="dxa"/>
            <w:noWrap/>
            <w:vAlign w:val="center"/>
          </w:tcPr>
          <w:p w14:paraId="3798FA4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p>
        </w:tc>
        <w:tc>
          <w:tcPr>
            <w:tcW w:w="642" w:type="dxa"/>
            <w:vMerge w:val="continue"/>
            <w:noWrap/>
            <w:vAlign w:val="center"/>
          </w:tcPr>
          <w:p w14:paraId="564B34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p>
        </w:tc>
      </w:tr>
      <w:tr w14:paraId="13920EB8">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61" w:type="dxa"/>
            <w:noWrap/>
            <w:vAlign w:val="center"/>
          </w:tcPr>
          <w:p w14:paraId="1F67185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r>
              <w:rPr>
                <w:rFonts w:hint="eastAsia" w:cs="宋体"/>
                <w:color w:val="000000" w:themeColor="text1"/>
                <w:kern w:val="0"/>
                <w:sz w:val="21"/>
                <w:szCs w:val="21"/>
                <w:highlight w:val="none"/>
              </w:rPr>
              <w:t>1</w:t>
            </w:r>
          </w:p>
        </w:tc>
        <w:tc>
          <w:tcPr>
            <w:tcW w:w="1125" w:type="dxa"/>
            <w:noWrap/>
            <w:vAlign w:val="center"/>
          </w:tcPr>
          <w:p w14:paraId="483E84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K1+400~K1+500</w:t>
            </w:r>
          </w:p>
        </w:tc>
        <w:tc>
          <w:tcPr>
            <w:tcW w:w="960" w:type="dxa"/>
            <w:noWrap/>
            <w:vAlign w:val="center"/>
          </w:tcPr>
          <w:p w14:paraId="77BB48E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13.16</w:t>
            </w:r>
          </w:p>
        </w:tc>
        <w:tc>
          <w:tcPr>
            <w:tcW w:w="900" w:type="dxa"/>
            <w:noWrap/>
            <w:vAlign w:val="center"/>
          </w:tcPr>
          <w:p w14:paraId="01BAB3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7.35</w:t>
            </w:r>
          </w:p>
        </w:tc>
        <w:tc>
          <w:tcPr>
            <w:tcW w:w="1080" w:type="dxa"/>
            <w:noWrap/>
            <w:vAlign w:val="center"/>
          </w:tcPr>
          <w:p w14:paraId="4C6A216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705" w:type="dxa"/>
            <w:noWrap/>
            <w:vAlign w:val="center"/>
          </w:tcPr>
          <w:p w14:paraId="0A1A2F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870" w:type="dxa"/>
            <w:noWrap/>
            <w:vAlign w:val="center"/>
          </w:tcPr>
          <w:p w14:paraId="349B3FE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885" w:type="dxa"/>
            <w:noWrap/>
            <w:vAlign w:val="center"/>
          </w:tcPr>
          <w:p w14:paraId="794F8E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945" w:type="dxa"/>
            <w:noWrap/>
            <w:vAlign w:val="center"/>
          </w:tcPr>
          <w:p w14:paraId="527CCDB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735" w:type="dxa"/>
            <w:noWrap/>
            <w:vAlign w:val="center"/>
          </w:tcPr>
          <w:p w14:paraId="4EC1941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w:t>
            </w:r>
          </w:p>
        </w:tc>
        <w:tc>
          <w:tcPr>
            <w:tcW w:w="900" w:type="dxa"/>
            <w:noWrap/>
            <w:vAlign w:val="center"/>
          </w:tcPr>
          <w:p w14:paraId="01BAA54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720" w:type="dxa"/>
            <w:noWrap/>
            <w:vAlign w:val="center"/>
          </w:tcPr>
          <w:p w14:paraId="23C4AD5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930" w:type="dxa"/>
            <w:noWrap/>
            <w:vAlign w:val="center"/>
          </w:tcPr>
          <w:p w14:paraId="0B5D32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1167</w:t>
            </w:r>
          </w:p>
        </w:tc>
        <w:tc>
          <w:tcPr>
            <w:tcW w:w="855" w:type="dxa"/>
            <w:noWrap/>
            <w:vAlign w:val="center"/>
          </w:tcPr>
          <w:p w14:paraId="72DF74A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750" w:type="dxa"/>
            <w:noWrap/>
            <w:vAlign w:val="center"/>
          </w:tcPr>
          <w:p w14:paraId="474E908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780" w:type="dxa"/>
            <w:noWrap/>
            <w:vAlign w:val="center"/>
          </w:tcPr>
          <w:p w14:paraId="11788E0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642" w:type="dxa"/>
            <w:noWrap/>
            <w:vAlign w:val="center"/>
          </w:tcPr>
          <w:p w14:paraId="3BB149D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470ED85E">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4426" w:type="dxa"/>
            <w:gridSpan w:val="5"/>
            <w:noWrap/>
            <w:vAlign w:val="center"/>
          </w:tcPr>
          <w:p w14:paraId="5A0B8A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合计</w:t>
            </w:r>
          </w:p>
        </w:tc>
        <w:tc>
          <w:tcPr>
            <w:tcW w:w="705" w:type="dxa"/>
            <w:noWrap/>
            <w:vAlign w:val="center"/>
          </w:tcPr>
          <w:p w14:paraId="5D6C6DE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870" w:type="dxa"/>
            <w:noWrap/>
            <w:vAlign w:val="center"/>
          </w:tcPr>
          <w:p w14:paraId="22CF167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885" w:type="dxa"/>
            <w:noWrap/>
            <w:vAlign w:val="center"/>
          </w:tcPr>
          <w:p w14:paraId="0E95A97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945" w:type="dxa"/>
            <w:noWrap/>
            <w:vAlign w:val="center"/>
          </w:tcPr>
          <w:p w14:paraId="33935FB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p>
        </w:tc>
        <w:tc>
          <w:tcPr>
            <w:tcW w:w="735" w:type="dxa"/>
            <w:noWrap/>
            <w:vAlign w:val="center"/>
          </w:tcPr>
          <w:p w14:paraId="6DBC81B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bidi="ar-SA"/>
              </w:rPr>
              <w:t>2</w:t>
            </w:r>
          </w:p>
        </w:tc>
        <w:tc>
          <w:tcPr>
            <w:tcW w:w="900" w:type="dxa"/>
            <w:noWrap/>
            <w:vAlign w:val="center"/>
          </w:tcPr>
          <w:p w14:paraId="047F961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720" w:type="dxa"/>
            <w:noWrap/>
            <w:vAlign w:val="center"/>
          </w:tcPr>
          <w:p w14:paraId="5AAD35B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930" w:type="dxa"/>
            <w:noWrap/>
            <w:vAlign w:val="center"/>
          </w:tcPr>
          <w:p w14:paraId="3F4B603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bidi="ar-SA"/>
              </w:rPr>
              <w:t>1167</w:t>
            </w:r>
          </w:p>
        </w:tc>
        <w:tc>
          <w:tcPr>
            <w:tcW w:w="855" w:type="dxa"/>
            <w:noWrap/>
            <w:vAlign w:val="center"/>
          </w:tcPr>
          <w:p w14:paraId="3423F3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750" w:type="dxa"/>
            <w:noWrap/>
            <w:vAlign w:val="center"/>
          </w:tcPr>
          <w:p w14:paraId="71C2850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780" w:type="dxa"/>
            <w:noWrap/>
            <w:vAlign w:val="center"/>
          </w:tcPr>
          <w:p w14:paraId="7F07907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c>
          <w:tcPr>
            <w:tcW w:w="642" w:type="dxa"/>
            <w:noWrap/>
            <w:vAlign w:val="center"/>
          </w:tcPr>
          <w:p w14:paraId="0C3934C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p>
        </w:tc>
      </w:tr>
    </w:tbl>
    <w:p w14:paraId="11A00947">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表3.1-</w:t>
      </w:r>
      <w:r>
        <w:rPr>
          <w:rFonts w:hint="eastAsia"/>
          <w:b/>
          <w:color w:val="000000" w:themeColor="text1"/>
          <w:highlight w:val="none"/>
          <w:lang w:val="en-US" w:eastAsia="zh-CN"/>
        </w:rPr>
        <w:t>20</w:t>
      </w:r>
      <w:r>
        <w:rPr>
          <w:b/>
          <w:color w:val="000000" w:themeColor="text1"/>
          <w:highlight w:val="none"/>
        </w:rPr>
        <w:t xml:space="preserve">  </w:t>
      </w:r>
      <w:bookmarkStart w:id="259" w:name="_Hlk69302655"/>
      <w:r>
        <w:rPr>
          <w:b/>
          <w:color w:val="000000" w:themeColor="text1"/>
          <w:highlight w:val="none"/>
        </w:rPr>
        <w:t>拆迁电力</w:t>
      </w:r>
      <w:r>
        <w:rPr>
          <w:rFonts w:hint="eastAsia"/>
          <w:b/>
          <w:color w:val="000000" w:themeColor="text1"/>
          <w:highlight w:val="none"/>
          <w:lang w:eastAsia="zh-CN"/>
        </w:rPr>
        <w:t>、</w:t>
      </w:r>
      <w:r>
        <w:rPr>
          <w:b/>
          <w:color w:val="000000" w:themeColor="text1"/>
          <w:highlight w:val="none"/>
        </w:rPr>
        <w:t>电讯</w:t>
      </w:r>
      <w:r>
        <w:rPr>
          <w:rFonts w:hint="eastAsia"/>
          <w:b/>
          <w:color w:val="000000" w:themeColor="text1"/>
          <w:highlight w:val="none"/>
          <w:lang w:val="en-US" w:eastAsia="zh-CN"/>
        </w:rPr>
        <w:t>及其它管线设施</w:t>
      </w:r>
      <w:r>
        <w:rPr>
          <w:b/>
          <w:color w:val="000000" w:themeColor="text1"/>
          <w:highlight w:val="none"/>
        </w:rPr>
        <w:t>表</w:t>
      </w:r>
    </w:p>
    <w:bookmarkEnd w:id="259"/>
    <w:tbl>
      <w:tblPr>
        <w:tblStyle w:val="33"/>
        <w:tblW w:w="4996"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425"/>
        <w:gridCol w:w="967"/>
        <w:gridCol w:w="765"/>
        <w:gridCol w:w="1065"/>
        <w:gridCol w:w="1080"/>
        <w:gridCol w:w="870"/>
        <w:gridCol w:w="660"/>
        <w:gridCol w:w="675"/>
        <w:gridCol w:w="645"/>
        <w:gridCol w:w="675"/>
        <w:gridCol w:w="690"/>
        <w:gridCol w:w="705"/>
        <w:gridCol w:w="660"/>
        <w:gridCol w:w="660"/>
        <w:gridCol w:w="735"/>
        <w:gridCol w:w="870"/>
        <w:gridCol w:w="810"/>
        <w:gridCol w:w="1206"/>
      </w:tblGrid>
      <w:tr w14:paraId="47EDECA4">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04" w:hRule="atLeast"/>
          <w:jc w:val="center"/>
        </w:trPr>
        <w:tc>
          <w:tcPr>
            <w:tcW w:w="150" w:type="pct"/>
            <w:vMerge w:val="restart"/>
            <w:vAlign w:val="center"/>
          </w:tcPr>
          <w:p w14:paraId="35A0EDA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序号</w:t>
            </w:r>
          </w:p>
        </w:tc>
        <w:tc>
          <w:tcPr>
            <w:tcW w:w="341" w:type="pct"/>
            <w:vMerge w:val="restart"/>
            <w:noWrap/>
            <w:vAlign w:val="center"/>
          </w:tcPr>
          <w:p w14:paraId="1818570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r>
              <w:rPr>
                <w:rFonts w:hint="eastAsia" w:cs="宋体"/>
                <w:color w:val="000000" w:themeColor="text1"/>
                <w:kern w:val="0"/>
                <w:sz w:val="21"/>
                <w:szCs w:val="21"/>
                <w:highlight w:val="none"/>
                <w:lang w:val="en-US" w:eastAsia="zh-CN"/>
              </w:rPr>
              <w:t>起讫桩号</w:t>
            </w:r>
          </w:p>
        </w:tc>
        <w:tc>
          <w:tcPr>
            <w:tcW w:w="270" w:type="pct"/>
            <w:vMerge w:val="restart"/>
            <w:vAlign w:val="center"/>
          </w:tcPr>
          <w:p w14:paraId="72929F9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交叉角度（°）</w:t>
            </w:r>
          </w:p>
        </w:tc>
        <w:tc>
          <w:tcPr>
            <w:tcW w:w="375" w:type="pct"/>
            <w:vMerge w:val="restart"/>
            <w:vAlign w:val="center"/>
          </w:tcPr>
          <w:p w14:paraId="2E69BB6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所属单位</w:t>
            </w:r>
          </w:p>
        </w:tc>
        <w:tc>
          <w:tcPr>
            <w:tcW w:w="381" w:type="pct"/>
            <w:vMerge w:val="restart"/>
            <w:vAlign w:val="center"/>
          </w:tcPr>
          <w:p w14:paraId="775E679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用途</w:t>
            </w:r>
          </w:p>
        </w:tc>
        <w:tc>
          <w:tcPr>
            <w:tcW w:w="778" w:type="pct"/>
            <w:gridSpan w:val="3"/>
            <w:noWrap/>
            <w:vAlign w:val="center"/>
          </w:tcPr>
          <w:p w14:paraId="0E0D1C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电杆</w:t>
            </w:r>
          </w:p>
        </w:tc>
        <w:tc>
          <w:tcPr>
            <w:tcW w:w="709" w:type="pct"/>
            <w:gridSpan w:val="3"/>
            <w:noWrap/>
            <w:vAlign w:val="center"/>
          </w:tcPr>
          <w:p w14:paraId="235F06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电线架（塔）</w:t>
            </w:r>
          </w:p>
        </w:tc>
        <w:tc>
          <w:tcPr>
            <w:tcW w:w="714" w:type="pct"/>
            <w:gridSpan w:val="3"/>
            <w:noWrap/>
            <w:vAlign w:val="center"/>
          </w:tcPr>
          <w:p w14:paraId="73CDBD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电信</w:t>
            </w:r>
          </w:p>
        </w:tc>
        <w:tc>
          <w:tcPr>
            <w:tcW w:w="259" w:type="pct"/>
            <w:vMerge w:val="restart"/>
            <w:noWrap/>
            <w:vAlign w:val="center"/>
          </w:tcPr>
          <w:p w14:paraId="6765A96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电线（m）</w:t>
            </w:r>
          </w:p>
        </w:tc>
        <w:tc>
          <w:tcPr>
            <w:tcW w:w="307" w:type="pct"/>
            <w:vMerge w:val="restart"/>
            <w:vAlign w:val="center"/>
          </w:tcPr>
          <w:p w14:paraId="61EF1F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光缆（m）</w:t>
            </w:r>
          </w:p>
        </w:tc>
        <w:tc>
          <w:tcPr>
            <w:tcW w:w="285" w:type="pct"/>
            <w:vMerge w:val="restart"/>
            <w:noWrap/>
            <w:vAlign w:val="center"/>
          </w:tcPr>
          <w:p w14:paraId="7C1156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铁塔（座）</w:t>
            </w:r>
          </w:p>
        </w:tc>
        <w:tc>
          <w:tcPr>
            <w:tcW w:w="425" w:type="pct"/>
            <w:vMerge w:val="restart"/>
            <w:noWrap/>
            <w:vAlign w:val="center"/>
          </w:tcPr>
          <w:p w14:paraId="6CEB40C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备注</w:t>
            </w:r>
          </w:p>
        </w:tc>
      </w:tr>
      <w:tr w14:paraId="14759385">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51" w:hRule="atLeast"/>
          <w:jc w:val="center"/>
        </w:trPr>
        <w:tc>
          <w:tcPr>
            <w:tcW w:w="150" w:type="pct"/>
            <w:vMerge w:val="continue"/>
            <w:vAlign w:val="center"/>
          </w:tcPr>
          <w:p w14:paraId="35742C85">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341" w:type="pct"/>
            <w:vMerge w:val="continue"/>
            <w:vAlign w:val="center"/>
          </w:tcPr>
          <w:p w14:paraId="3F791AA1">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270" w:type="pct"/>
            <w:vMerge w:val="continue"/>
            <w:vAlign w:val="center"/>
          </w:tcPr>
          <w:p w14:paraId="699991EE">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375" w:type="pct"/>
            <w:vMerge w:val="continue"/>
            <w:vAlign w:val="center"/>
          </w:tcPr>
          <w:p w14:paraId="448D3684">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381" w:type="pct"/>
            <w:vMerge w:val="continue"/>
            <w:vAlign w:val="center"/>
          </w:tcPr>
          <w:p w14:paraId="2D2990CF">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307" w:type="pct"/>
            <w:noWrap/>
            <w:vAlign w:val="center"/>
          </w:tcPr>
          <w:p w14:paraId="24965DB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种类</w:t>
            </w:r>
          </w:p>
        </w:tc>
        <w:tc>
          <w:tcPr>
            <w:tcW w:w="233" w:type="pct"/>
            <w:noWrap/>
            <w:vAlign w:val="center"/>
          </w:tcPr>
          <w:p w14:paraId="02F29C0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编号</w:t>
            </w:r>
          </w:p>
        </w:tc>
        <w:tc>
          <w:tcPr>
            <w:tcW w:w="238" w:type="pct"/>
            <w:noWrap/>
            <w:vAlign w:val="center"/>
          </w:tcPr>
          <w:p w14:paraId="6C4C842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根数</w:t>
            </w:r>
          </w:p>
        </w:tc>
        <w:tc>
          <w:tcPr>
            <w:tcW w:w="227" w:type="pct"/>
            <w:shd w:val="clear" w:color="auto" w:fill="auto"/>
            <w:noWrap/>
            <w:vAlign w:val="center"/>
          </w:tcPr>
          <w:p w14:paraId="2247C64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种类</w:t>
            </w:r>
          </w:p>
        </w:tc>
        <w:tc>
          <w:tcPr>
            <w:tcW w:w="238" w:type="pct"/>
            <w:shd w:val="clear" w:color="auto" w:fill="auto"/>
            <w:noWrap/>
            <w:vAlign w:val="center"/>
          </w:tcPr>
          <w:p w14:paraId="149AC3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编号</w:t>
            </w:r>
          </w:p>
        </w:tc>
        <w:tc>
          <w:tcPr>
            <w:tcW w:w="243" w:type="pct"/>
            <w:shd w:val="clear" w:color="auto" w:fill="auto"/>
            <w:noWrap/>
            <w:vAlign w:val="center"/>
          </w:tcPr>
          <w:p w14:paraId="16764E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根数</w:t>
            </w:r>
          </w:p>
        </w:tc>
        <w:tc>
          <w:tcPr>
            <w:tcW w:w="248" w:type="pct"/>
            <w:shd w:val="clear" w:color="auto" w:fill="auto"/>
            <w:noWrap/>
            <w:vAlign w:val="center"/>
          </w:tcPr>
          <w:p w14:paraId="6306D8C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种类</w:t>
            </w:r>
          </w:p>
        </w:tc>
        <w:tc>
          <w:tcPr>
            <w:tcW w:w="233" w:type="pct"/>
            <w:shd w:val="clear" w:color="auto" w:fill="auto"/>
            <w:noWrap/>
            <w:vAlign w:val="center"/>
          </w:tcPr>
          <w:p w14:paraId="2DCA200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编号</w:t>
            </w:r>
          </w:p>
        </w:tc>
        <w:tc>
          <w:tcPr>
            <w:tcW w:w="233" w:type="pct"/>
            <w:shd w:val="clear" w:color="auto" w:fill="auto"/>
            <w:vAlign w:val="center"/>
          </w:tcPr>
          <w:p w14:paraId="2889FA8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根数</w:t>
            </w:r>
          </w:p>
        </w:tc>
        <w:tc>
          <w:tcPr>
            <w:tcW w:w="259" w:type="pct"/>
            <w:vMerge w:val="continue"/>
            <w:vAlign w:val="center"/>
          </w:tcPr>
          <w:p w14:paraId="71C597B7">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307" w:type="pct"/>
            <w:vMerge w:val="continue"/>
            <w:vAlign w:val="center"/>
          </w:tcPr>
          <w:p w14:paraId="5DF76E6D">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285" w:type="pct"/>
            <w:vMerge w:val="continue"/>
            <w:vAlign w:val="center"/>
          </w:tcPr>
          <w:p w14:paraId="7F1AC2E0">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c>
          <w:tcPr>
            <w:tcW w:w="425" w:type="pct"/>
            <w:vMerge w:val="continue"/>
            <w:vAlign w:val="center"/>
          </w:tcPr>
          <w:p w14:paraId="1E797D2A">
            <w:pPr>
              <w:keepNext w:val="0"/>
              <w:keepLines w:val="0"/>
              <w:pageBreakBefore w:val="0"/>
              <w:widowControl/>
              <w:kinsoku/>
              <w:wordWrap/>
              <w:overflowPunct/>
              <w:topLinePunct w:val="0"/>
              <w:autoSpaceDE/>
              <w:autoSpaceDN/>
              <w:bidi w:val="0"/>
              <w:adjustRightInd/>
              <w:snapToGrid w:val="0"/>
              <w:spacing w:line="240" w:lineRule="auto"/>
              <w:ind w:firstLine="0" w:firstLineChars="0"/>
              <w:jc w:val="left"/>
              <w:textAlignment w:val="auto"/>
              <w:rPr>
                <w:rFonts w:cs="宋体"/>
                <w:color w:val="000000" w:themeColor="text1"/>
                <w:kern w:val="0"/>
                <w:sz w:val="21"/>
                <w:szCs w:val="21"/>
                <w:highlight w:val="none"/>
              </w:rPr>
            </w:pPr>
          </w:p>
        </w:tc>
      </w:tr>
      <w:tr w14:paraId="049D37F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3B3611E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w:t>
            </w:r>
          </w:p>
        </w:tc>
        <w:tc>
          <w:tcPr>
            <w:tcW w:w="341" w:type="pct"/>
            <w:noWrap/>
            <w:vAlign w:val="center"/>
          </w:tcPr>
          <w:p w14:paraId="4C8D7ED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K0+030</w:t>
            </w:r>
          </w:p>
        </w:tc>
        <w:tc>
          <w:tcPr>
            <w:tcW w:w="270" w:type="pct"/>
            <w:noWrap/>
            <w:vAlign w:val="center"/>
          </w:tcPr>
          <w:p w14:paraId="76F2F67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91</w:t>
            </w:r>
          </w:p>
        </w:tc>
        <w:tc>
          <w:tcPr>
            <w:tcW w:w="375" w:type="pct"/>
            <w:noWrap/>
            <w:vAlign w:val="center"/>
          </w:tcPr>
          <w:p w14:paraId="7142DA0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中国联通</w:t>
            </w:r>
          </w:p>
        </w:tc>
        <w:tc>
          <w:tcPr>
            <w:tcW w:w="381" w:type="pct"/>
            <w:noWrap/>
            <w:vAlign w:val="center"/>
          </w:tcPr>
          <w:p w14:paraId="65048F9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通信</w:t>
            </w:r>
          </w:p>
        </w:tc>
        <w:tc>
          <w:tcPr>
            <w:tcW w:w="307" w:type="pct"/>
            <w:noWrap/>
            <w:vAlign w:val="center"/>
          </w:tcPr>
          <w:p w14:paraId="454C089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1761D79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7D5C23F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27" w:type="pct"/>
            <w:noWrap/>
            <w:vAlign w:val="center"/>
          </w:tcPr>
          <w:p w14:paraId="73C52FF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4A28EF1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20DFA4E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6D4A9C6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木杆</w:t>
            </w:r>
          </w:p>
        </w:tc>
        <w:tc>
          <w:tcPr>
            <w:tcW w:w="233" w:type="pct"/>
            <w:noWrap/>
            <w:vAlign w:val="center"/>
          </w:tcPr>
          <w:p w14:paraId="628DCC8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5B8E00C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w:t>
            </w:r>
          </w:p>
        </w:tc>
        <w:tc>
          <w:tcPr>
            <w:tcW w:w="259" w:type="pct"/>
            <w:noWrap/>
            <w:vAlign w:val="center"/>
          </w:tcPr>
          <w:p w14:paraId="564768E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307" w:type="pct"/>
            <w:noWrap/>
            <w:vAlign w:val="center"/>
          </w:tcPr>
          <w:p w14:paraId="0A8C94F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024E6C6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noWrap/>
            <w:vAlign w:val="center"/>
          </w:tcPr>
          <w:p w14:paraId="53A7271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迁移、架高</w:t>
            </w:r>
          </w:p>
        </w:tc>
      </w:tr>
      <w:tr w14:paraId="6B234B4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483EBAC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w:t>
            </w:r>
          </w:p>
        </w:tc>
        <w:tc>
          <w:tcPr>
            <w:tcW w:w="341" w:type="pct"/>
            <w:noWrap/>
            <w:vAlign w:val="center"/>
          </w:tcPr>
          <w:p w14:paraId="244683B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K0+032</w:t>
            </w:r>
          </w:p>
        </w:tc>
        <w:tc>
          <w:tcPr>
            <w:tcW w:w="270" w:type="pct"/>
            <w:noWrap/>
            <w:vAlign w:val="center"/>
          </w:tcPr>
          <w:p w14:paraId="4BAC04B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91</w:t>
            </w:r>
          </w:p>
        </w:tc>
        <w:tc>
          <w:tcPr>
            <w:tcW w:w="375" w:type="pct"/>
            <w:noWrap/>
            <w:vAlign w:val="center"/>
          </w:tcPr>
          <w:p w14:paraId="72D85CC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广电</w:t>
            </w:r>
          </w:p>
        </w:tc>
        <w:tc>
          <w:tcPr>
            <w:tcW w:w="381" w:type="pct"/>
            <w:noWrap/>
            <w:vAlign w:val="center"/>
          </w:tcPr>
          <w:p w14:paraId="78F30D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有线电视</w:t>
            </w:r>
          </w:p>
        </w:tc>
        <w:tc>
          <w:tcPr>
            <w:tcW w:w="307" w:type="pct"/>
            <w:noWrap/>
            <w:vAlign w:val="center"/>
          </w:tcPr>
          <w:p w14:paraId="112D82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6851ECA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70DBF9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27" w:type="pct"/>
            <w:noWrap/>
            <w:vAlign w:val="center"/>
          </w:tcPr>
          <w:p w14:paraId="72DDDDF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6B76C68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4C090BE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7466E10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木杆</w:t>
            </w:r>
          </w:p>
        </w:tc>
        <w:tc>
          <w:tcPr>
            <w:tcW w:w="233" w:type="pct"/>
            <w:noWrap/>
            <w:vAlign w:val="center"/>
          </w:tcPr>
          <w:p w14:paraId="6F36685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60EDAD2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w:t>
            </w:r>
          </w:p>
        </w:tc>
        <w:tc>
          <w:tcPr>
            <w:tcW w:w="259" w:type="pct"/>
            <w:noWrap/>
            <w:vAlign w:val="center"/>
          </w:tcPr>
          <w:p w14:paraId="26F6ADB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307" w:type="pct"/>
            <w:noWrap/>
            <w:vAlign w:val="center"/>
          </w:tcPr>
          <w:p w14:paraId="11D3568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6F0D325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noWrap/>
            <w:vAlign w:val="center"/>
          </w:tcPr>
          <w:p w14:paraId="20054F4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迁移、架高</w:t>
            </w:r>
          </w:p>
        </w:tc>
      </w:tr>
      <w:tr w14:paraId="64D7656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40D8FC5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w:t>
            </w:r>
          </w:p>
        </w:tc>
        <w:tc>
          <w:tcPr>
            <w:tcW w:w="341" w:type="pct"/>
            <w:noWrap/>
            <w:vAlign w:val="center"/>
          </w:tcPr>
          <w:p w14:paraId="619A1A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K0+040</w:t>
            </w:r>
          </w:p>
        </w:tc>
        <w:tc>
          <w:tcPr>
            <w:tcW w:w="270" w:type="pct"/>
            <w:noWrap/>
            <w:vAlign w:val="center"/>
          </w:tcPr>
          <w:p w14:paraId="36C4164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90</w:t>
            </w:r>
          </w:p>
        </w:tc>
        <w:tc>
          <w:tcPr>
            <w:tcW w:w="375" w:type="pct"/>
            <w:noWrap/>
            <w:vAlign w:val="center"/>
          </w:tcPr>
          <w:p w14:paraId="7B7F85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国防电缆</w:t>
            </w:r>
          </w:p>
        </w:tc>
        <w:tc>
          <w:tcPr>
            <w:tcW w:w="381" w:type="pct"/>
            <w:noWrap/>
            <w:vAlign w:val="center"/>
          </w:tcPr>
          <w:p w14:paraId="733E0ED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通信</w:t>
            </w:r>
          </w:p>
        </w:tc>
        <w:tc>
          <w:tcPr>
            <w:tcW w:w="307" w:type="pct"/>
            <w:noWrap/>
            <w:vAlign w:val="center"/>
          </w:tcPr>
          <w:p w14:paraId="1B5164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3AF473B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1662E91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27" w:type="pct"/>
            <w:noWrap/>
            <w:vAlign w:val="center"/>
          </w:tcPr>
          <w:p w14:paraId="450FF41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2F4293C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33D727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61DF6C5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木杆</w:t>
            </w:r>
          </w:p>
        </w:tc>
        <w:tc>
          <w:tcPr>
            <w:tcW w:w="233" w:type="pct"/>
            <w:noWrap/>
            <w:vAlign w:val="center"/>
          </w:tcPr>
          <w:p w14:paraId="53F4E4B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4721DDA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w:t>
            </w:r>
          </w:p>
        </w:tc>
        <w:tc>
          <w:tcPr>
            <w:tcW w:w="259" w:type="pct"/>
            <w:noWrap/>
            <w:vAlign w:val="center"/>
          </w:tcPr>
          <w:p w14:paraId="2910BF8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307" w:type="pct"/>
            <w:noWrap/>
            <w:vAlign w:val="center"/>
          </w:tcPr>
          <w:p w14:paraId="296557D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4AE0C7B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noWrap/>
            <w:vAlign w:val="center"/>
          </w:tcPr>
          <w:p w14:paraId="58BC1B2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迁移、架高</w:t>
            </w:r>
          </w:p>
        </w:tc>
      </w:tr>
      <w:tr w14:paraId="1E3FF78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3F3686A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w:t>
            </w:r>
          </w:p>
        </w:tc>
        <w:tc>
          <w:tcPr>
            <w:tcW w:w="341" w:type="pct"/>
            <w:noWrap/>
            <w:vAlign w:val="center"/>
          </w:tcPr>
          <w:p w14:paraId="15483E1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K0+048</w:t>
            </w:r>
          </w:p>
        </w:tc>
        <w:tc>
          <w:tcPr>
            <w:tcW w:w="270" w:type="pct"/>
            <w:noWrap/>
            <w:vAlign w:val="center"/>
          </w:tcPr>
          <w:p w14:paraId="08D9C9A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90</w:t>
            </w:r>
          </w:p>
        </w:tc>
        <w:tc>
          <w:tcPr>
            <w:tcW w:w="375" w:type="pct"/>
            <w:noWrap/>
            <w:vAlign w:val="center"/>
          </w:tcPr>
          <w:p w14:paraId="10F0F72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国家电网</w:t>
            </w:r>
          </w:p>
        </w:tc>
        <w:tc>
          <w:tcPr>
            <w:tcW w:w="381" w:type="pct"/>
            <w:noWrap/>
            <w:vAlign w:val="center"/>
          </w:tcPr>
          <w:p w14:paraId="7527550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供电</w:t>
            </w:r>
          </w:p>
        </w:tc>
        <w:tc>
          <w:tcPr>
            <w:tcW w:w="307" w:type="pct"/>
            <w:noWrap/>
            <w:vAlign w:val="center"/>
          </w:tcPr>
          <w:p w14:paraId="53A0177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砼单杆</w:t>
            </w:r>
          </w:p>
        </w:tc>
        <w:tc>
          <w:tcPr>
            <w:tcW w:w="233" w:type="pct"/>
            <w:noWrap/>
            <w:vAlign w:val="center"/>
          </w:tcPr>
          <w:p w14:paraId="2695B2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4732DD6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w:t>
            </w:r>
          </w:p>
        </w:tc>
        <w:tc>
          <w:tcPr>
            <w:tcW w:w="227" w:type="pct"/>
            <w:noWrap/>
            <w:vAlign w:val="center"/>
          </w:tcPr>
          <w:p w14:paraId="53E2038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7E4B576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6A4BE5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2601C29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262871E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16F0070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9" w:type="pct"/>
            <w:noWrap/>
            <w:vAlign w:val="center"/>
          </w:tcPr>
          <w:p w14:paraId="0BFE4D5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307" w:type="pct"/>
            <w:noWrap/>
            <w:vAlign w:val="center"/>
          </w:tcPr>
          <w:p w14:paraId="72A584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6EBC46A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noWrap/>
            <w:vAlign w:val="center"/>
          </w:tcPr>
          <w:p w14:paraId="57D01D6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迁移</w:t>
            </w:r>
          </w:p>
        </w:tc>
      </w:tr>
      <w:tr w14:paraId="66C9F4D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4171689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5</w:t>
            </w:r>
          </w:p>
        </w:tc>
        <w:tc>
          <w:tcPr>
            <w:tcW w:w="341" w:type="pct"/>
            <w:noWrap/>
            <w:vAlign w:val="center"/>
          </w:tcPr>
          <w:p w14:paraId="030590D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K0+073</w:t>
            </w:r>
          </w:p>
        </w:tc>
        <w:tc>
          <w:tcPr>
            <w:tcW w:w="270" w:type="pct"/>
            <w:noWrap/>
            <w:vAlign w:val="center"/>
          </w:tcPr>
          <w:p w14:paraId="3753393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70</w:t>
            </w:r>
          </w:p>
        </w:tc>
        <w:tc>
          <w:tcPr>
            <w:tcW w:w="375" w:type="pct"/>
            <w:shd w:val="clear" w:color="auto" w:fill="auto"/>
            <w:noWrap/>
            <w:vAlign w:val="center"/>
          </w:tcPr>
          <w:p w14:paraId="4F15248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国防电缆</w:t>
            </w:r>
          </w:p>
        </w:tc>
        <w:tc>
          <w:tcPr>
            <w:tcW w:w="381" w:type="pct"/>
            <w:noWrap/>
            <w:vAlign w:val="center"/>
          </w:tcPr>
          <w:p w14:paraId="7A5880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通信</w:t>
            </w:r>
          </w:p>
        </w:tc>
        <w:tc>
          <w:tcPr>
            <w:tcW w:w="307" w:type="pct"/>
            <w:noWrap/>
            <w:vAlign w:val="center"/>
          </w:tcPr>
          <w:p w14:paraId="6103133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788B31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57B93C0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27" w:type="pct"/>
            <w:noWrap/>
            <w:vAlign w:val="center"/>
          </w:tcPr>
          <w:p w14:paraId="365233A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51988A5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04E1D2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1E4B3F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4E9ABA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7C39305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9" w:type="pct"/>
            <w:noWrap/>
            <w:vAlign w:val="center"/>
          </w:tcPr>
          <w:p w14:paraId="3792AAB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307" w:type="pct"/>
            <w:noWrap/>
            <w:vAlign w:val="center"/>
          </w:tcPr>
          <w:p w14:paraId="511885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w:t>
            </w:r>
          </w:p>
        </w:tc>
        <w:tc>
          <w:tcPr>
            <w:tcW w:w="285" w:type="pct"/>
            <w:noWrap/>
            <w:vAlign w:val="center"/>
          </w:tcPr>
          <w:p w14:paraId="61E91F8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noWrap/>
            <w:vAlign w:val="center"/>
          </w:tcPr>
          <w:p w14:paraId="766905E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地下过道</w:t>
            </w:r>
          </w:p>
        </w:tc>
      </w:tr>
      <w:tr w14:paraId="67FD118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0BAC652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w:t>
            </w:r>
          </w:p>
        </w:tc>
        <w:tc>
          <w:tcPr>
            <w:tcW w:w="341" w:type="pct"/>
            <w:noWrap/>
            <w:vAlign w:val="center"/>
          </w:tcPr>
          <w:p w14:paraId="179E052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K0+350</w:t>
            </w:r>
          </w:p>
        </w:tc>
        <w:tc>
          <w:tcPr>
            <w:tcW w:w="270" w:type="pct"/>
            <w:noWrap/>
            <w:vAlign w:val="center"/>
          </w:tcPr>
          <w:p w14:paraId="4877806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p>
        </w:tc>
        <w:tc>
          <w:tcPr>
            <w:tcW w:w="375" w:type="pct"/>
            <w:shd w:val="clear" w:color="auto" w:fill="auto"/>
            <w:noWrap/>
            <w:vAlign w:val="center"/>
          </w:tcPr>
          <w:p w14:paraId="4E72213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国家电网</w:t>
            </w:r>
          </w:p>
        </w:tc>
        <w:tc>
          <w:tcPr>
            <w:tcW w:w="381" w:type="pct"/>
            <w:noWrap/>
            <w:vAlign w:val="center"/>
          </w:tcPr>
          <w:p w14:paraId="7526508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供电</w:t>
            </w:r>
          </w:p>
        </w:tc>
        <w:tc>
          <w:tcPr>
            <w:tcW w:w="307" w:type="pct"/>
            <w:noWrap/>
            <w:vAlign w:val="center"/>
          </w:tcPr>
          <w:p w14:paraId="0B1FF9C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砼单杆</w:t>
            </w:r>
          </w:p>
        </w:tc>
        <w:tc>
          <w:tcPr>
            <w:tcW w:w="233" w:type="pct"/>
            <w:noWrap/>
            <w:vAlign w:val="center"/>
          </w:tcPr>
          <w:p w14:paraId="694329B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406A05A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w:t>
            </w:r>
          </w:p>
        </w:tc>
        <w:tc>
          <w:tcPr>
            <w:tcW w:w="227" w:type="pct"/>
            <w:noWrap/>
            <w:vAlign w:val="center"/>
          </w:tcPr>
          <w:p w14:paraId="151A95C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1CF2138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772CBC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6C71FBE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61AC67E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660A165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9" w:type="pct"/>
            <w:noWrap/>
            <w:vAlign w:val="center"/>
          </w:tcPr>
          <w:p w14:paraId="4F166E9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307" w:type="pct"/>
            <w:noWrap/>
            <w:vAlign w:val="center"/>
          </w:tcPr>
          <w:p w14:paraId="663857A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4863983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shd w:val="clear" w:color="auto" w:fill="auto"/>
            <w:noWrap/>
            <w:vAlign w:val="center"/>
          </w:tcPr>
          <w:p w14:paraId="3989F42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迁移</w:t>
            </w:r>
          </w:p>
        </w:tc>
      </w:tr>
      <w:tr w14:paraId="235B0167">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640F0FC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7</w:t>
            </w:r>
          </w:p>
        </w:tc>
        <w:tc>
          <w:tcPr>
            <w:tcW w:w="341" w:type="pct"/>
            <w:noWrap/>
            <w:vAlign w:val="center"/>
          </w:tcPr>
          <w:p w14:paraId="7D8FF88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K0+502</w:t>
            </w:r>
          </w:p>
        </w:tc>
        <w:tc>
          <w:tcPr>
            <w:tcW w:w="270" w:type="pct"/>
            <w:noWrap/>
            <w:vAlign w:val="center"/>
          </w:tcPr>
          <w:p w14:paraId="76140DE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90</w:t>
            </w:r>
          </w:p>
        </w:tc>
        <w:tc>
          <w:tcPr>
            <w:tcW w:w="375" w:type="pct"/>
            <w:noWrap/>
            <w:vAlign w:val="center"/>
          </w:tcPr>
          <w:p w14:paraId="2F6D1C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国家电网</w:t>
            </w:r>
          </w:p>
        </w:tc>
        <w:tc>
          <w:tcPr>
            <w:tcW w:w="381" w:type="pct"/>
            <w:noWrap/>
            <w:vAlign w:val="center"/>
          </w:tcPr>
          <w:p w14:paraId="5964E14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供电</w:t>
            </w:r>
          </w:p>
        </w:tc>
        <w:tc>
          <w:tcPr>
            <w:tcW w:w="307" w:type="pct"/>
            <w:noWrap/>
            <w:vAlign w:val="center"/>
          </w:tcPr>
          <w:p w14:paraId="20FDC17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335E37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1E1D968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27" w:type="pct"/>
            <w:noWrap/>
            <w:vAlign w:val="center"/>
          </w:tcPr>
          <w:p w14:paraId="74FF23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1FA4B3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4657E26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2556C4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022D49D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72C7E11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59" w:type="pct"/>
            <w:shd w:val="clear" w:color="auto" w:fill="auto"/>
            <w:noWrap/>
            <w:vAlign w:val="center"/>
          </w:tcPr>
          <w:p w14:paraId="3CE0483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20</w:t>
            </w:r>
          </w:p>
        </w:tc>
        <w:tc>
          <w:tcPr>
            <w:tcW w:w="307" w:type="pct"/>
            <w:noWrap/>
            <w:vAlign w:val="center"/>
          </w:tcPr>
          <w:p w14:paraId="3C9AF6D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27420C5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shd w:val="clear" w:color="auto" w:fill="auto"/>
            <w:noWrap/>
            <w:vAlign w:val="center"/>
          </w:tcPr>
          <w:p w14:paraId="37D21DA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地下过道</w:t>
            </w:r>
          </w:p>
        </w:tc>
      </w:tr>
      <w:tr w14:paraId="1FA603F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150" w:type="pct"/>
            <w:noWrap/>
            <w:vAlign w:val="center"/>
          </w:tcPr>
          <w:p w14:paraId="03C5BA2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8</w:t>
            </w:r>
          </w:p>
        </w:tc>
        <w:tc>
          <w:tcPr>
            <w:tcW w:w="341" w:type="pct"/>
            <w:noWrap/>
            <w:vAlign w:val="center"/>
          </w:tcPr>
          <w:p w14:paraId="4B33576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270" w:type="pct"/>
            <w:noWrap/>
            <w:vAlign w:val="center"/>
          </w:tcPr>
          <w:p w14:paraId="42F07D2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p>
        </w:tc>
        <w:tc>
          <w:tcPr>
            <w:tcW w:w="375" w:type="pct"/>
            <w:noWrap/>
            <w:vAlign w:val="center"/>
          </w:tcPr>
          <w:p w14:paraId="69C45A9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381" w:type="pct"/>
            <w:noWrap/>
            <w:vAlign w:val="center"/>
          </w:tcPr>
          <w:p w14:paraId="58057C3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307" w:type="pct"/>
            <w:noWrap/>
            <w:vAlign w:val="center"/>
          </w:tcPr>
          <w:p w14:paraId="23A1197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6A1004E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8" w:type="pct"/>
            <w:noWrap/>
            <w:vAlign w:val="center"/>
          </w:tcPr>
          <w:p w14:paraId="797219F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w:t>
            </w:r>
          </w:p>
        </w:tc>
        <w:tc>
          <w:tcPr>
            <w:tcW w:w="227" w:type="pct"/>
            <w:noWrap/>
            <w:vAlign w:val="center"/>
          </w:tcPr>
          <w:p w14:paraId="432E7F1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38" w:type="pct"/>
            <w:noWrap/>
            <w:vAlign w:val="center"/>
          </w:tcPr>
          <w:p w14:paraId="589A55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4BAB3B1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8" w:type="pct"/>
            <w:noWrap/>
            <w:vAlign w:val="center"/>
          </w:tcPr>
          <w:p w14:paraId="54C3F80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4883EFA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33" w:type="pct"/>
            <w:noWrap/>
            <w:vAlign w:val="center"/>
          </w:tcPr>
          <w:p w14:paraId="3C0BF37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w:t>
            </w:r>
          </w:p>
        </w:tc>
        <w:tc>
          <w:tcPr>
            <w:tcW w:w="259" w:type="pct"/>
            <w:shd w:val="clear" w:color="auto" w:fill="auto"/>
            <w:noWrap/>
            <w:vAlign w:val="center"/>
          </w:tcPr>
          <w:p w14:paraId="3037F02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20</w:t>
            </w:r>
          </w:p>
        </w:tc>
        <w:tc>
          <w:tcPr>
            <w:tcW w:w="307" w:type="pct"/>
            <w:noWrap/>
            <w:vAlign w:val="center"/>
          </w:tcPr>
          <w:p w14:paraId="44C6E7E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60</w:t>
            </w:r>
          </w:p>
        </w:tc>
        <w:tc>
          <w:tcPr>
            <w:tcW w:w="285" w:type="pct"/>
            <w:noWrap/>
            <w:vAlign w:val="center"/>
          </w:tcPr>
          <w:p w14:paraId="71815C9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425" w:type="pct"/>
            <w:noWrap/>
            <w:vAlign w:val="center"/>
          </w:tcPr>
          <w:p w14:paraId="05FBE9B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bl>
    <w:p w14:paraId="687FD631">
      <w:pPr>
        <w:pageBreakBefore w:val="0"/>
        <w:wordWrap/>
        <w:topLinePunct w:val="0"/>
        <w:bidi w:val="0"/>
        <w:spacing w:line="360" w:lineRule="auto"/>
        <w:ind w:firstLine="0" w:firstLineChars="0"/>
        <w:jc w:val="center"/>
        <w:rPr>
          <w:b/>
          <w:color w:val="000000" w:themeColor="text1"/>
          <w:highlight w:val="none"/>
        </w:rPr>
      </w:pPr>
      <w:bookmarkStart w:id="260" w:name="_Hlk81320493"/>
      <w:r>
        <w:rPr>
          <w:b/>
          <w:color w:val="000000" w:themeColor="text1"/>
          <w:highlight w:val="none"/>
        </w:rPr>
        <w:t>表3.1-</w:t>
      </w:r>
      <w:r>
        <w:rPr>
          <w:rFonts w:hint="eastAsia"/>
          <w:b/>
          <w:color w:val="000000" w:themeColor="text1"/>
          <w:highlight w:val="none"/>
          <w:lang w:val="en-US" w:eastAsia="zh-CN"/>
        </w:rPr>
        <w:t>21</w:t>
      </w:r>
      <w:r>
        <w:rPr>
          <w:b/>
          <w:color w:val="000000" w:themeColor="text1"/>
          <w:highlight w:val="none"/>
        </w:rPr>
        <w:t xml:space="preserve">  </w:t>
      </w:r>
      <w:bookmarkStart w:id="261" w:name="_Hlk69302674"/>
      <w:r>
        <w:rPr>
          <w:b/>
          <w:color w:val="000000" w:themeColor="text1"/>
          <w:highlight w:val="none"/>
        </w:rPr>
        <w:t>树木砍伐一览表</w:t>
      </w:r>
    </w:p>
    <w:bookmarkEnd w:id="260"/>
    <w:bookmarkEnd w:id="261"/>
    <w:tbl>
      <w:tblPr>
        <w:tblStyle w:val="33"/>
        <w:tblW w:w="5000"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082"/>
        <w:gridCol w:w="750"/>
        <w:gridCol w:w="465"/>
        <w:gridCol w:w="450"/>
        <w:gridCol w:w="870"/>
        <w:gridCol w:w="885"/>
        <w:gridCol w:w="725"/>
        <w:gridCol w:w="691"/>
        <w:gridCol w:w="774"/>
        <w:gridCol w:w="810"/>
        <w:gridCol w:w="840"/>
        <w:gridCol w:w="810"/>
        <w:gridCol w:w="840"/>
        <w:gridCol w:w="750"/>
        <w:gridCol w:w="750"/>
        <w:gridCol w:w="795"/>
        <w:gridCol w:w="750"/>
        <w:gridCol w:w="795"/>
        <w:gridCol w:w="342"/>
      </w:tblGrid>
      <w:tr w14:paraId="4B3975E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04" w:hRule="atLeast"/>
          <w:jc w:val="center"/>
        </w:trPr>
        <w:tc>
          <w:tcPr>
            <w:tcW w:w="381" w:type="pct"/>
            <w:vMerge w:val="restart"/>
            <w:vAlign w:val="center"/>
          </w:tcPr>
          <w:p w14:paraId="2257685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r>
              <w:rPr>
                <w:rFonts w:hint="eastAsia" w:cs="宋体"/>
                <w:color w:val="000000" w:themeColor="text1"/>
                <w:kern w:val="0"/>
                <w:sz w:val="21"/>
                <w:szCs w:val="21"/>
                <w:highlight w:val="none"/>
                <w:lang w:val="en-US" w:eastAsia="zh-CN"/>
              </w:rPr>
              <w:t>起讫桩号</w:t>
            </w:r>
          </w:p>
        </w:tc>
        <w:tc>
          <w:tcPr>
            <w:tcW w:w="264" w:type="pct"/>
            <w:vMerge w:val="restart"/>
            <w:noWrap/>
            <w:vAlign w:val="center"/>
          </w:tcPr>
          <w:p w14:paraId="117E178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长度（m）</w:t>
            </w:r>
          </w:p>
        </w:tc>
        <w:tc>
          <w:tcPr>
            <w:tcW w:w="322" w:type="pct"/>
            <w:gridSpan w:val="2"/>
            <w:vMerge w:val="restart"/>
            <w:vAlign w:val="center"/>
          </w:tcPr>
          <w:p w14:paraId="02E6018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宽度（m）</w:t>
            </w:r>
          </w:p>
          <w:p w14:paraId="15EDA96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路中线</w:t>
            </w:r>
          </w:p>
        </w:tc>
        <w:tc>
          <w:tcPr>
            <w:tcW w:w="306" w:type="pct"/>
            <w:vMerge w:val="restart"/>
            <w:vAlign w:val="center"/>
          </w:tcPr>
          <w:p w14:paraId="3CE1A21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何单位或何人所有</w:t>
            </w:r>
          </w:p>
        </w:tc>
        <w:tc>
          <w:tcPr>
            <w:tcW w:w="312" w:type="pct"/>
            <w:noWrap/>
            <w:vAlign w:val="center"/>
          </w:tcPr>
          <w:p w14:paraId="63DD464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除草</w:t>
            </w:r>
          </w:p>
        </w:tc>
        <w:tc>
          <w:tcPr>
            <w:tcW w:w="499" w:type="pct"/>
            <w:gridSpan w:val="2"/>
            <w:noWrap/>
            <w:vAlign w:val="center"/>
          </w:tcPr>
          <w:p w14:paraId="2AD887A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砍灌木林树直径在</w:t>
            </w:r>
          </w:p>
        </w:tc>
        <w:tc>
          <w:tcPr>
            <w:tcW w:w="273" w:type="pct"/>
            <w:noWrap/>
            <w:vAlign w:val="center"/>
          </w:tcPr>
          <w:p w14:paraId="27A9BDE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树木</w:t>
            </w:r>
          </w:p>
        </w:tc>
        <w:tc>
          <w:tcPr>
            <w:tcW w:w="1164" w:type="pct"/>
            <w:gridSpan w:val="4"/>
            <w:noWrap/>
            <w:vAlign w:val="center"/>
          </w:tcPr>
          <w:p w14:paraId="2C139CF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树木</w:t>
            </w:r>
          </w:p>
        </w:tc>
        <w:tc>
          <w:tcPr>
            <w:tcW w:w="809" w:type="pct"/>
            <w:gridSpan w:val="3"/>
            <w:noWrap/>
            <w:vAlign w:val="center"/>
          </w:tcPr>
          <w:p w14:paraId="081346A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果树</w:t>
            </w:r>
          </w:p>
        </w:tc>
        <w:tc>
          <w:tcPr>
            <w:tcW w:w="264" w:type="pct"/>
            <w:noWrap/>
            <w:vAlign w:val="center"/>
          </w:tcPr>
          <w:p w14:paraId="2AB51D1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树木</w:t>
            </w:r>
          </w:p>
        </w:tc>
        <w:tc>
          <w:tcPr>
            <w:tcW w:w="280" w:type="pct"/>
            <w:vMerge w:val="restart"/>
            <w:noWrap/>
            <w:vAlign w:val="center"/>
          </w:tcPr>
          <w:p w14:paraId="562CB3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回填土方</w:t>
            </w:r>
          </w:p>
        </w:tc>
        <w:tc>
          <w:tcPr>
            <w:tcW w:w="120" w:type="pct"/>
            <w:vMerge w:val="restart"/>
            <w:noWrap/>
            <w:vAlign w:val="center"/>
          </w:tcPr>
          <w:p w14:paraId="19FFEFF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备注</w:t>
            </w:r>
          </w:p>
        </w:tc>
      </w:tr>
      <w:tr w14:paraId="11FC4A4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30" w:hRule="atLeast"/>
          <w:jc w:val="center"/>
        </w:trPr>
        <w:tc>
          <w:tcPr>
            <w:tcW w:w="381" w:type="pct"/>
            <w:vMerge w:val="continue"/>
            <w:vAlign w:val="center"/>
          </w:tcPr>
          <w:p w14:paraId="689217C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264" w:type="pct"/>
            <w:vMerge w:val="continue"/>
            <w:vAlign w:val="center"/>
          </w:tcPr>
          <w:p w14:paraId="7EB6598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322" w:type="pct"/>
            <w:gridSpan w:val="2"/>
            <w:vMerge w:val="continue"/>
            <w:vAlign w:val="center"/>
          </w:tcPr>
          <w:p w14:paraId="216C239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306" w:type="pct"/>
            <w:vMerge w:val="continue"/>
            <w:vAlign w:val="center"/>
          </w:tcPr>
          <w:p w14:paraId="67CCC75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312" w:type="pct"/>
            <w:noWrap/>
            <w:vAlign w:val="center"/>
          </w:tcPr>
          <w:p w14:paraId="3A47061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（1000m</w:t>
            </w:r>
            <w:r>
              <w:rPr>
                <w:rFonts w:hint="eastAsia" w:cs="宋体"/>
                <w:color w:val="000000" w:themeColor="text1"/>
                <w:kern w:val="0"/>
                <w:sz w:val="21"/>
                <w:szCs w:val="21"/>
                <w:highlight w:val="none"/>
                <w:vertAlign w:val="superscript"/>
                <w:lang w:val="en-US" w:eastAsia="zh-CN"/>
              </w:rPr>
              <w:t>2</w:t>
            </w:r>
            <w:r>
              <w:rPr>
                <w:rFonts w:hint="eastAsia" w:cs="宋体"/>
                <w:color w:val="000000" w:themeColor="text1"/>
                <w:kern w:val="0"/>
                <w:sz w:val="21"/>
                <w:szCs w:val="21"/>
                <w:highlight w:val="none"/>
                <w:lang w:val="en-US" w:eastAsia="zh-CN"/>
              </w:rPr>
              <w:t>）</w:t>
            </w:r>
          </w:p>
        </w:tc>
        <w:tc>
          <w:tcPr>
            <w:tcW w:w="499" w:type="pct"/>
            <w:gridSpan w:val="2"/>
            <w:noWrap/>
            <w:vAlign w:val="center"/>
          </w:tcPr>
          <w:p w14:paraId="1DEE5D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10cm以下（1000m</w:t>
            </w:r>
            <w:r>
              <w:rPr>
                <w:rFonts w:hint="eastAsia" w:cs="宋体"/>
                <w:color w:val="000000" w:themeColor="text1"/>
                <w:kern w:val="0"/>
                <w:sz w:val="21"/>
                <w:szCs w:val="21"/>
                <w:highlight w:val="none"/>
                <w:vertAlign w:val="superscript"/>
                <w:lang w:val="en-US" w:eastAsia="zh-CN"/>
              </w:rPr>
              <w:t>2</w:t>
            </w:r>
            <w:r>
              <w:rPr>
                <w:rFonts w:hint="eastAsia" w:cs="宋体"/>
                <w:color w:val="000000" w:themeColor="text1"/>
                <w:kern w:val="0"/>
                <w:sz w:val="21"/>
                <w:szCs w:val="21"/>
                <w:highlight w:val="none"/>
                <w:lang w:val="en-US" w:eastAsia="zh-CN"/>
              </w:rPr>
              <w:t>）</w:t>
            </w:r>
          </w:p>
        </w:tc>
        <w:tc>
          <w:tcPr>
            <w:tcW w:w="273" w:type="pct"/>
            <w:noWrap/>
            <w:vAlign w:val="center"/>
          </w:tcPr>
          <w:p w14:paraId="3707DB0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eastAsia="宋体" w:cs="宋体"/>
                <w:color w:val="000000" w:themeColor="text1"/>
                <w:kern w:val="0"/>
                <w:sz w:val="21"/>
                <w:szCs w:val="21"/>
                <w:highlight w:val="none"/>
                <w:lang w:val="en-US" w:eastAsia="zh-CN"/>
              </w:rPr>
              <w:t>&lt;</w:t>
            </w:r>
            <w:r>
              <w:rPr>
                <w:rFonts w:hint="eastAsia" w:cs="宋体"/>
                <w:color w:val="000000" w:themeColor="text1"/>
                <w:kern w:val="0"/>
                <w:sz w:val="21"/>
                <w:szCs w:val="21"/>
                <w:highlight w:val="none"/>
                <w:lang w:val="en-US" w:eastAsia="zh-CN"/>
              </w:rPr>
              <w:t>10cm</w:t>
            </w:r>
          </w:p>
        </w:tc>
        <w:tc>
          <w:tcPr>
            <w:tcW w:w="285" w:type="pct"/>
            <w:noWrap/>
            <w:vAlign w:val="center"/>
          </w:tcPr>
          <w:p w14:paraId="6C6BCED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10cm~15cm</w:t>
            </w:r>
          </w:p>
        </w:tc>
        <w:tc>
          <w:tcPr>
            <w:tcW w:w="296" w:type="pct"/>
            <w:noWrap/>
            <w:vAlign w:val="center"/>
          </w:tcPr>
          <w:p w14:paraId="32A3BAE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15cm~20cm</w:t>
            </w:r>
          </w:p>
        </w:tc>
        <w:tc>
          <w:tcPr>
            <w:tcW w:w="285" w:type="pct"/>
            <w:noWrap/>
            <w:vAlign w:val="center"/>
          </w:tcPr>
          <w:p w14:paraId="384228B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20cm~25cm</w:t>
            </w:r>
          </w:p>
        </w:tc>
        <w:tc>
          <w:tcPr>
            <w:tcW w:w="296" w:type="pct"/>
            <w:noWrap/>
            <w:vAlign w:val="center"/>
          </w:tcPr>
          <w:p w14:paraId="55C3B38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25cm~30cm</w:t>
            </w:r>
          </w:p>
        </w:tc>
        <w:tc>
          <w:tcPr>
            <w:tcW w:w="264" w:type="pct"/>
            <w:vAlign w:val="center"/>
          </w:tcPr>
          <w:p w14:paraId="4C5ABE5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盛果期</w:t>
            </w:r>
          </w:p>
        </w:tc>
        <w:tc>
          <w:tcPr>
            <w:tcW w:w="264" w:type="pct"/>
            <w:vAlign w:val="center"/>
          </w:tcPr>
          <w:p w14:paraId="6AB3E43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初果期</w:t>
            </w:r>
          </w:p>
        </w:tc>
        <w:tc>
          <w:tcPr>
            <w:tcW w:w="280" w:type="pct"/>
            <w:vAlign w:val="center"/>
          </w:tcPr>
          <w:p w14:paraId="279477E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无果期</w:t>
            </w:r>
          </w:p>
        </w:tc>
        <w:tc>
          <w:tcPr>
            <w:tcW w:w="264" w:type="pct"/>
            <w:vAlign w:val="center"/>
          </w:tcPr>
          <w:p w14:paraId="78B197B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r>
              <w:rPr>
                <w:rFonts w:hint="eastAsia" w:cs="宋体"/>
                <w:color w:val="000000" w:themeColor="text1"/>
                <w:kern w:val="0"/>
                <w:sz w:val="21"/>
                <w:szCs w:val="21"/>
                <w:highlight w:val="none"/>
                <w:lang w:val="en-US" w:eastAsia="zh-CN"/>
              </w:rPr>
              <w:t>30cm以上</w:t>
            </w:r>
          </w:p>
        </w:tc>
        <w:tc>
          <w:tcPr>
            <w:tcW w:w="280" w:type="pct"/>
            <w:vMerge w:val="continue"/>
            <w:vAlign w:val="center"/>
          </w:tcPr>
          <w:p w14:paraId="19845B2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120" w:type="pct"/>
            <w:vMerge w:val="continue"/>
            <w:vAlign w:val="center"/>
          </w:tcPr>
          <w:p w14:paraId="06CA90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r>
      <w:tr w14:paraId="65A5C81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jc w:val="center"/>
        </w:trPr>
        <w:tc>
          <w:tcPr>
            <w:tcW w:w="381" w:type="pct"/>
            <w:vMerge w:val="continue"/>
            <w:vAlign w:val="center"/>
          </w:tcPr>
          <w:p w14:paraId="4ED1AC4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264" w:type="pct"/>
            <w:vMerge w:val="continue"/>
            <w:vAlign w:val="center"/>
          </w:tcPr>
          <w:p w14:paraId="3602FBA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164" w:type="pct"/>
            <w:vAlign w:val="center"/>
          </w:tcPr>
          <w:p w14:paraId="664A5F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左</w:t>
            </w:r>
          </w:p>
        </w:tc>
        <w:tc>
          <w:tcPr>
            <w:tcW w:w="158" w:type="pct"/>
            <w:vAlign w:val="center"/>
          </w:tcPr>
          <w:p w14:paraId="3F9A4E1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右</w:t>
            </w:r>
          </w:p>
        </w:tc>
        <w:tc>
          <w:tcPr>
            <w:tcW w:w="306" w:type="pct"/>
            <w:vMerge w:val="continue"/>
            <w:vAlign w:val="center"/>
          </w:tcPr>
          <w:p w14:paraId="6EB2E9D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cs="宋体"/>
                <w:color w:val="000000" w:themeColor="text1"/>
                <w:kern w:val="0"/>
                <w:sz w:val="21"/>
                <w:szCs w:val="21"/>
                <w:highlight w:val="none"/>
              </w:rPr>
            </w:pPr>
          </w:p>
        </w:tc>
        <w:tc>
          <w:tcPr>
            <w:tcW w:w="312" w:type="pct"/>
            <w:noWrap/>
            <w:vAlign w:val="center"/>
          </w:tcPr>
          <w:p w14:paraId="3D950EB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稀</w:t>
            </w:r>
          </w:p>
        </w:tc>
        <w:tc>
          <w:tcPr>
            <w:tcW w:w="255" w:type="pct"/>
            <w:noWrap/>
            <w:vAlign w:val="center"/>
          </w:tcPr>
          <w:p w14:paraId="4D4F381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密</w:t>
            </w:r>
          </w:p>
        </w:tc>
        <w:tc>
          <w:tcPr>
            <w:tcW w:w="243" w:type="pct"/>
            <w:noWrap/>
            <w:vAlign w:val="center"/>
          </w:tcPr>
          <w:p w14:paraId="7256CB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稀</w:t>
            </w:r>
          </w:p>
        </w:tc>
        <w:tc>
          <w:tcPr>
            <w:tcW w:w="273" w:type="pct"/>
            <w:noWrap/>
            <w:vAlign w:val="center"/>
          </w:tcPr>
          <w:p w14:paraId="051F396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2</w:t>
            </w:r>
            <w:r>
              <w:rPr>
                <w:rFonts w:hint="eastAsia" w:cs="宋体"/>
                <w:color w:val="000000" w:themeColor="text1"/>
                <w:kern w:val="0"/>
                <w:sz w:val="21"/>
                <w:szCs w:val="21"/>
                <w:highlight w:val="none"/>
                <w:lang w:val="en-US" w:eastAsia="zh-CN"/>
              </w:rPr>
              <w:t>）</w:t>
            </w:r>
          </w:p>
        </w:tc>
        <w:tc>
          <w:tcPr>
            <w:tcW w:w="285" w:type="pct"/>
            <w:noWrap/>
            <w:vAlign w:val="center"/>
          </w:tcPr>
          <w:p w14:paraId="7759CCA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7961BF8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p>
        </w:tc>
        <w:tc>
          <w:tcPr>
            <w:tcW w:w="285" w:type="pct"/>
            <w:noWrap/>
            <w:vAlign w:val="center"/>
          </w:tcPr>
          <w:p w14:paraId="144E2B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p>
        </w:tc>
        <w:tc>
          <w:tcPr>
            <w:tcW w:w="296" w:type="pct"/>
            <w:noWrap/>
            <w:vAlign w:val="center"/>
          </w:tcPr>
          <w:p w14:paraId="7C1F841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eastAsia="zh-CN"/>
              </w:rPr>
              <w:t>（</w:t>
            </w:r>
            <w:r>
              <w:rPr>
                <w:rFonts w:hint="eastAsia" w:cs="宋体"/>
                <w:color w:val="000000" w:themeColor="text1"/>
                <w:kern w:val="0"/>
                <w:sz w:val="21"/>
                <w:szCs w:val="21"/>
                <w:highlight w:val="none"/>
                <w:lang w:val="en-US" w:eastAsia="zh-CN"/>
              </w:rPr>
              <w:t>棵</w:t>
            </w:r>
            <w:r>
              <w:rPr>
                <w:rFonts w:hint="eastAsia" w:cs="宋体"/>
                <w:color w:val="000000" w:themeColor="text1"/>
                <w:kern w:val="0"/>
                <w:sz w:val="21"/>
                <w:szCs w:val="21"/>
                <w:highlight w:val="none"/>
                <w:lang w:eastAsia="zh-CN"/>
              </w:rPr>
              <w:t>）</w:t>
            </w:r>
          </w:p>
        </w:tc>
        <w:tc>
          <w:tcPr>
            <w:tcW w:w="264" w:type="pct"/>
            <w:noWrap/>
            <w:vAlign w:val="center"/>
          </w:tcPr>
          <w:p w14:paraId="599AFE0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eastAsia="zh-CN"/>
              </w:rPr>
              <w:t>（</w:t>
            </w:r>
            <w:r>
              <w:rPr>
                <w:rFonts w:hint="eastAsia" w:cs="宋体"/>
                <w:color w:val="000000" w:themeColor="text1"/>
                <w:kern w:val="0"/>
                <w:sz w:val="21"/>
                <w:szCs w:val="21"/>
                <w:highlight w:val="none"/>
                <w:lang w:val="en-US" w:eastAsia="zh-CN"/>
              </w:rPr>
              <w:t>棵</w:t>
            </w:r>
            <w:r>
              <w:rPr>
                <w:rFonts w:hint="eastAsia" w:cs="宋体"/>
                <w:color w:val="000000" w:themeColor="text1"/>
                <w:kern w:val="0"/>
                <w:sz w:val="21"/>
                <w:szCs w:val="21"/>
                <w:highlight w:val="none"/>
                <w:lang w:eastAsia="zh-CN"/>
              </w:rPr>
              <w:t>）</w:t>
            </w:r>
          </w:p>
        </w:tc>
        <w:tc>
          <w:tcPr>
            <w:tcW w:w="264" w:type="pct"/>
            <w:noWrap/>
            <w:vAlign w:val="center"/>
          </w:tcPr>
          <w:p w14:paraId="0119A68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eastAsia="zh-CN"/>
              </w:rPr>
              <w:t>（</w:t>
            </w:r>
            <w:r>
              <w:rPr>
                <w:rFonts w:hint="eastAsia" w:cs="宋体"/>
                <w:color w:val="000000" w:themeColor="text1"/>
                <w:kern w:val="0"/>
                <w:sz w:val="21"/>
                <w:szCs w:val="21"/>
                <w:highlight w:val="none"/>
                <w:lang w:val="en-US" w:eastAsia="zh-CN"/>
              </w:rPr>
              <w:t>棵</w:t>
            </w:r>
            <w:r>
              <w:rPr>
                <w:rFonts w:hint="eastAsia" w:cs="宋体"/>
                <w:color w:val="000000" w:themeColor="text1"/>
                <w:kern w:val="0"/>
                <w:sz w:val="21"/>
                <w:szCs w:val="21"/>
                <w:highlight w:val="none"/>
                <w:lang w:eastAsia="zh-CN"/>
              </w:rPr>
              <w:t>）</w:t>
            </w:r>
          </w:p>
        </w:tc>
        <w:tc>
          <w:tcPr>
            <w:tcW w:w="280" w:type="pct"/>
            <w:noWrap/>
            <w:vAlign w:val="center"/>
          </w:tcPr>
          <w:p w14:paraId="59B15AE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eastAsia="zh-CN"/>
              </w:rPr>
              <w:t>（</w:t>
            </w:r>
            <w:r>
              <w:rPr>
                <w:rFonts w:hint="eastAsia" w:cs="宋体"/>
                <w:color w:val="000000" w:themeColor="text1"/>
                <w:kern w:val="0"/>
                <w:sz w:val="21"/>
                <w:szCs w:val="21"/>
                <w:highlight w:val="none"/>
                <w:lang w:val="en-US" w:eastAsia="zh-CN"/>
              </w:rPr>
              <w:t>棵</w:t>
            </w:r>
            <w:r>
              <w:rPr>
                <w:rFonts w:hint="eastAsia" w:cs="宋体"/>
                <w:color w:val="000000" w:themeColor="text1"/>
                <w:kern w:val="0"/>
                <w:sz w:val="21"/>
                <w:szCs w:val="21"/>
                <w:highlight w:val="none"/>
                <w:lang w:eastAsia="zh-CN"/>
              </w:rPr>
              <w:t>）</w:t>
            </w:r>
          </w:p>
        </w:tc>
        <w:tc>
          <w:tcPr>
            <w:tcW w:w="264" w:type="pct"/>
            <w:noWrap/>
            <w:vAlign w:val="center"/>
          </w:tcPr>
          <w:p w14:paraId="3A9938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eastAsia="zh-CN"/>
              </w:rPr>
              <w:t>（</w:t>
            </w:r>
            <w:r>
              <w:rPr>
                <w:rFonts w:hint="eastAsia" w:cs="宋体"/>
                <w:color w:val="000000" w:themeColor="text1"/>
                <w:kern w:val="0"/>
                <w:sz w:val="21"/>
                <w:szCs w:val="21"/>
                <w:highlight w:val="none"/>
                <w:lang w:val="en-US" w:eastAsia="zh-CN"/>
              </w:rPr>
              <w:t>棵</w:t>
            </w:r>
            <w:r>
              <w:rPr>
                <w:rFonts w:hint="eastAsia" w:cs="宋体"/>
                <w:color w:val="000000" w:themeColor="text1"/>
                <w:kern w:val="0"/>
                <w:sz w:val="21"/>
                <w:szCs w:val="21"/>
                <w:highlight w:val="none"/>
                <w:lang w:eastAsia="zh-CN"/>
              </w:rPr>
              <w:t>）</w:t>
            </w:r>
          </w:p>
        </w:tc>
        <w:tc>
          <w:tcPr>
            <w:tcW w:w="280" w:type="pct"/>
            <w:noWrap/>
            <w:vAlign w:val="center"/>
          </w:tcPr>
          <w:p w14:paraId="7AAB8D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r>
              <w:rPr>
                <w:rFonts w:hint="eastAsia" w:cs="宋体"/>
                <w:color w:val="000000" w:themeColor="text1"/>
                <w:kern w:val="0"/>
                <w:sz w:val="21"/>
                <w:szCs w:val="21"/>
                <w:highlight w:val="none"/>
                <w:lang w:val="en-US" w:eastAsia="zh-CN"/>
              </w:rPr>
              <w:t>（m</w:t>
            </w:r>
            <w:r>
              <w:rPr>
                <w:rFonts w:hint="eastAsia" w:cs="宋体"/>
                <w:color w:val="000000" w:themeColor="text1"/>
                <w:kern w:val="0"/>
                <w:sz w:val="21"/>
                <w:szCs w:val="21"/>
                <w:highlight w:val="none"/>
                <w:vertAlign w:val="superscript"/>
                <w:lang w:val="en-US" w:eastAsia="zh-CN"/>
              </w:rPr>
              <w:t>3</w:t>
            </w:r>
            <w:r>
              <w:rPr>
                <w:rFonts w:hint="eastAsia" w:cs="宋体"/>
                <w:color w:val="000000" w:themeColor="text1"/>
                <w:kern w:val="0"/>
                <w:sz w:val="21"/>
                <w:szCs w:val="21"/>
                <w:highlight w:val="none"/>
                <w:lang w:val="en-US" w:eastAsia="zh-CN"/>
              </w:rPr>
              <w:t>）</w:t>
            </w:r>
          </w:p>
        </w:tc>
        <w:tc>
          <w:tcPr>
            <w:tcW w:w="120" w:type="pct"/>
            <w:vMerge w:val="continue"/>
            <w:noWrap/>
            <w:vAlign w:val="center"/>
          </w:tcPr>
          <w:p w14:paraId="249355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eastAsia="zh-CN"/>
              </w:rPr>
            </w:pPr>
          </w:p>
        </w:tc>
      </w:tr>
      <w:tr w14:paraId="63D0738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4B1086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rPr>
            </w:pPr>
            <w:r>
              <w:rPr>
                <w:rFonts w:hint="eastAsia" w:cs="宋体"/>
                <w:color w:val="000000" w:themeColor="text1"/>
                <w:kern w:val="0"/>
                <w:sz w:val="21"/>
                <w:szCs w:val="21"/>
                <w:highlight w:val="none"/>
                <w:lang w:val="en-US" w:eastAsia="zh-CN"/>
              </w:rPr>
              <w:t>K0+010~K0+036</w:t>
            </w:r>
          </w:p>
        </w:tc>
        <w:tc>
          <w:tcPr>
            <w:tcW w:w="264" w:type="pct"/>
            <w:noWrap/>
            <w:vAlign w:val="center"/>
          </w:tcPr>
          <w:p w14:paraId="0249DCA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26</w:t>
            </w:r>
          </w:p>
        </w:tc>
        <w:tc>
          <w:tcPr>
            <w:tcW w:w="164" w:type="pct"/>
            <w:noWrap/>
            <w:vAlign w:val="center"/>
          </w:tcPr>
          <w:p w14:paraId="56E2B2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3B39EB5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noWrap/>
            <w:vAlign w:val="center"/>
          </w:tcPr>
          <w:p w14:paraId="00AD9D4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312" w:type="pct"/>
            <w:noWrap/>
            <w:vAlign w:val="center"/>
          </w:tcPr>
          <w:p w14:paraId="094CC4D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76BA19A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7EB62B6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482D4F7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70DCB5F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46</w:t>
            </w:r>
          </w:p>
        </w:tc>
        <w:tc>
          <w:tcPr>
            <w:tcW w:w="296" w:type="pct"/>
            <w:noWrap/>
            <w:vAlign w:val="center"/>
          </w:tcPr>
          <w:p w14:paraId="25A4B43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57FD378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041C8CF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24F8302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BCD11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0296BC1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17E00F7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451AB3F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23</w:t>
            </w:r>
          </w:p>
        </w:tc>
        <w:tc>
          <w:tcPr>
            <w:tcW w:w="120" w:type="pct"/>
            <w:noWrap/>
            <w:vAlign w:val="center"/>
          </w:tcPr>
          <w:p w14:paraId="0FF91C5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34114250">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313549D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K0+070~K0+255</w:t>
            </w:r>
          </w:p>
        </w:tc>
        <w:tc>
          <w:tcPr>
            <w:tcW w:w="264" w:type="pct"/>
            <w:noWrap/>
            <w:vAlign w:val="center"/>
          </w:tcPr>
          <w:p w14:paraId="08F57E9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185</w:t>
            </w:r>
          </w:p>
        </w:tc>
        <w:tc>
          <w:tcPr>
            <w:tcW w:w="164" w:type="pct"/>
            <w:noWrap/>
            <w:vAlign w:val="center"/>
          </w:tcPr>
          <w:p w14:paraId="7133A5D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08C45DE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noWrap/>
            <w:vAlign w:val="center"/>
          </w:tcPr>
          <w:p w14:paraId="5DA9D27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312" w:type="pct"/>
            <w:noWrap/>
            <w:vAlign w:val="center"/>
          </w:tcPr>
          <w:p w14:paraId="631D0C9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146C29F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5092680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3DBF8E1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123907F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2CA7897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785BB09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220B1E9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19</w:t>
            </w:r>
          </w:p>
        </w:tc>
        <w:tc>
          <w:tcPr>
            <w:tcW w:w="264" w:type="pct"/>
            <w:noWrap/>
            <w:vAlign w:val="center"/>
          </w:tcPr>
          <w:p w14:paraId="3314B45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333</w:t>
            </w:r>
          </w:p>
        </w:tc>
        <w:tc>
          <w:tcPr>
            <w:tcW w:w="264" w:type="pct"/>
            <w:noWrap/>
            <w:vAlign w:val="center"/>
          </w:tcPr>
          <w:p w14:paraId="4328A44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6066B44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5063D2A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37</w:t>
            </w:r>
          </w:p>
        </w:tc>
        <w:tc>
          <w:tcPr>
            <w:tcW w:w="280" w:type="pct"/>
            <w:noWrap/>
            <w:vAlign w:val="center"/>
          </w:tcPr>
          <w:p w14:paraId="3FFE5FB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213</w:t>
            </w:r>
          </w:p>
        </w:tc>
        <w:tc>
          <w:tcPr>
            <w:tcW w:w="120" w:type="pct"/>
            <w:noWrap/>
            <w:vAlign w:val="center"/>
          </w:tcPr>
          <w:p w14:paraId="32DF678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0F6ACD8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PrEx>
        <w:trPr>
          <w:trHeight w:val="90" w:hRule="atLeast"/>
          <w:jc w:val="center"/>
        </w:trPr>
        <w:tc>
          <w:tcPr>
            <w:tcW w:w="381" w:type="pct"/>
            <w:noWrap/>
            <w:vAlign w:val="center"/>
          </w:tcPr>
          <w:p w14:paraId="7F901CD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K0+300~K0+510</w:t>
            </w:r>
          </w:p>
        </w:tc>
        <w:tc>
          <w:tcPr>
            <w:tcW w:w="264" w:type="pct"/>
            <w:noWrap/>
            <w:vAlign w:val="center"/>
          </w:tcPr>
          <w:p w14:paraId="48212F5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210</w:t>
            </w:r>
          </w:p>
        </w:tc>
        <w:tc>
          <w:tcPr>
            <w:tcW w:w="164" w:type="pct"/>
            <w:noWrap/>
            <w:vAlign w:val="center"/>
          </w:tcPr>
          <w:p w14:paraId="62E8CEB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7262D96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noWrap/>
            <w:vAlign w:val="center"/>
          </w:tcPr>
          <w:p w14:paraId="1719A9F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312" w:type="pct"/>
            <w:noWrap/>
            <w:vAlign w:val="center"/>
          </w:tcPr>
          <w:p w14:paraId="4D70A65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6DCDEF3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12E87EB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1D43247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5C04E5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7A0E928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063C333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1DC7F68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18</w:t>
            </w:r>
          </w:p>
        </w:tc>
        <w:tc>
          <w:tcPr>
            <w:tcW w:w="264" w:type="pct"/>
            <w:noWrap/>
            <w:vAlign w:val="center"/>
          </w:tcPr>
          <w:p w14:paraId="62B8714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312</w:t>
            </w:r>
          </w:p>
        </w:tc>
        <w:tc>
          <w:tcPr>
            <w:tcW w:w="264" w:type="pct"/>
            <w:noWrap/>
            <w:vAlign w:val="center"/>
          </w:tcPr>
          <w:p w14:paraId="47D746E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6EC9421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6ABA38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35</w:t>
            </w:r>
          </w:p>
        </w:tc>
        <w:tc>
          <w:tcPr>
            <w:tcW w:w="280" w:type="pct"/>
            <w:noWrap/>
            <w:vAlign w:val="center"/>
          </w:tcPr>
          <w:p w14:paraId="5314581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200</w:t>
            </w:r>
          </w:p>
        </w:tc>
        <w:tc>
          <w:tcPr>
            <w:tcW w:w="120" w:type="pct"/>
            <w:noWrap/>
            <w:vAlign w:val="center"/>
          </w:tcPr>
          <w:p w14:paraId="6ACE5B1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2D6046B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3AA843C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K0+510~K0+730</w:t>
            </w:r>
          </w:p>
        </w:tc>
        <w:tc>
          <w:tcPr>
            <w:tcW w:w="264" w:type="pct"/>
            <w:noWrap/>
            <w:vAlign w:val="center"/>
          </w:tcPr>
          <w:p w14:paraId="44B9322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220</w:t>
            </w:r>
          </w:p>
        </w:tc>
        <w:tc>
          <w:tcPr>
            <w:tcW w:w="164" w:type="pct"/>
            <w:noWrap/>
            <w:vAlign w:val="center"/>
          </w:tcPr>
          <w:p w14:paraId="5F444D3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0280C65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noWrap/>
            <w:vAlign w:val="center"/>
          </w:tcPr>
          <w:p w14:paraId="317B7CD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312" w:type="pct"/>
            <w:noWrap/>
            <w:vAlign w:val="center"/>
          </w:tcPr>
          <w:p w14:paraId="58BD809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3E365D8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04418C9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5437D83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634AE3E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1E9AB21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2A701CF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664BEB0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22</w:t>
            </w:r>
          </w:p>
        </w:tc>
        <w:tc>
          <w:tcPr>
            <w:tcW w:w="264" w:type="pct"/>
            <w:noWrap/>
            <w:vAlign w:val="center"/>
          </w:tcPr>
          <w:p w14:paraId="50F2FC2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396</w:t>
            </w:r>
          </w:p>
        </w:tc>
        <w:tc>
          <w:tcPr>
            <w:tcW w:w="264" w:type="pct"/>
            <w:noWrap/>
            <w:vAlign w:val="center"/>
          </w:tcPr>
          <w:p w14:paraId="02159CD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134E5C8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2D7EF8B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44</w:t>
            </w:r>
          </w:p>
        </w:tc>
        <w:tc>
          <w:tcPr>
            <w:tcW w:w="280" w:type="pct"/>
            <w:noWrap/>
            <w:vAlign w:val="center"/>
          </w:tcPr>
          <w:p w14:paraId="743E3B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253</w:t>
            </w:r>
          </w:p>
        </w:tc>
        <w:tc>
          <w:tcPr>
            <w:tcW w:w="120" w:type="pct"/>
            <w:noWrap/>
            <w:vAlign w:val="center"/>
          </w:tcPr>
          <w:p w14:paraId="0450E48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49DB885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01283F7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K0+730~K0+980</w:t>
            </w:r>
          </w:p>
        </w:tc>
        <w:tc>
          <w:tcPr>
            <w:tcW w:w="264" w:type="pct"/>
            <w:noWrap/>
            <w:vAlign w:val="center"/>
          </w:tcPr>
          <w:p w14:paraId="1FFA891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250</w:t>
            </w:r>
          </w:p>
        </w:tc>
        <w:tc>
          <w:tcPr>
            <w:tcW w:w="164" w:type="pct"/>
            <w:noWrap/>
            <w:vAlign w:val="center"/>
          </w:tcPr>
          <w:p w14:paraId="0494607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3EC4468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noWrap/>
            <w:vAlign w:val="center"/>
          </w:tcPr>
          <w:p w14:paraId="550AF65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312" w:type="pct"/>
            <w:noWrap/>
            <w:vAlign w:val="center"/>
          </w:tcPr>
          <w:p w14:paraId="2AE494F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4881034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3D3AEA5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0DE3C04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24B2816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31169D0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2F956E7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7EFDAC4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30</w:t>
            </w:r>
          </w:p>
        </w:tc>
        <w:tc>
          <w:tcPr>
            <w:tcW w:w="264" w:type="pct"/>
            <w:noWrap/>
            <w:vAlign w:val="center"/>
          </w:tcPr>
          <w:p w14:paraId="6ACF06F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496</w:t>
            </w:r>
          </w:p>
        </w:tc>
        <w:tc>
          <w:tcPr>
            <w:tcW w:w="264" w:type="pct"/>
            <w:noWrap/>
            <w:vAlign w:val="center"/>
          </w:tcPr>
          <w:p w14:paraId="418BE72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7BD4845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4365695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59</w:t>
            </w:r>
          </w:p>
        </w:tc>
        <w:tc>
          <w:tcPr>
            <w:tcW w:w="280" w:type="pct"/>
            <w:noWrap/>
            <w:vAlign w:val="center"/>
          </w:tcPr>
          <w:p w14:paraId="6379020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322</w:t>
            </w:r>
          </w:p>
        </w:tc>
        <w:tc>
          <w:tcPr>
            <w:tcW w:w="120" w:type="pct"/>
            <w:noWrap/>
            <w:vAlign w:val="center"/>
          </w:tcPr>
          <w:p w14:paraId="4BED14D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7C526F4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7B3F8AE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K0+980~K1+180</w:t>
            </w:r>
          </w:p>
        </w:tc>
        <w:tc>
          <w:tcPr>
            <w:tcW w:w="264" w:type="pct"/>
            <w:noWrap/>
            <w:vAlign w:val="center"/>
          </w:tcPr>
          <w:p w14:paraId="4EB865D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200</w:t>
            </w:r>
          </w:p>
        </w:tc>
        <w:tc>
          <w:tcPr>
            <w:tcW w:w="164" w:type="pct"/>
            <w:noWrap/>
            <w:vAlign w:val="center"/>
          </w:tcPr>
          <w:p w14:paraId="125670B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546DA2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noWrap/>
            <w:vAlign w:val="center"/>
          </w:tcPr>
          <w:p w14:paraId="34B19AE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宝泉岭</w:t>
            </w:r>
          </w:p>
        </w:tc>
        <w:tc>
          <w:tcPr>
            <w:tcW w:w="312" w:type="pct"/>
            <w:noWrap/>
            <w:vAlign w:val="center"/>
          </w:tcPr>
          <w:p w14:paraId="70BC6E9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151119E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62C15E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35768C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535C99D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2125A30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752EDD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17E175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17</w:t>
            </w:r>
          </w:p>
        </w:tc>
        <w:tc>
          <w:tcPr>
            <w:tcW w:w="264" w:type="pct"/>
            <w:noWrap/>
            <w:vAlign w:val="center"/>
          </w:tcPr>
          <w:p w14:paraId="23BDF9F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284</w:t>
            </w:r>
          </w:p>
        </w:tc>
        <w:tc>
          <w:tcPr>
            <w:tcW w:w="264" w:type="pct"/>
            <w:noWrap/>
            <w:vAlign w:val="center"/>
          </w:tcPr>
          <w:p w14:paraId="254E464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3A5A57F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DF6698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34</w:t>
            </w:r>
          </w:p>
        </w:tc>
        <w:tc>
          <w:tcPr>
            <w:tcW w:w="280" w:type="pct"/>
            <w:noWrap/>
            <w:vAlign w:val="center"/>
          </w:tcPr>
          <w:p w14:paraId="65D8525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184.5</w:t>
            </w:r>
          </w:p>
        </w:tc>
        <w:tc>
          <w:tcPr>
            <w:tcW w:w="120" w:type="pct"/>
            <w:noWrap/>
            <w:vAlign w:val="center"/>
          </w:tcPr>
          <w:p w14:paraId="223DDCB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0D24A76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4AAAA7A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K1+180~K1+460</w:t>
            </w:r>
          </w:p>
        </w:tc>
        <w:tc>
          <w:tcPr>
            <w:tcW w:w="264" w:type="pct"/>
            <w:noWrap/>
            <w:vAlign w:val="center"/>
          </w:tcPr>
          <w:p w14:paraId="7F5CF6E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280</w:t>
            </w:r>
          </w:p>
        </w:tc>
        <w:tc>
          <w:tcPr>
            <w:tcW w:w="164" w:type="pct"/>
            <w:noWrap/>
            <w:vAlign w:val="center"/>
          </w:tcPr>
          <w:p w14:paraId="46EA736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50DD414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09D506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777024F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5230D30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5B330F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74BC1D5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0.302</w:t>
            </w:r>
          </w:p>
        </w:tc>
        <w:tc>
          <w:tcPr>
            <w:tcW w:w="285" w:type="pct"/>
            <w:noWrap/>
            <w:vAlign w:val="center"/>
          </w:tcPr>
          <w:p w14:paraId="06EEB7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279</w:t>
            </w:r>
          </w:p>
        </w:tc>
        <w:tc>
          <w:tcPr>
            <w:tcW w:w="296" w:type="pct"/>
            <w:noWrap/>
            <w:vAlign w:val="center"/>
          </w:tcPr>
          <w:p w14:paraId="7CA6089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1116</w:t>
            </w:r>
          </w:p>
        </w:tc>
        <w:tc>
          <w:tcPr>
            <w:tcW w:w="285" w:type="pct"/>
            <w:noWrap/>
            <w:vAlign w:val="center"/>
          </w:tcPr>
          <w:p w14:paraId="457377E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279</w:t>
            </w:r>
          </w:p>
        </w:tc>
        <w:tc>
          <w:tcPr>
            <w:tcW w:w="296" w:type="pct"/>
            <w:noWrap/>
            <w:vAlign w:val="center"/>
          </w:tcPr>
          <w:p w14:paraId="322FA4C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112</w:t>
            </w:r>
          </w:p>
        </w:tc>
        <w:tc>
          <w:tcPr>
            <w:tcW w:w="264" w:type="pct"/>
            <w:noWrap/>
            <w:vAlign w:val="center"/>
          </w:tcPr>
          <w:p w14:paraId="61A4924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56</w:t>
            </w:r>
          </w:p>
        </w:tc>
        <w:tc>
          <w:tcPr>
            <w:tcW w:w="264" w:type="pct"/>
            <w:noWrap/>
            <w:vAlign w:val="center"/>
          </w:tcPr>
          <w:p w14:paraId="2E18474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4664E42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1DA6420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19</w:t>
            </w:r>
          </w:p>
        </w:tc>
        <w:tc>
          <w:tcPr>
            <w:tcW w:w="280" w:type="pct"/>
            <w:noWrap/>
            <w:vAlign w:val="center"/>
          </w:tcPr>
          <w:p w14:paraId="557B986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940</w:t>
            </w:r>
          </w:p>
        </w:tc>
        <w:tc>
          <w:tcPr>
            <w:tcW w:w="120" w:type="pct"/>
            <w:noWrap/>
            <w:vAlign w:val="center"/>
          </w:tcPr>
          <w:p w14:paraId="5516E26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289A9DA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3362DF6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K1+460~K1+580</w:t>
            </w:r>
          </w:p>
        </w:tc>
        <w:tc>
          <w:tcPr>
            <w:tcW w:w="264" w:type="pct"/>
            <w:noWrap/>
            <w:vAlign w:val="center"/>
          </w:tcPr>
          <w:p w14:paraId="42B598A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120</w:t>
            </w:r>
          </w:p>
        </w:tc>
        <w:tc>
          <w:tcPr>
            <w:tcW w:w="164" w:type="pct"/>
            <w:noWrap/>
            <w:vAlign w:val="center"/>
          </w:tcPr>
          <w:p w14:paraId="363552C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634215C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49EDC6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7925CB2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3032300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7F97C34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367B4B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0.218</w:t>
            </w:r>
          </w:p>
        </w:tc>
        <w:tc>
          <w:tcPr>
            <w:tcW w:w="285" w:type="pct"/>
            <w:noWrap/>
            <w:vAlign w:val="center"/>
          </w:tcPr>
          <w:p w14:paraId="2A290CD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45</w:t>
            </w:r>
          </w:p>
        </w:tc>
        <w:tc>
          <w:tcPr>
            <w:tcW w:w="296" w:type="pct"/>
            <w:noWrap/>
            <w:vAlign w:val="center"/>
          </w:tcPr>
          <w:p w14:paraId="1E4B149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270</w:t>
            </w:r>
          </w:p>
        </w:tc>
        <w:tc>
          <w:tcPr>
            <w:tcW w:w="285" w:type="pct"/>
            <w:noWrap/>
            <w:vAlign w:val="center"/>
          </w:tcPr>
          <w:p w14:paraId="4DEBCF5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494</w:t>
            </w:r>
          </w:p>
        </w:tc>
        <w:tc>
          <w:tcPr>
            <w:tcW w:w="296" w:type="pct"/>
            <w:noWrap/>
            <w:vAlign w:val="center"/>
          </w:tcPr>
          <w:p w14:paraId="42345C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54</w:t>
            </w:r>
          </w:p>
        </w:tc>
        <w:tc>
          <w:tcPr>
            <w:tcW w:w="264" w:type="pct"/>
            <w:noWrap/>
            <w:vAlign w:val="center"/>
          </w:tcPr>
          <w:p w14:paraId="1344978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27</w:t>
            </w:r>
          </w:p>
        </w:tc>
        <w:tc>
          <w:tcPr>
            <w:tcW w:w="264" w:type="pct"/>
            <w:noWrap/>
            <w:vAlign w:val="center"/>
          </w:tcPr>
          <w:p w14:paraId="26C593C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7945968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033A2C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9</w:t>
            </w:r>
          </w:p>
        </w:tc>
        <w:tc>
          <w:tcPr>
            <w:tcW w:w="280" w:type="pct"/>
            <w:noWrap/>
            <w:vAlign w:val="center"/>
          </w:tcPr>
          <w:p w14:paraId="686209C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454</w:t>
            </w:r>
          </w:p>
        </w:tc>
        <w:tc>
          <w:tcPr>
            <w:tcW w:w="120" w:type="pct"/>
            <w:noWrap/>
            <w:vAlign w:val="center"/>
          </w:tcPr>
          <w:p w14:paraId="2353ABD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25E430DF">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0" w:hRule="atLeast"/>
          <w:jc w:val="center"/>
        </w:trPr>
        <w:tc>
          <w:tcPr>
            <w:tcW w:w="381" w:type="pct"/>
            <w:shd w:val="clear" w:color="auto" w:fill="auto"/>
            <w:noWrap/>
            <w:vAlign w:val="center"/>
          </w:tcPr>
          <w:p w14:paraId="17DD91B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K1+580~K1+750</w:t>
            </w:r>
          </w:p>
        </w:tc>
        <w:tc>
          <w:tcPr>
            <w:tcW w:w="264" w:type="pct"/>
            <w:noWrap/>
            <w:vAlign w:val="center"/>
          </w:tcPr>
          <w:p w14:paraId="54CC4F1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170</w:t>
            </w:r>
          </w:p>
        </w:tc>
        <w:tc>
          <w:tcPr>
            <w:tcW w:w="164" w:type="pct"/>
            <w:noWrap/>
            <w:vAlign w:val="center"/>
          </w:tcPr>
          <w:p w14:paraId="2F022B9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6026F18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0AD51B5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21B0527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505DDD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5B0D8FF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488CBCF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0.186</w:t>
            </w:r>
          </w:p>
        </w:tc>
        <w:tc>
          <w:tcPr>
            <w:tcW w:w="285" w:type="pct"/>
            <w:noWrap/>
            <w:vAlign w:val="center"/>
          </w:tcPr>
          <w:p w14:paraId="092A9C3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258</w:t>
            </w:r>
          </w:p>
        </w:tc>
        <w:tc>
          <w:tcPr>
            <w:tcW w:w="296" w:type="pct"/>
            <w:noWrap/>
            <w:vAlign w:val="center"/>
          </w:tcPr>
          <w:p w14:paraId="67E916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516</w:t>
            </w:r>
          </w:p>
        </w:tc>
        <w:tc>
          <w:tcPr>
            <w:tcW w:w="285" w:type="pct"/>
            <w:noWrap/>
            <w:vAlign w:val="center"/>
          </w:tcPr>
          <w:p w14:paraId="1862FF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1032</w:t>
            </w:r>
          </w:p>
        </w:tc>
        <w:tc>
          <w:tcPr>
            <w:tcW w:w="296" w:type="pct"/>
            <w:noWrap/>
            <w:vAlign w:val="center"/>
          </w:tcPr>
          <w:p w14:paraId="406108B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387</w:t>
            </w:r>
          </w:p>
        </w:tc>
        <w:tc>
          <w:tcPr>
            <w:tcW w:w="264" w:type="pct"/>
            <w:noWrap/>
            <w:vAlign w:val="center"/>
          </w:tcPr>
          <w:p w14:paraId="3A71E82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155</w:t>
            </w:r>
          </w:p>
        </w:tc>
        <w:tc>
          <w:tcPr>
            <w:tcW w:w="264" w:type="pct"/>
            <w:noWrap/>
            <w:vAlign w:val="center"/>
          </w:tcPr>
          <w:p w14:paraId="49FA838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6795968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40019CF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104</w:t>
            </w:r>
          </w:p>
        </w:tc>
        <w:tc>
          <w:tcPr>
            <w:tcW w:w="280" w:type="pct"/>
            <w:noWrap/>
            <w:vAlign w:val="center"/>
          </w:tcPr>
          <w:p w14:paraId="66D5B42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1278</w:t>
            </w:r>
          </w:p>
        </w:tc>
        <w:tc>
          <w:tcPr>
            <w:tcW w:w="120" w:type="pct"/>
            <w:noWrap/>
            <w:vAlign w:val="center"/>
          </w:tcPr>
          <w:p w14:paraId="7F8B389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7413D46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4AA6441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K2+420~K2+480</w:t>
            </w:r>
          </w:p>
        </w:tc>
        <w:tc>
          <w:tcPr>
            <w:tcW w:w="264" w:type="pct"/>
            <w:noWrap/>
            <w:vAlign w:val="center"/>
          </w:tcPr>
          <w:p w14:paraId="3A15D96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60</w:t>
            </w:r>
          </w:p>
        </w:tc>
        <w:tc>
          <w:tcPr>
            <w:tcW w:w="164" w:type="pct"/>
            <w:noWrap/>
            <w:vAlign w:val="center"/>
          </w:tcPr>
          <w:p w14:paraId="391268B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6333769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6FAFC7A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30438F6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33677AD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0D179A0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2C1A743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0.450</w:t>
            </w:r>
          </w:p>
        </w:tc>
        <w:tc>
          <w:tcPr>
            <w:tcW w:w="285" w:type="pct"/>
            <w:noWrap/>
            <w:vAlign w:val="center"/>
          </w:tcPr>
          <w:p w14:paraId="6DB14CF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6DD64F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1456243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56ABDA9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159DABA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473207E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0C17D95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6474538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78FD87A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120" w:type="pct"/>
            <w:noWrap/>
            <w:vAlign w:val="center"/>
          </w:tcPr>
          <w:p w14:paraId="3929CF6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1401D959">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16DE29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K2+480~K2+520</w:t>
            </w:r>
          </w:p>
        </w:tc>
        <w:tc>
          <w:tcPr>
            <w:tcW w:w="264" w:type="pct"/>
            <w:noWrap/>
            <w:vAlign w:val="center"/>
          </w:tcPr>
          <w:p w14:paraId="1A7664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40</w:t>
            </w:r>
          </w:p>
        </w:tc>
        <w:tc>
          <w:tcPr>
            <w:tcW w:w="164" w:type="pct"/>
            <w:noWrap/>
            <w:vAlign w:val="center"/>
          </w:tcPr>
          <w:p w14:paraId="06EA37B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43AF809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4042E6D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55F6CC2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67F381F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475B4B8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7D7CB10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5751F92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2474044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555CE75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1D5B4DD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54CBF5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D0331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62474E7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20F76CF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45</w:t>
            </w:r>
          </w:p>
        </w:tc>
        <w:tc>
          <w:tcPr>
            <w:tcW w:w="280" w:type="pct"/>
            <w:noWrap/>
            <w:vAlign w:val="center"/>
          </w:tcPr>
          <w:p w14:paraId="0586B2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45</w:t>
            </w:r>
          </w:p>
        </w:tc>
        <w:tc>
          <w:tcPr>
            <w:tcW w:w="120" w:type="pct"/>
            <w:noWrap/>
            <w:vAlign w:val="center"/>
          </w:tcPr>
          <w:p w14:paraId="66C4A58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39A2FC3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5FB95EC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K2+520~K2+530</w:t>
            </w:r>
          </w:p>
        </w:tc>
        <w:tc>
          <w:tcPr>
            <w:tcW w:w="264" w:type="pct"/>
            <w:noWrap/>
            <w:vAlign w:val="center"/>
          </w:tcPr>
          <w:p w14:paraId="166226B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w:t>
            </w:r>
          </w:p>
        </w:tc>
        <w:tc>
          <w:tcPr>
            <w:tcW w:w="164" w:type="pct"/>
            <w:noWrap/>
            <w:vAlign w:val="center"/>
          </w:tcPr>
          <w:p w14:paraId="355D2C6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015562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3413D2C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78A235F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68B8949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6039CB9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2BFE1E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0.230</w:t>
            </w:r>
          </w:p>
        </w:tc>
        <w:tc>
          <w:tcPr>
            <w:tcW w:w="285" w:type="pct"/>
            <w:noWrap/>
            <w:vAlign w:val="center"/>
          </w:tcPr>
          <w:p w14:paraId="3988D6C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616C0AC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2AFA51A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6C74D51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63F90E9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55F3C4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37572A2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040DB0F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0" w:type="pct"/>
            <w:noWrap/>
            <w:vAlign w:val="center"/>
          </w:tcPr>
          <w:p w14:paraId="74C65C0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120" w:type="pct"/>
            <w:noWrap/>
            <w:vAlign w:val="center"/>
          </w:tcPr>
          <w:p w14:paraId="420F13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6B9C6223">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4D8DDB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K4+900~K4+920</w:t>
            </w:r>
          </w:p>
        </w:tc>
        <w:tc>
          <w:tcPr>
            <w:tcW w:w="264" w:type="pct"/>
            <w:noWrap/>
            <w:vAlign w:val="center"/>
          </w:tcPr>
          <w:p w14:paraId="7D3EAB6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w:t>
            </w:r>
          </w:p>
        </w:tc>
        <w:tc>
          <w:tcPr>
            <w:tcW w:w="164" w:type="pct"/>
            <w:noWrap/>
            <w:vAlign w:val="center"/>
          </w:tcPr>
          <w:p w14:paraId="0293A15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2C34D36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564EE38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19498DE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58ED82A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7382B25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78E5325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6986D07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w:t>
            </w:r>
          </w:p>
        </w:tc>
        <w:tc>
          <w:tcPr>
            <w:tcW w:w="296" w:type="pct"/>
            <w:noWrap/>
            <w:vAlign w:val="center"/>
          </w:tcPr>
          <w:p w14:paraId="679AFF5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73A73CA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19A644C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7E4C895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FA2293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65176DA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2A16209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1088BB0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0.5</w:t>
            </w:r>
          </w:p>
        </w:tc>
        <w:tc>
          <w:tcPr>
            <w:tcW w:w="120" w:type="pct"/>
            <w:noWrap/>
            <w:vAlign w:val="center"/>
          </w:tcPr>
          <w:p w14:paraId="2A03DD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0FAD72D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shd w:val="clear" w:color="auto" w:fill="auto"/>
            <w:noWrap/>
            <w:vAlign w:val="center"/>
          </w:tcPr>
          <w:p w14:paraId="62F0A1D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K5+905~K5+915</w:t>
            </w:r>
          </w:p>
        </w:tc>
        <w:tc>
          <w:tcPr>
            <w:tcW w:w="264" w:type="pct"/>
            <w:noWrap/>
            <w:vAlign w:val="center"/>
          </w:tcPr>
          <w:p w14:paraId="1019981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w:t>
            </w:r>
          </w:p>
        </w:tc>
        <w:tc>
          <w:tcPr>
            <w:tcW w:w="164" w:type="pct"/>
            <w:noWrap/>
            <w:vAlign w:val="center"/>
          </w:tcPr>
          <w:p w14:paraId="2EA1AD3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137CE8A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5493F03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228BA65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5ADB899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75E19CC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220CC3E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0.210</w:t>
            </w:r>
          </w:p>
        </w:tc>
        <w:tc>
          <w:tcPr>
            <w:tcW w:w="285" w:type="pct"/>
            <w:noWrap/>
            <w:vAlign w:val="center"/>
          </w:tcPr>
          <w:p w14:paraId="690A57C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15</w:t>
            </w:r>
          </w:p>
        </w:tc>
        <w:tc>
          <w:tcPr>
            <w:tcW w:w="296" w:type="pct"/>
            <w:noWrap/>
            <w:vAlign w:val="center"/>
          </w:tcPr>
          <w:p w14:paraId="12524F7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047A3AF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1C4D840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2C20413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71E1B10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2934CF2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959BA6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40A20FD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7.5</w:t>
            </w:r>
          </w:p>
        </w:tc>
        <w:tc>
          <w:tcPr>
            <w:tcW w:w="120" w:type="pct"/>
            <w:noWrap/>
            <w:vAlign w:val="center"/>
          </w:tcPr>
          <w:p w14:paraId="3C55978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106CA94D">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5F8A823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小计</w:t>
            </w:r>
          </w:p>
        </w:tc>
        <w:tc>
          <w:tcPr>
            <w:tcW w:w="264" w:type="pct"/>
            <w:noWrap/>
            <w:vAlign w:val="center"/>
          </w:tcPr>
          <w:p w14:paraId="3683242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164" w:type="pct"/>
            <w:noWrap/>
            <w:vAlign w:val="center"/>
          </w:tcPr>
          <w:p w14:paraId="7BE7006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162212D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77C86A0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p>
        </w:tc>
        <w:tc>
          <w:tcPr>
            <w:tcW w:w="312" w:type="pct"/>
            <w:noWrap/>
            <w:vAlign w:val="center"/>
          </w:tcPr>
          <w:p w14:paraId="6840937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0E5CB59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780DDF4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244B8E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1.596</w:t>
            </w:r>
          </w:p>
        </w:tc>
        <w:tc>
          <w:tcPr>
            <w:tcW w:w="285" w:type="pct"/>
            <w:noWrap/>
            <w:vAlign w:val="center"/>
          </w:tcPr>
          <w:p w14:paraId="7CAB774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644</w:t>
            </w:r>
          </w:p>
        </w:tc>
        <w:tc>
          <w:tcPr>
            <w:tcW w:w="296" w:type="pct"/>
            <w:noWrap/>
            <w:vAlign w:val="center"/>
          </w:tcPr>
          <w:p w14:paraId="46A7D35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1902</w:t>
            </w:r>
          </w:p>
        </w:tc>
        <w:tc>
          <w:tcPr>
            <w:tcW w:w="285" w:type="pct"/>
            <w:noWrap/>
            <w:vAlign w:val="center"/>
          </w:tcPr>
          <w:p w14:paraId="03315B3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1805</w:t>
            </w:r>
          </w:p>
        </w:tc>
        <w:tc>
          <w:tcPr>
            <w:tcW w:w="296" w:type="pct"/>
            <w:noWrap/>
            <w:vAlign w:val="center"/>
          </w:tcPr>
          <w:p w14:paraId="0F05C20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659</w:t>
            </w:r>
          </w:p>
        </w:tc>
        <w:tc>
          <w:tcPr>
            <w:tcW w:w="264" w:type="pct"/>
            <w:noWrap/>
            <w:vAlign w:val="center"/>
          </w:tcPr>
          <w:p w14:paraId="68B2919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2059</w:t>
            </w:r>
          </w:p>
        </w:tc>
        <w:tc>
          <w:tcPr>
            <w:tcW w:w="264" w:type="pct"/>
            <w:noWrap/>
            <w:vAlign w:val="center"/>
          </w:tcPr>
          <w:p w14:paraId="6AA58CB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04866E8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522CB3E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386</w:t>
            </w:r>
          </w:p>
        </w:tc>
        <w:tc>
          <w:tcPr>
            <w:tcW w:w="280" w:type="pct"/>
            <w:noWrap/>
            <w:vAlign w:val="center"/>
          </w:tcPr>
          <w:p w14:paraId="71A9483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3921</w:t>
            </w:r>
          </w:p>
        </w:tc>
        <w:tc>
          <w:tcPr>
            <w:tcW w:w="120" w:type="pct"/>
            <w:noWrap/>
            <w:vAlign w:val="center"/>
          </w:tcPr>
          <w:p w14:paraId="7B14E68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35722C1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56EF0D2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连接线</w:t>
            </w:r>
          </w:p>
        </w:tc>
        <w:tc>
          <w:tcPr>
            <w:tcW w:w="264" w:type="pct"/>
            <w:noWrap/>
            <w:vAlign w:val="center"/>
          </w:tcPr>
          <w:p w14:paraId="23E6C37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164" w:type="pct"/>
            <w:noWrap/>
            <w:vAlign w:val="center"/>
          </w:tcPr>
          <w:p w14:paraId="6E7213F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33684C6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1AC833E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p>
        </w:tc>
        <w:tc>
          <w:tcPr>
            <w:tcW w:w="312" w:type="pct"/>
            <w:noWrap/>
            <w:vAlign w:val="center"/>
          </w:tcPr>
          <w:p w14:paraId="61020F7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12817B6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38B9AA2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4506750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0D14B32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38C3A81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54AF89A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7031B8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6EFF8D4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4F85F9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3751368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231B4B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7BB7E36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120" w:type="pct"/>
            <w:noWrap/>
            <w:vAlign w:val="center"/>
          </w:tcPr>
          <w:p w14:paraId="3719AA9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7615FB40">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2290512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LK0+150~LK0+190</w:t>
            </w:r>
          </w:p>
        </w:tc>
        <w:tc>
          <w:tcPr>
            <w:tcW w:w="264" w:type="pct"/>
            <w:noWrap/>
            <w:vAlign w:val="center"/>
          </w:tcPr>
          <w:p w14:paraId="31CE29E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40</w:t>
            </w:r>
          </w:p>
        </w:tc>
        <w:tc>
          <w:tcPr>
            <w:tcW w:w="164" w:type="pct"/>
            <w:noWrap/>
            <w:vAlign w:val="center"/>
          </w:tcPr>
          <w:p w14:paraId="3740BCE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0B17D86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7362910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0BAB12E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2F7EFC7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40A33A9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1881456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286CD78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3AA3C3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w:t>
            </w:r>
          </w:p>
        </w:tc>
        <w:tc>
          <w:tcPr>
            <w:tcW w:w="285" w:type="pct"/>
            <w:noWrap/>
            <w:vAlign w:val="center"/>
          </w:tcPr>
          <w:p w14:paraId="29F59CB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7B36C6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2D716F4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2A3155C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5602C8B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0C4F2D1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w:t>
            </w:r>
          </w:p>
        </w:tc>
        <w:tc>
          <w:tcPr>
            <w:tcW w:w="280" w:type="pct"/>
            <w:noWrap/>
            <w:vAlign w:val="center"/>
          </w:tcPr>
          <w:p w14:paraId="104BBFE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7.5</w:t>
            </w:r>
          </w:p>
        </w:tc>
        <w:tc>
          <w:tcPr>
            <w:tcW w:w="120" w:type="pct"/>
            <w:noWrap/>
            <w:vAlign w:val="center"/>
          </w:tcPr>
          <w:p w14:paraId="283CA56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18274986">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29B41D5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K0+000起点处G332渠化及交叉</w:t>
            </w:r>
          </w:p>
        </w:tc>
        <w:tc>
          <w:tcPr>
            <w:tcW w:w="264" w:type="pct"/>
            <w:noWrap/>
            <w:vAlign w:val="center"/>
          </w:tcPr>
          <w:p w14:paraId="7AF3FCA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164" w:type="pct"/>
            <w:noWrap/>
            <w:vAlign w:val="center"/>
          </w:tcPr>
          <w:p w14:paraId="318751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5F8DBB4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3BB3EA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p>
        </w:tc>
        <w:tc>
          <w:tcPr>
            <w:tcW w:w="312" w:type="pct"/>
            <w:noWrap/>
            <w:vAlign w:val="center"/>
          </w:tcPr>
          <w:p w14:paraId="490078E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163132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43" w:type="pct"/>
            <w:noWrap/>
            <w:vAlign w:val="center"/>
          </w:tcPr>
          <w:p w14:paraId="20EB5DE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73" w:type="pct"/>
            <w:noWrap/>
            <w:vAlign w:val="center"/>
          </w:tcPr>
          <w:p w14:paraId="171AF7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85" w:type="pct"/>
            <w:noWrap/>
            <w:vAlign w:val="center"/>
          </w:tcPr>
          <w:p w14:paraId="3F1329A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96" w:type="pct"/>
            <w:noWrap/>
            <w:vAlign w:val="center"/>
          </w:tcPr>
          <w:p w14:paraId="3FE970F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46CF530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96" w:type="pct"/>
            <w:noWrap/>
            <w:vAlign w:val="center"/>
          </w:tcPr>
          <w:p w14:paraId="29EE48B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398E41B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049A6B3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58BBD49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634B7B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13858B5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120" w:type="pct"/>
            <w:noWrap/>
            <w:vAlign w:val="center"/>
          </w:tcPr>
          <w:p w14:paraId="2BBB631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67592FA2">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4887F56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K0+000</w:t>
            </w:r>
          </w:p>
        </w:tc>
        <w:tc>
          <w:tcPr>
            <w:tcW w:w="264" w:type="pct"/>
            <w:noWrap/>
            <w:vAlign w:val="center"/>
          </w:tcPr>
          <w:p w14:paraId="711BFC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164" w:type="pct"/>
            <w:noWrap/>
            <w:vAlign w:val="center"/>
          </w:tcPr>
          <w:p w14:paraId="7B95C27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5DB541E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6B6E048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bidi="ar-SA"/>
              </w:rPr>
            </w:pPr>
            <w:r>
              <w:rPr>
                <w:rFonts w:hint="eastAsia" w:cs="宋体"/>
                <w:color w:val="000000" w:themeColor="text1"/>
                <w:kern w:val="0"/>
                <w:sz w:val="21"/>
                <w:szCs w:val="21"/>
                <w:highlight w:val="none"/>
                <w:lang w:val="en-US" w:eastAsia="zh-CN"/>
              </w:rPr>
              <w:t>宝泉岭</w:t>
            </w:r>
          </w:p>
        </w:tc>
        <w:tc>
          <w:tcPr>
            <w:tcW w:w="312" w:type="pct"/>
            <w:noWrap/>
            <w:vAlign w:val="center"/>
          </w:tcPr>
          <w:p w14:paraId="7D32D9E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03D6BBD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0.330</w:t>
            </w:r>
          </w:p>
        </w:tc>
        <w:tc>
          <w:tcPr>
            <w:tcW w:w="243" w:type="pct"/>
            <w:noWrap/>
            <w:vAlign w:val="center"/>
          </w:tcPr>
          <w:p w14:paraId="66F38C6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0.011</w:t>
            </w:r>
          </w:p>
        </w:tc>
        <w:tc>
          <w:tcPr>
            <w:tcW w:w="273" w:type="pct"/>
            <w:noWrap/>
            <w:vAlign w:val="center"/>
          </w:tcPr>
          <w:p w14:paraId="6FD2928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193</w:t>
            </w:r>
          </w:p>
        </w:tc>
        <w:tc>
          <w:tcPr>
            <w:tcW w:w="285" w:type="pct"/>
            <w:noWrap/>
            <w:vAlign w:val="center"/>
          </w:tcPr>
          <w:p w14:paraId="370CDB0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102</w:t>
            </w:r>
          </w:p>
        </w:tc>
        <w:tc>
          <w:tcPr>
            <w:tcW w:w="296" w:type="pct"/>
            <w:noWrap/>
            <w:vAlign w:val="center"/>
          </w:tcPr>
          <w:p w14:paraId="69447E3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5" w:type="pct"/>
            <w:noWrap/>
            <w:vAlign w:val="center"/>
          </w:tcPr>
          <w:p w14:paraId="50E1739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3</w:t>
            </w:r>
          </w:p>
        </w:tc>
        <w:tc>
          <w:tcPr>
            <w:tcW w:w="296" w:type="pct"/>
            <w:noWrap/>
            <w:vAlign w:val="center"/>
          </w:tcPr>
          <w:p w14:paraId="0659474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264" w:type="pct"/>
            <w:noWrap/>
            <w:vAlign w:val="center"/>
          </w:tcPr>
          <w:p w14:paraId="4F4D6E0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2AFA6D5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2BDF18C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1C95B9B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13</w:t>
            </w:r>
          </w:p>
        </w:tc>
        <w:tc>
          <w:tcPr>
            <w:tcW w:w="280" w:type="pct"/>
            <w:noWrap/>
            <w:vAlign w:val="center"/>
          </w:tcPr>
          <w:p w14:paraId="3818227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162</w:t>
            </w:r>
          </w:p>
        </w:tc>
        <w:tc>
          <w:tcPr>
            <w:tcW w:w="120" w:type="pct"/>
            <w:noWrap/>
            <w:vAlign w:val="center"/>
          </w:tcPr>
          <w:p w14:paraId="0D35346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r w14:paraId="3DF51FDC">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39" w:hRule="atLeast"/>
          <w:jc w:val="center"/>
        </w:trPr>
        <w:tc>
          <w:tcPr>
            <w:tcW w:w="381" w:type="pct"/>
            <w:noWrap/>
            <w:vAlign w:val="center"/>
          </w:tcPr>
          <w:p w14:paraId="7F0749F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合计</w:t>
            </w:r>
          </w:p>
        </w:tc>
        <w:tc>
          <w:tcPr>
            <w:tcW w:w="264" w:type="pct"/>
            <w:noWrap/>
            <w:vAlign w:val="center"/>
          </w:tcPr>
          <w:p w14:paraId="6B1A00D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164" w:type="pct"/>
            <w:noWrap/>
            <w:vAlign w:val="center"/>
          </w:tcPr>
          <w:p w14:paraId="04B6D8E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158" w:type="pct"/>
            <w:noWrap/>
            <w:vAlign w:val="center"/>
          </w:tcPr>
          <w:p w14:paraId="4D3DB2B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p>
        </w:tc>
        <w:tc>
          <w:tcPr>
            <w:tcW w:w="306" w:type="pct"/>
            <w:shd w:val="clear" w:color="auto" w:fill="auto"/>
            <w:noWrap/>
            <w:vAlign w:val="center"/>
          </w:tcPr>
          <w:p w14:paraId="3070CB8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cs="宋体"/>
                <w:color w:val="000000" w:themeColor="text1"/>
                <w:kern w:val="0"/>
                <w:sz w:val="21"/>
                <w:szCs w:val="21"/>
                <w:highlight w:val="none"/>
                <w:lang w:val="en-US" w:eastAsia="zh-CN"/>
              </w:rPr>
            </w:pPr>
          </w:p>
        </w:tc>
        <w:tc>
          <w:tcPr>
            <w:tcW w:w="312" w:type="pct"/>
            <w:noWrap/>
            <w:vAlign w:val="center"/>
          </w:tcPr>
          <w:p w14:paraId="30E897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55" w:type="pct"/>
            <w:noWrap/>
            <w:vAlign w:val="center"/>
          </w:tcPr>
          <w:p w14:paraId="2E33E51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0.330</w:t>
            </w:r>
          </w:p>
        </w:tc>
        <w:tc>
          <w:tcPr>
            <w:tcW w:w="243" w:type="pct"/>
            <w:noWrap/>
            <w:vAlign w:val="center"/>
          </w:tcPr>
          <w:p w14:paraId="496A51B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1.607</w:t>
            </w:r>
          </w:p>
        </w:tc>
        <w:tc>
          <w:tcPr>
            <w:tcW w:w="273" w:type="pct"/>
            <w:noWrap/>
            <w:vAlign w:val="center"/>
          </w:tcPr>
          <w:p w14:paraId="4635DED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837</w:t>
            </w:r>
          </w:p>
        </w:tc>
        <w:tc>
          <w:tcPr>
            <w:tcW w:w="285" w:type="pct"/>
            <w:noWrap/>
            <w:vAlign w:val="center"/>
          </w:tcPr>
          <w:p w14:paraId="6DD2F5F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2007</w:t>
            </w:r>
          </w:p>
        </w:tc>
        <w:tc>
          <w:tcPr>
            <w:tcW w:w="296" w:type="pct"/>
            <w:noWrap/>
            <w:vAlign w:val="center"/>
          </w:tcPr>
          <w:p w14:paraId="0D82CE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1805</w:t>
            </w:r>
          </w:p>
        </w:tc>
        <w:tc>
          <w:tcPr>
            <w:tcW w:w="285" w:type="pct"/>
            <w:noWrap/>
            <w:vAlign w:val="center"/>
          </w:tcPr>
          <w:p w14:paraId="16DF7F9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662</w:t>
            </w:r>
          </w:p>
        </w:tc>
        <w:tc>
          <w:tcPr>
            <w:tcW w:w="296" w:type="pct"/>
            <w:noWrap/>
            <w:vAlign w:val="center"/>
          </w:tcPr>
          <w:p w14:paraId="2238857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eastAsia="宋体"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2059</w:t>
            </w:r>
          </w:p>
        </w:tc>
        <w:tc>
          <w:tcPr>
            <w:tcW w:w="264" w:type="pct"/>
            <w:noWrap/>
            <w:vAlign w:val="center"/>
          </w:tcPr>
          <w:p w14:paraId="7E95DC3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597A04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80" w:type="pct"/>
            <w:noWrap/>
            <w:vAlign w:val="center"/>
          </w:tcPr>
          <w:p w14:paraId="2DB8196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c>
          <w:tcPr>
            <w:tcW w:w="264" w:type="pct"/>
            <w:noWrap/>
            <w:vAlign w:val="center"/>
          </w:tcPr>
          <w:p w14:paraId="37BDD81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405</w:t>
            </w:r>
          </w:p>
        </w:tc>
        <w:tc>
          <w:tcPr>
            <w:tcW w:w="280" w:type="pct"/>
            <w:noWrap/>
            <w:vAlign w:val="center"/>
          </w:tcPr>
          <w:p w14:paraId="429FB2F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cs="宋体"/>
                <w:color w:val="000000" w:themeColor="text1"/>
                <w:kern w:val="0"/>
                <w:sz w:val="21"/>
                <w:szCs w:val="21"/>
                <w:highlight w:val="none"/>
                <w:lang w:val="en-US" w:eastAsia="zh-CN"/>
              </w:rPr>
            </w:pPr>
            <w:r>
              <w:rPr>
                <w:rFonts w:hint="eastAsia" w:cs="宋体"/>
                <w:color w:val="000000" w:themeColor="text1"/>
                <w:kern w:val="0"/>
                <w:sz w:val="21"/>
                <w:szCs w:val="21"/>
                <w:highlight w:val="none"/>
                <w:lang w:val="en-US" w:eastAsia="zh-CN"/>
              </w:rPr>
              <w:t>4090</w:t>
            </w:r>
          </w:p>
        </w:tc>
        <w:tc>
          <w:tcPr>
            <w:tcW w:w="120" w:type="pct"/>
            <w:noWrap/>
            <w:vAlign w:val="center"/>
          </w:tcPr>
          <w:p w14:paraId="135B532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eastAsia="宋体" w:cs="宋体"/>
                <w:color w:val="000000" w:themeColor="text1"/>
                <w:kern w:val="0"/>
                <w:sz w:val="21"/>
                <w:szCs w:val="21"/>
                <w:highlight w:val="none"/>
                <w:lang w:val="en-US" w:eastAsia="zh-CN"/>
              </w:rPr>
            </w:pPr>
          </w:p>
        </w:tc>
      </w:tr>
    </w:tbl>
    <w:p w14:paraId="6ABD4DC8">
      <w:pPr>
        <w:pStyle w:val="42"/>
        <w:pageBreakBefore w:val="0"/>
        <w:wordWrap/>
        <w:topLinePunct w:val="0"/>
        <w:bidi w:val="0"/>
        <w:spacing w:line="360" w:lineRule="auto"/>
        <w:rPr>
          <w:rFonts w:ascii="Times New Roman" w:eastAsia="宋体"/>
          <w:b/>
          <w:color w:val="000000" w:themeColor="text1"/>
          <w:highlight w:val="none"/>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74899140">
      <w:pPr>
        <w:pStyle w:val="4"/>
        <w:pageBreakBefore w:val="0"/>
        <w:wordWrap/>
        <w:topLinePunct w:val="0"/>
        <w:bidi w:val="0"/>
        <w:spacing w:before="156" w:line="360" w:lineRule="auto"/>
        <w:rPr>
          <w:color w:val="000000" w:themeColor="text1"/>
          <w:highlight w:val="none"/>
        </w:rPr>
      </w:pPr>
      <w:bookmarkStart w:id="262" w:name="_Toc16895"/>
      <w:bookmarkStart w:id="263" w:name="_Toc318879390"/>
      <w:bookmarkStart w:id="264" w:name="_Toc19387"/>
      <w:r>
        <w:rPr>
          <w:rFonts w:hint="eastAsia"/>
          <w:color w:val="000000" w:themeColor="text1"/>
          <w:highlight w:val="none"/>
        </w:rPr>
        <w:t>3.1.1</w:t>
      </w:r>
      <w:r>
        <w:rPr>
          <w:rFonts w:hint="eastAsia"/>
          <w:color w:val="000000" w:themeColor="text1"/>
          <w:highlight w:val="none"/>
          <w:lang w:val="en-US" w:eastAsia="zh-CN"/>
        </w:rPr>
        <w:t>2土石方平衡</w:t>
      </w:r>
    </w:p>
    <w:bookmarkEnd w:id="262"/>
    <w:bookmarkEnd w:id="263"/>
    <w:bookmarkEnd w:id="264"/>
    <w:p w14:paraId="1FBF996D">
      <w:pPr>
        <w:pageBreakBefore w:val="0"/>
        <w:wordWrap/>
        <w:topLinePunct w:val="0"/>
        <w:bidi w:val="0"/>
        <w:spacing w:line="360" w:lineRule="auto"/>
        <w:rPr>
          <w:snapToGrid w:val="0"/>
          <w:color w:val="000000" w:themeColor="text1"/>
          <w:kern w:val="0"/>
          <w:highlight w:val="none"/>
        </w:rPr>
      </w:pPr>
      <w:r>
        <w:rPr>
          <w:rFonts w:hint="eastAsia"/>
          <w:color w:val="000000" w:themeColor="text1"/>
          <w:highlight w:val="none"/>
          <w:lang w:val="en-US" w:eastAsia="zh-CN"/>
        </w:rPr>
        <w:t>本项目</w:t>
      </w:r>
      <w:r>
        <w:rPr>
          <w:rFonts w:hint="eastAsia"/>
          <w:color w:val="000000" w:themeColor="text1"/>
          <w:sz w:val="24"/>
          <w:szCs w:val="24"/>
          <w:highlight w:val="none"/>
          <w:lang w:val="en-US" w:eastAsia="zh-CN"/>
        </w:rPr>
        <w:t>土石方总量为28.71万m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，其中挖方10.77万m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（其中剥离表土4.24万m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），利用方4.47万m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，填方17.94万m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（其中表土回覆0.93万m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），借方13.37万m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，主要为路基填筑碎石及砂石等，</w:t>
      </w:r>
      <w:r>
        <w:rPr>
          <w:rFonts w:hint="eastAsia" w:ascii="Times New Roman" w:hAnsi="Times New Roman" w:cs="Times New Roman"/>
          <w:color w:val="000000" w:themeColor="text1"/>
          <w:highlight w:val="none"/>
          <w:lang w:val="en-US" w:eastAsia="zh-CN"/>
        </w:rPr>
        <w:t>由</w:t>
      </w:r>
      <w:r>
        <w:rPr>
          <w:rFonts w:hint="eastAsia" w:cs="Times New Roman"/>
          <w:color w:val="000000" w:themeColor="text1"/>
          <w:highlight w:val="none"/>
          <w:lang w:val="en-US" w:eastAsia="zh-CN"/>
        </w:rPr>
        <w:t>萝北县大平石材加工有限公司提供，表土余方3.31万m</w:t>
      </w:r>
      <w:r>
        <w:rPr>
          <w:rFonts w:hint="eastAsia" w:cs="Times New Roman"/>
          <w:color w:val="000000" w:themeColor="text1"/>
          <w:highlight w:val="none"/>
          <w:vertAlign w:val="superscript"/>
          <w:lang w:val="en-US" w:eastAsia="zh-CN"/>
        </w:rPr>
        <w:t>3</w:t>
      </w:r>
      <w:r>
        <w:rPr>
          <w:rFonts w:hint="eastAsia" w:cs="Times New Roman"/>
          <w:color w:val="000000" w:themeColor="text1"/>
          <w:highlight w:val="none"/>
          <w:vertAlign w:val="baseline"/>
          <w:lang w:val="en-US" w:eastAsia="zh-CN"/>
        </w:rPr>
        <w:t>，</w:t>
      </w:r>
      <w:r>
        <w:rPr>
          <w:rFonts w:hint="eastAsia"/>
          <w:color w:val="000000" w:themeColor="text1"/>
          <w:sz w:val="24"/>
          <w:szCs w:val="24"/>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vertAlign w:val="baseline"/>
          <w:lang w:val="en-US" w:eastAsia="zh-CN"/>
        </w:rPr>
        <w:t>全部运至志成村弃渣场，用于对弃渣场内废弃坑塘进行填筑、平整</w:t>
      </w:r>
      <w:r>
        <w:rPr>
          <w:rFonts w:hint="eastAsia"/>
          <w:color w:val="000000" w:themeColor="text1"/>
          <w:sz w:val="24"/>
          <w:szCs w:val="24"/>
          <w:highlight w:val="none"/>
          <w:lang w:val="en-US" w:eastAsia="zh-CN"/>
        </w:rPr>
        <w:t>。</w:t>
      </w:r>
      <w:r>
        <w:rPr>
          <w:snapToGrid w:val="0"/>
          <w:color w:val="000000" w:themeColor="text1"/>
          <w:kern w:val="0"/>
          <w:highlight w:val="none"/>
        </w:rPr>
        <w:t>全线土石方情况见表3.1-</w:t>
      </w:r>
      <w:r>
        <w:rPr>
          <w:rFonts w:hint="eastAsia"/>
          <w:snapToGrid w:val="0"/>
          <w:color w:val="000000" w:themeColor="text1"/>
          <w:kern w:val="0"/>
          <w:highlight w:val="none"/>
          <w:lang w:val="en-US" w:eastAsia="zh-CN"/>
        </w:rPr>
        <w:t>22</w:t>
      </w:r>
      <w:r>
        <w:rPr>
          <w:snapToGrid w:val="0"/>
          <w:color w:val="000000" w:themeColor="text1"/>
          <w:kern w:val="0"/>
          <w:highlight w:val="none"/>
        </w:rPr>
        <w:t>。</w:t>
      </w:r>
      <w:r>
        <w:rPr>
          <w:rFonts w:hint="eastAsia"/>
          <w:snapToGrid w:val="0"/>
          <w:color w:val="000000" w:themeColor="text1"/>
          <w:kern w:val="0"/>
          <w:highlight w:val="none"/>
        </w:rPr>
        <w:t>土方调配流程图见图3.1-</w:t>
      </w:r>
      <w:r>
        <w:rPr>
          <w:rFonts w:hint="eastAsia"/>
          <w:snapToGrid w:val="0"/>
          <w:color w:val="000000" w:themeColor="text1"/>
          <w:kern w:val="0"/>
          <w:highlight w:val="none"/>
          <w:lang w:val="en-US" w:eastAsia="zh-CN"/>
        </w:rPr>
        <w:t>7</w:t>
      </w:r>
      <w:r>
        <w:rPr>
          <w:rFonts w:hint="eastAsia"/>
          <w:snapToGrid w:val="0"/>
          <w:color w:val="000000" w:themeColor="text1"/>
          <w:kern w:val="0"/>
          <w:highlight w:val="none"/>
        </w:rPr>
        <w:t>。</w:t>
      </w:r>
    </w:p>
    <w:p w14:paraId="7C1441E1">
      <w:pPr>
        <w:pageBreakBefore w:val="0"/>
        <w:wordWrap/>
        <w:topLinePunct w:val="0"/>
        <w:bidi w:val="0"/>
        <w:spacing w:line="360" w:lineRule="auto"/>
        <w:ind w:firstLine="482"/>
        <w:jc w:val="center"/>
        <w:rPr>
          <w:b/>
          <w:color w:val="000000" w:themeColor="text1"/>
          <w:highlight w:val="none"/>
          <w:vertAlign w:val="superscript"/>
        </w:rPr>
      </w:pPr>
      <w:bookmarkStart w:id="265" w:name="_Hlk78182778"/>
      <w:r>
        <w:rPr>
          <w:b/>
          <w:color w:val="000000" w:themeColor="text1"/>
          <w:highlight w:val="none"/>
        </w:rPr>
        <w:t>表3.1-</w:t>
      </w:r>
      <w:r>
        <w:rPr>
          <w:rFonts w:hint="eastAsia"/>
          <w:b/>
          <w:color w:val="000000" w:themeColor="text1"/>
          <w:highlight w:val="none"/>
          <w:lang w:val="en-US" w:eastAsia="zh-CN"/>
        </w:rPr>
        <w:t>22</w:t>
      </w:r>
      <w:r>
        <w:rPr>
          <w:b/>
          <w:color w:val="000000" w:themeColor="text1"/>
          <w:highlight w:val="none"/>
        </w:rPr>
        <w:t xml:space="preserve"> </w:t>
      </w:r>
      <w:bookmarkStart w:id="266" w:name="_Hlk69302701"/>
      <w:r>
        <w:rPr>
          <w:rFonts w:hint="eastAsia"/>
          <w:b/>
          <w:color w:val="000000" w:themeColor="text1"/>
          <w:highlight w:val="none"/>
          <w:lang w:val="en-US" w:eastAsia="zh-CN"/>
        </w:rPr>
        <w:t xml:space="preserve"> </w:t>
      </w:r>
      <w:r>
        <w:rPr>
          <w:b/>
          <w:color w:val="000000" w:themeColor="text1"/>
          <w:highlight w:val="none"/>
        </w:rPr>
        <w:t>土石方平衡表    单位：</w:t>
      </w:r>
      <w:r>
        <w:rPr>
          <w:rFonts w:hint="eastAsia"/>
          <w:b/>
          <w:color w:val="000000" w:themeColor="text1"/>
          <w:highlight w:val="none"/>
        </w:rPr>
        <w:t>万</w:t>
      </w:r>
      <w:r>
        <w:rPr>
          <w:b/>
          <w:color w:val="000000" w:themeColor="text1"/>
          <w:highlight w:val="none"/>
        </w:rPr>
        <w:t>m</w:t>
      </w:r>
      <w:r>
        <w:rPr>
          <w:b/>
          <w:color w:val="000000" w:themeColor="text1"/>
          <w:highlight w:val="none"/>
          <w:vertAlign w:val="superscript"/>
        </w:rPr>
        <w:t>3</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15"/>
        <w:gridCol w:w="481"/>
        <w:gridCol w:w="894"/>
        <w:gridCol w:w="650"/>
        <w:gridCol w:w="670"/>
        <w:gridCol w:w="647"/>
        <w:gridCol w:w="583"/>
        <w:gridCol w:w="503"/>
        <w:gridCol w:w="585"/>
        <w:gridCol w:w="508"/>
        <w:gridCol w:w="689"/>
        <w:gridCol w:w="485"/>
        <w:gridCol w:w="586"/>
        <w:gridCol w:w="729"/>
      </w:tblGrid>
      <w:tr w14:paraId="16C6AB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pct"/>
            <w:gridSpan w:val="3"/>
            <w:vMerge w:val="restart"/>
            <w:tcBorders>
              <w:tl2br w:val="nil"/>
              <w:tr2bl w:val="nil"/>
            </w:tcBorders>
            <w:noWrap w:val="0"/>
            <w:vAlign w:val="center"/>
          </w:tcPr>
          <w:p w14:paraId="4299782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项目名称</w:t>
            </w:r>
          </w:p>
        </w:tc>
        <w:tc>
          <w:tcPr>
            <w:tcW w:w="381" w:type="pct"/>
            <w:vMerge w:val="restart"/>
            <w:tcBorders>
              <w:tl2br w:val="nil"/>
              <w:tr2bl w:val="nil"/>
            </w:tcBorders>
            <w:noWrap w:val="0"/>
            <w:vAlign w:val="center"/>
          </w:tcPr>
          <w:p w14:paraId="482D24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挖方</w:t>
            </w:r>
          </w:p>
        </w:tc>
        <w:tc>
          <w:tcPr>
            <w:tcW w:w="392" w:type="pct"/>
            <w:vMerge w:val="restart"/>
            <w:tcBorders>
              <w:tl2br w:val="nil"/>
              <w:tr2bl w:val="nil"/>
            </w:tcBorders>
            <w:noWrap w:val="0"/>
            <w:vAlign w:val="center"/>
          </w:tcPr>
          <w:p w14:paraId="59B993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利用方</w:t>
            </w:r>
          </w:p>
        </w:tc>
        <w:tc>
          <w:tcPr>
            <w:tcW w:w="379" w:type="pct"/>
            <w:vMerge w:val="restart"/>
            <w:tcBorders>
              <w:tl2br w:val="nil"/>
              <w:tr2bl w:val="nil"/>
            </w:tcBorders>
            <w:noWrap w:val="0"/>
            <w:vAlign w:val="center"/>
          </w:tcPr>
          <w:p w14:paraId="4BD74DC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填方</w:t>
            </w:r>
          </w:p>
        </w:tc>
        <w:tc>
          <w:tcPr>
            <w:tcW w:w="636" w:type="pct"/>
            <w:gridSpan w:val="2"/>
            <w:tcBorders>
              <w:tl2br w:val="nil"/>
              <w:tr2bl w:val="nil"/>
            </w:tcBorders>
            <w:noWrap w:val="0"/>
            <w:vAlign w:val="center"/>
          </w:tcPr>
          <w:p w14:paraId="0A60672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调出</w:t>
            </w:r>
          </w:p>
        </w:tc>
        <w:tc>
          <w:tcPr>
            <w:tcW w:w="641" w:type="pct"/>
            <w:gridSpan w:val="2"/>
            <w:tcBorders>
              <w:tl2br w:val="nil"/>
              <w:tr2bl w:val="nil"/>
            </w:tcBorders>
            <w:noWrap w:val="0"/>
            <w:vAlign w:val="center"/>
          </w:tcPr>
          <w:p w14:paraId="218C2F6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调入</w:t>
            </w:r>
          </w:p>
        </w:tc>
        <w:tc>
          <w:tcPr>
            <w:tcW w:w="688" w:type="pct"/>
            <w:gridSpan w:val="2"/>
            <w:tcBorders>
              <w:tl2br w:val="nil"/>
              <w:tr2bl w:val="nil"/>
            </w:tcBorders>
            <w:noWrap w:val="0"/>
            <w:vAlign w:val="center"/>
          </w:tcPr>
          <w:p w14:paraId="7A6CBD4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借方</w:t>
            </w:r>
          </w:p>
        </w:tc>
        <w:tc>
          <w:tcPr>
            <w:tcW w:w="771" w:type="pct"/>
            <w:gridSpan w:val="2"/>
            <w:tcBorders>
              <w:tl2br w:val="nil"/>
              <w:tr2bl w:val="nil"/>
            </w:tcBorders>
            <w:noWrap w:val="0"/>
            <w:vAlign w:val="center"/>
          </w:tcPr>
          <w:p w14:paraId="53325FC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余方</w:t>
            </w:r>
          </w:p>
        </w:tc>
      </w:tr>
      <w:tr w14:paraId="09F438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8" w:type="pct"/>
            <w:gridSpan w:val="3"/>
            <w:vMerge w:val="continue"/>
            <w:tcBorders>
              <w:tl2br w:val="nil"/>
              <w:tr2bl w:val="nil"/>
            </w:tcBorders>
            <w:noWrap w:val="0"/>
            <w:vAlign w:val="center"/>
          </w:tcPr>
          <w:p w14:paraId="7F8E4A0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81" w:type="pct"/>
            <w:vMerge w:val="continue"/>
            <w:tcBorders>
              <w:tl2br w:val="nil"/>
              <w:tr2bl w:val="nil"/>
            </w:tcBorders>
            <w:noWrap w:val="0"/>
            <w:vAlign w:val="center"/>
          </w:tcPr>
          <w:p w14:paraId="41B3326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92" w:type="pct"/>
            <w:vMerge w:val="continue"/>
            <w:tcBorders>
              <w:tl2br w:val="nil"/>
              <w:tr2bl w:val="nil"/>
            </w:tcBorders>
            <w:noWrap w:val="0"/>
            <w:vAlign w:val="center"/>
          </w:tcPr>
          <w:p w14:paraId="164413F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79" w:type="pct"/>
            <w:vMerge w:val="continue"/>
            <w:tcBorders>
              <w:tl2br w:val="nil"/>
              <w:tr2bl w:val="nil"/>
            </w:tcBorders>
            <w:noWrap w:val="0"/>
            <w:vAlign w:val="center"/>
          </w:tcPr>
          <w:p w14:paraId="6983D2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41" w:type="pct"/>
            <w:tcBorders>
              <w:tl2br w:val="nil"/>
              <w:tr2bl w:val="nil"/>
            </w:tcBorders>
            <w:noWrap w:val="0"/>
            <w:vAlign w:val="center"/>
          </w:tcPr>
          <w:p w14:paraId="24203A7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数量</w:t>
            </w:r>
          </w:p>
        </w:tc>
        <w:tc>
          <w:tcPr>
            <w:tcW w:w="295" w:type="pct"/>
            <w:tcBorders>
              <w:tl2br w:val="nil"/>
              <w:tr2bl w:val="nil"/>
            </w:tcBorders>
            <w:noWrap w:val="0"/>
            <w:vAlign w:val="center"/>
          </w:tcPr>
          <w:p w14:paraId="5B82D9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去向</w:t>
            </w:r>
          </w:p>
        </w:tc>
        <w:tc>
          <w:tcPr>
            <w:tcW w:w="343" w:type="pct"/>
            <w:tcBorders>
              <w:tl2br w:val="nil"/>
              <w:tr2bl w:val="nil"/>
            </w:tcBorders>
            <w:noWrap w:val="0"/>
            <w:vAlign w:val="center"/>
          </w:tcPr>
          <w:p w14:paraId="48AF4CA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数量</w:t>
            </w:r>
          </w:p>
        </w:tc>
        <w:tc>
          <w:tcPr>
            <w:tcW w:w="297" w:type="pct"/>
            <w:tcBorders>
              <w:tl2br w:val="nil"/>
              <w:tr2bl w:val="nil"/>
            </w:tcBorders>
            <w:noWrap w:val="0"/>
            <w:vAlign w:val="center"/>
          </w:tcPr>
          <w:p w14:paraId="0B166BA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来源</w:t>
            </w:r>
          </w:p>
        </w:tc>
        <w:tc>
          <w:tcPr>
            <w:tcW w:w="404" w:type="pct"/>
            <w:tcBorders>
              <w:tl2br w:val="nil"/>
              <w:tr2bl w:val="nil"/>
            </w:tcBorders>
            <w:noWrap w:val="0"/>
            <w:vAlign w:val="center"/>
          </w:tcPr>
          <w:p w14:paraId="75D3CFA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数量</w:t>
            </w:r>
          </w:p>
        </w:tc>
        <w:tc>
          <w:tcPr>
            <w:tcW w:w="284" w:type="pct"/>
            <w:tcBorders>
              <w:tl2br w:val="nil"/>
              <w:tr2bl w:val="nil"/>
            </w:tcBorders>
            <w:noWrap w:val="0"/>
            <w:vAlign w:val="center"/>
          </w:tcPr>
          <w:p w14:paraId="1F759F9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来源</w:t>
            </w:r>
          </w:p>
        </w:tc>
        <w:tc>
          <w:tcPr>
            <w:tcW w:w="343" w:type="pct"/>
            <w:tcBorders>
              <w:tl2br w:val="nil"/>
              <w:tr2bl w:val="nil"/>
            </w:tcBorders>
            <w:noWrap w:val="0"/>
            <w:vAlign w:val="center"/>
          </w:tcPr>
          <w:p w14:paraId="790F89E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数量</w:t>
            </w:r>
          </w:p>
        </w:tc>
        <w:tc>
          <w:tcPr>
            <w:tcW w:w="427" w:type="pct"/>
            <w:tcBorders>
              <w:tl2br w:val="nil"/>
              <w:tr2bl w:val="nil"/>
            </w:tcBorders>
            <w:noWrap w:val="0"/>
            <w:vAlign w:val="center"/>
          </w:tcPr>
          <w:p w14:paraId="07B23E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去向</w:t>
            </w:r>
          </w:p>
        </w:tc>
      </w:tr>
      <w:tr w14:paraId="42D428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2" w:type="pct"/>
            <w:vMerge w:val="restart"/>
            <w:tcBorders>
              <w:tl2br w:val="nil"/>
              <w:tr2bl w:val="nil"/>
            </w:tcBorders>
            <w:noWrap w:val="0"/>
            <w:vAlign w:val="center"/>
          </w:tcPr>
          <w:p w14:paraId="01ADF95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进场路工程区</w:t>
            </w:r>
          </w:p>
        </w:tc>
        <w:tc>
          <w:tcPr>
            <w:tcW w:w="282" w:type="pct"/>
            <w:vMerge w:val="restart"/>
            <w:tcBorders>
              <w:tl2br w:val="nil"/>
              <w:tr2bl w:val="nil"/>
            </w:tcBorders>
            <w:noWrap w:val="0"/>
            <w:vAlign w:val="center"/>
          </w:tcPr>
          <w:p w14:paraId="01A5326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道路工程区</w:t>
            </w:r>
          </w:p>
        </w:tc>
        <w:tc>
          <w:tcPr>
            <w:tcW w:w="524" w:type="pct"/>
            <w:tcBorders>
              <w:tl2br w:val="nil"/>
              <w:tr2bl w:val="nil"/>
            </w:tcBorders>
            <w:noWrap w:val="0"/>
            <w:vAlign w:val="center"/>
          </w:tcPr>
          <w:p w14:paraId="25F8E7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表土</w:t>
            </w:r>
            <w:r>
              <w:rPr>
                <w:rFonts w:hint="eastAsia" w:ascii="Times New Roman" w:hAnsi="Times New Roman" w:eastAsia="宋体" w:cs="宋体"/>
                <w:color w:val="000000" w:themeColor="text1"/>
                <w:kern w:val="0"/>
                <w:sz w:val="21"/>
                <w:szCs w:val="21"/>
                <w:highlight w:val="none"/>
                <w:lang w:val="en-US" w:eastAsia="zh-CN"/>
              </w:rPr>
              <w:t xml:space="preserve"> </w:t>
            </w:r>
          </w:p>
        </w:tc>
        <w:tc>
          <w:tcPr>
            <w:tcW w:w="381" w:type="pct"/>
            <w:tcBorders>
              <w:tl2br w:val="nil"/>
              <w:tr2bl w:val="nil"/>
            </w:tcBorders>
            <w:noWrap w:val="0"/>
            <w:vAlign w:val="center"/>
          </w:tcPr>
          <w:p w14:paraId="5DD4E3D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4</w:t>
            </w:r>
            <w:r>
              <w:rPr>
                <w:rFonts w:hint="eastAsia" w:ascii="Times New Roman" w:hAnsi="Times New Roman" w:eastAsia="宋体" w:cs="宋体"/>
                <w:color w:val="000000" w:themeColor="text1"/>
                <w:kern w:val="0"/>
                <w:sz w:val="21"/>
                <w:szCs w:val="21"/>
                <w:highlight w:val="none"/>
                <w:lang w:val="en-US" w:eastAsia="zh-CN"/>
              </w:rPr>
              <w:t>.00</w:t>
            </w:r>
          </w:p>
        </w:tc>
        <w:tc>
          <w:tcPr>
            <w:tcW w:w="392" w:type="pct"/>
            <w:tcBorders>
              <w:tl2br w:val="nil"/>
              <w:tr2bl w:val="nil"/>
            </w:tcBorders>
            <w:noWrap w:val="0"/>
            <w:vAlign w:val="center"/>
          </w:tcPr>
          <w:p w14:paraId="2FB40D9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0.64</w:t>
            </w:r>
          </w:p>
        </w:tc>
        <w:tc>
          <w:tcPr>
            <w:tcW w:w="379" w:type="pct"/>
            <w:tcBorders>
              <w:tl2br w:val="nil"/>
              <w:tr2bl w:val="nil"/>
            </w:tcBorders>
            <w:noWrap w:val="0"/>
            <w:vAlign w:val="center"/>
          </w:tcPr>
          <w:p w14:paraId="3AAFA33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0.64</w:t>
            </w:r>
          </w:p>
        </w:tc>
        <w:tc>
          <w:tcPr>
            <w:tcW w:w="341" w:type="pct"/>
            <w:tcBorders>
              <w:tl2br w:val="nil"/>
              <w:tr2bl w:val="nil"/>
            </w:tcBorders>
            <w:noWrap w:val="0"/>
            <w:vAlign w:val="center"/>
          </w:tcPr>
          <w:p w14:paraId="650BA7D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0.10</w:t>
            </w:r>
          </w:p>
        </w:tc>
        <w:tc>
          <w:tcPr>
            <w:tcW w:w="295" w:type="pct"/>
            <w:tcBorders>
              <w:tl2br w:val="nil"/>
              <w:tr2bl w:val="nil"/>
            </w:tcBorders>
            <w:noWrap w:val="0"/>
            <w:vAlign w:val="center"/>
          </w:tcPr>
          <w:p w14:paraId="1AA001C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弃渣场</w:t>
            </w:r>
          </w:p>
        </w:tc>
        <w:tc>
          <w:tcPr>
            <w:tcW w:w="343" w:type="pct"/>
            <w:tcBorders>
              <w:tl2br w:val="nil"/>
              <w:tr2bl w:val="nil"/>
            </w:tcBorders>
            <w:noWrap w:val="0"/>
            <w:vAlign w:val="center"/>
          </w:tcPr>
          <w:p w14:paraId="60F272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5800345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5643E61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4E336C8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533FF0E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3.26</w:t>
            </w:r>
          </w:p>
        </w:tc>
        <w:tc>
          <w:tcPr>
            <w:tcW w:w="427" w:type="pct"/>
            <w:tcBorders>
              <w:tl2br w:val="nil"/>
              <w:tr2bl w:val="nil"/>
            </w:tcBorders>
            <w:noWrap w:val="0"/>
            <w:vAlign w:val="center"/>
          </w:tcPr>
          <w:p w14:paraId="528883A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综合利用</w:t>
            </w:r>
          </w:p>
        </w:tc>
      </w:tr>
      <w:tr w14:paraId="323B96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2" w:type="pct"/>
            <w:vMerge w:val="continue"/>
            <w:tcBorders>
              <w:tl2br w:val="nil"/>
              <w:tr2bl w:val="nil"/>
            </w:tcBorders>
            <w:noWrap w:val="0"/>
            <w:vAlign w:val="center"/>
          </w:tcPr>
          <w:p w14:paraId="7E20373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282" w:type="pct"/>
            <w:vMerge w:val="continue"/>
            <w:tcBorders>
              <w:tl2br w:val="nil"/>
              <w:tr2bl w:val="nil"/>
            </w:tcBorders>
            <w:noWrap w:val="0"/>
            <w:vAlign w:val="center"/>
          </w:tcPr>
          <w:p w14:paraId="4C6BC02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524" w:type="pct"/>
            <w:tcBorders>
              <w:tl2br w:val="nil"/>
              <w:tr2bl w:val="nil"/>
            </w:tcBorders>
            <w:noWrap w:val="0"/>
            <w:vAlign w:val="center"/>
          </w:tcPr>
          <w:p w14:paraId="690AB03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zh-CN" w:eastAsia="zh-CN"/>
              </w:rPr>
            </w:pPr>
            <w:r>
              <w:rPr>
                <w:rFonts w:hint="eastAsia" w:ascii="Times New Roman" w:hAnsi="Times New Roman" w:eastAsia="宋体" w:cs="宋体"/>
                <w:color w:val="000000" w:themeColor="text1"/>
                <w:kern w:val="0"/>
                <w:sz w:val="21"/>
                <w:szCs w:val="21"/>
                <w:highlight w:val="none"/>
                <w:lang w:val="en-US" w:eastAsia="zh-CN"/>
              </w:rPr>
              <w:t>土石方</w:t>
            </w:r>
          </w:p>
        </w:tc>
        <w:tc>
          <w:tcPr>
            <w:tcW w:w="381" w:type="pct"/>
            <w:tcBorders>
              <w:tl2br w:val="nil"/>
              <w:tr2bl w:val="nil"/>
            </w:tcBorders>
            <w:noWrap w:val="0"/>
            <w:vAlign w:val="center"/>
          </w:tcPr>
          <w:p w14:paraId="37CC351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5.51</w:t>
            </w:r>
          </w:p>
        </w:tc>
        <w:tc>
          <w:tcPr>
            <w:tcW w:w="392" w:type="pct"/>
            <w:tcBorders>
              <w:tl2br w:val="nil"/>
              <w:tr2bl w:val="nil"/>
            </w:tcBorders>
            <w:noWrap w:val="0"/>
            <w:vAlign w:val="center"/>
          </w:tcPr>
          <w:p w14:paraId="416FC04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3.41</w:t>
            </w:r>
          </w:p>
        </w:tc>
        <w:tc>
          <w:tcPr>
            <w:tcW w:w="379" w:type="pct"/>
            <w:tcBorders>
              <w:tl2br w:val="nil"/>
              <w:tr2bl w:val="nil"/>
            </w:tcBorders>
            <w:noWrap w:val="0"/>
            <w:vAlign w:val="center"/>
          </w:tcPr>
          <w:p w14:paraId="7268026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16.71</w:t>
            </w:r>
          </w:p>
        </w:tc>
        <w:tc>
          <w:tcPr>
            <w:tcW w:w="341" w:type="pct"/>
            <w:tcBorders>
              <w:tl2br w:val="nil"/>
              <w:tr2bl w:val="nil"/>
            </w:tcBorders>
            <w:noWrap w:val="0"/>
            <w:vAlign w:val="center"/>
          </w:tcPr>
          <w:p w14:paraId="16E3077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1A6B7A6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2159432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153BF2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3A0B15E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13.30</w:t>
            </w:r>
          </w:p>
        </w:tc>
        <w:tc>
          <w:tcPr>
            <w:tcW w:w="284" w:type="pct"/>
            <w:tcBorders>
              <w:tl2br w:val="nil"/>
              <w:tr2bl w:val="nil"/>
            </w:tcBorders>
            <w:noWrap w:val="0"/>
            <w:vAlign w:val="center"/>
          </w:tcPr>
          <w:p w14:paraId="7EE1727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外购</w:t>
            </w:r>
          </w:p>
        </w:tc>
        <w:tc>
          <w:tcPr>
            <w:tcW w:w="343" w:type="pct"/>
            <w:tcBorders>
              <w:tl2br w:val="nil"/>
              <w:tr2bl w:val="nil"/>
            </w:tcBorders>
            <w:noWrap w:val="0"/>
            <w:vAlign w:val="center"/>
          </w:tcPr>
          <w:p w14:paraId="61EDDE1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2.10</w:t>
            </w:r>
          </w:p>
        </w:tc>
        <w:tc>
          <w:tcPr>
            <w:tcW w:w="427" w:type="pct"/>
            <w:tcBorders>
              <w:tl2br w:val="nil"/>
              <w:tr2bl w:val="nil"/>
            </w:tcBorders>
            <w:noWrap w:val="0"/>
            <w:vAlign w:val="center"/>
          </w:tcPr>
          <w:p w14:paraId="5FE2BA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弃渣场</w:t>
            </w:r>
          </w:p>
        </w:tc>
      </w:tr>
      <w:tr w14:paraId="37F163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2" w:type="pct"/>
            <w:vMerge w:val="continue"/>
            <w:tcBorders>
              <w:tl2br w:val="nil"/>
              <w:tr2bl w:val="nil"/>
            </w:tcBorders>
            <w:noWrap w:val="0"/>
            <w:vAlign w:val="center"/>
          </w:tcPr>
          <w:p w14:paraId="098FF41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282" w:type="pct"/>
            <w:vMerge w:val="restart"/>
            <w:tcBorders>
              <w:tl2br w:val="nil"/>
              <w:tr2bl w:val="nil"/>
            </w:tcBorders>
            <w:noWrap w:val="0"/>
            <w:vAlign w:val="center"/>
          </w:tcPr>
          <w:p w14:paraId="4C0D24E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桥涵工程区</w:t>
            </w:r>
          </w:p>
        </w:tc>
        <w:tc>
          <w:tcPr>
            <w:tcW w:w="524" w:type="pct"/>
            <w:tcBorders>
              <w:tl2br w:val="nil"/>
              <w:tr2bl w:val="nil"/>
            </w:tcBorders>
            <w:noWrap w:val="0"/>
            <w:vAlign w:val="center"/>
          </w:tcPr>
          <w:p w14:paraId="4BF5D4D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表土</w:t>
            </w:r>
          </w:p>
        </w:tc>
        <w:tc>
          <w:tcPr>
            <w:tcW w:w="381" w:type="pct"/>
            <w:tcBorders>
              <w:tl2br w:val="nil"/>
              <w:tr2bl w:val="nil"/>
            </w:tcBorders>
            <w:noWrap w:val="0"/>
            <w:vAlign w:val="center"/>
          </w:tcPr>
          <w:p w14:paraId="1C8C9EC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0.05</w:t>
            </w:r>
          </w:p>
        </w:tc>
        <w:tc>
          <w:tcPr>
            <w:tcW w:w="392" w:type="pct"/>
            <w:tcBorders>
              <w:tl2br w:val="nil"/>
              <w:tr2bl w:val="nil"/>
            </w:tcBorders>
            <w:noWrap w:val="0"/>
            <w:vAlign w:val="center"/>
          </w:tcPr>
          <w:p w14:paraId="0FDA943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79" w:type="pct"/>
            <w:tcBorders>
              <w:tl2br w:val="nil"/>
              <w:tr2bl w:val="nil"/>
            </w:tcBorders>
            <w:noWrap w:val="0"/>
            <w:vAlign w:val="center"/>
          </w:tcPr>
          <w:p w14:paraId="39CA330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41" w:type="pct"/>
            <w:tcBorders>
              <w:tl2br w:val="nil"/>
              <w:tr2bl w:val="nil"/>
            </w:tcBorders>
            <w:noWrap w:val="0"/>
            <w:vAlign w:val="center"/>
          </w:tcPr>
          <w:p w14:paraId="45CF31B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7A369C0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3CD8949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7072501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028F870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51B1BE5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154CD14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0.05</w:t>
            </w:r>
          </w:p>
        </w:tc>
        <w:tc>
          <w:tcPr>
            <w:tcW w:w="427" w:type="pct"/>
            <w:tcBorders>
              <w:tl2br w:val="nil"/>
              <w:tr2bl w:val="nil"/>
            </w:tcBorders>
            <w:noWrap w:val="0"/>
            <w:vAlign w:val="center"/>
          </w:tcPr>
          <w:p w14:paraId="26BF3DE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综合利用</w:t>
            </w:r>
          </w:p>
        </w:tc>
      </w:tr>
      <w:tr w14:paraId="6C5C9A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2" w:type="pct"/>
            <w:vMerge w:val="continue"/>
            <w:tcBorders>
              <w:tl2br w:val="nil"/>
              <w:tr2bl w:val="nil"/>
            </w:tcBorders>
            <w:noWrap w:val="0"/>
            <w:vAlign w:val="center"/>
          </w:tcPr>
          <w:p w14:paraId="3BB81AF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2" w:type="pct"/>
            <w:vMerge w:val="continue"/>
            <w:tcBorders>
              <w:tl2br w:val="nil"/>
              <w:tr2bl w:val="nil"/>
            </w:tcBorders>
            <w:noWrap w:val="0"/>
            <w:vAlign w:val="center"/>
          </w:tcPr>
          <w:p w14:paraId="5D2383F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524" w:type="pct"/>
            <w:tcBorders>
              <w:tl2br w:val="nil"/>
              <w:tr2bl w:val="nil"/>
            </w:tcBorders>
            <w:noWrap w:val="0"/>
            <w:vAlign w:val="center"/>
          </w:tcPr>
          <w:p w14:paraId="5B0EC70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土石方</w:t>
            </w:r>
          </w:p>
        </w:tc>
        <w:tc>
          <w:tcPr>
            <w:tcW w:w="381" w:type="pct"/>
            <w:tcBorders>
              <w:tl2br w:val="nil"/>
              <w:tr2bl w:val="nil"/>
            </w:tcBorders>
            <w:noWrap w:val="0"/>
            <w:vAlign w:val="center"/>
          </w:tcPr>
          <w:p w14:paraId="021CD0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0.79</w:t>
            </w:r>
          </w:p>
        </w:tc>
        <w:tc>
          <w:tcPr>
            <w:tcW w:w="392" w:type="pct"/>
            <w:tcBorders>
              <w:tl2br w:val="nil"/>
              <w:tr2bl w:val="nil"/>
            </w:tcBorders>
            <w:noWrap w:val="0"/>
            <w:vAlign w:val="center"/>
          </w:tcPr>
          <w:p w14:paraId="6CC8142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79" w:type="pct"/>
            <w:tcBorders>
              <w:tl2br w:val="nil"/>
              <w:tr2bl w:val="nil"/>
            </w:tcBorders>
            <w:noWrap w:val="0"/>
            <w:vAlign w:val="center"/>
          </w:tcPr>
          <w:p w14:paraId="2C22F92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0.07</w:t>
            </w:r>
          </w:p>
        </w:tc>
        <w:tc>
          <w:tcPr>
            <w:tcW w:w="341" w:type="pct"/>
            <w:tcBorders>
              <w:tl2br w:val="nil"/>
              <w:tr2bl w:val="nil"/>
            </w:tcBorders>
            <w:noWrap w:val="0"/>
            <w:vAlign w:val="center"/>
          </w:tcPr>
          <w:p w14:paraId="3D07CE9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5FDA64A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5222038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6058328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032B68E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0.07</w:t>
            </w:r>
          </w:p>
        </w:tc>
        <w:tc>
          <w:tcPr>
            <w:tcW w:w="284" w:type="pct"/>
            <w:tcBorders>
              <w:tl2br w:val="nil"/>
              <w:tr2bl w:val="nil"/>
            </w:tcBorders>
            <w:noWrap w:val="0"/>
            <w:vAlign w:val="center"/>
          </w:tcPr>
          <w:p w14:paraId="0891649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外购</w:t>
            </w:r>
          </w:p>
        </w:tc>
        <w:tc>
          <w:tcPr>
            <w:tcW w:w="343" w:type="pct"/>
            <w:tcBorders>
              <w:tl2br w:val="nil"/>
              <w:tr2bl w:val="nil"/>
            </w:tcBorders>
            <w:noWrap w:val="0"/>
            <w:vAlign w:val="center"/>
          </w:tcPr>
          <w:p w14:paraId="6E41601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0.79</w:t>
            </w:r>
          </w:p>
        </w:tc>
        <w:tc>
          <w:tcPr>
            <w:tcW w:w="427" w:type="pct"/>
            <w:tcBorders>
              <w:tl2br w:val="nil"/>
              <w:tr2bl w:val="nil"/>
            </w:tcBorders>
            <w:noWrap w:val="0"/>
            <w:vAlign w:val="center"/>
          </w:tcPr>
          <w:p w14:paraId="73C33B2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弃渣场</w:t>
            </w:r>
          </w:p>
        </w:tc>
      </w:tr>
      <w:tr w14:paraId="4AD30C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restart"/>
            <w:tcBorders>
              <w:tl2br w:val="nil"/>
              <w:tr2bl w:val="nil"/>
            </w:tcBorders>
            <w:noWrap w:val="0"/>
            <w:vAlign w:val="center"/>
          </w:tcPr>
          <w:p w14:paraId="4542FFA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施工便道区</w:t>
            </w:r>
          </w:p>
        </w:tc>
        <w:tc>
          <w:tcPr>
            <w:tcW w:w="524" w:type="pct"/>
            <w:tcBorders>
              <w:tl2br w:val="nil"/>
              <w:tr2bl w:val="nil"/>
            </w:tcBorders>
            <w:noWrap w:val="0"/>
            <w:vAlign w:val="center"/>
          </w:tcPr>
          <w:p w14:paraId="61F2310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表土</w:t>
            </w:r>
          </w:p>
        </w:tc>
        <w:tc>
          <w:tcPr>
            <w:tcW w:w="381" w:type="pct"/>
            <w:tcBorders>
              <w:tl2br w:val="nil"/>
              <w:tr2bl w:val="nil"/>
            </w:tcBorders>
            <w:noWrap w:val="0"/>
            <w:vAlign w:val="center"/>
          </w:tcPr>
          <w:p w14:paraId="18FC07D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0.19</w:t>
            </w:r>
          </w:p>
        </w:tc>
        <w:tc>
          <w:tcPr>
            <w:tcW w:w="392" w:type="pct"/>
            <w:tcBorders>
              <w:tl2br w:val="nil"/>
              <w:tr2bl w:val="nil"/>
            </w:tcBorders>
            <w:noWrap w:val="0"/>
            <w:vAlign w:val="center"/>
          </w:tcPr>
          <w:p w14:paraId="77428C5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0.19</w:t>
            </w:r>
          </w:p>
        </w:tc>
        <w:tc>
          <w:tcPr>
            <w:tcW w:w="379" w:type="pct"/>
            <w:tcBorders>
              <w:tl2br w:val="nil"/>
              <w:tr2bl w:val="nil"/>
            </w:tcBorders>
            <w:noWrap w:val="0"/>
            <w:vAlign w:val="center"/>
          </w:tcPr>
          <w:p w14:paraId="15BF387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0.19</w:t>
            </w:r>
          </w:p>
        </w:tc>
        <w:tc>
          <w:tcPr>
            <w:tcW w:w="341" w:type="pct"/>
            <w:tcBorders>
              <w:tl2br w:val="nil"/>
              <w:tr2bl w:val="nil"/>
            </w:tcBorders>
            <w:noWrap w:val="0"/>
            <w:vAlign w:val="center"/>
          </w:tcPr>
          <w:p w14:paraId="5236AB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36C2891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3B24FFC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06BE212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39E9D93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78796BE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5CBFAB8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27D10E0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7A4399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continue"/>
            <w:tcBorders>
              <w:tl2br w:val="nil"/>
              <w:tr2bl w:val="nil"/>
            </w:tcBorders>
            <w:noWrap w:val="0"/>
            <w:vAlign w:val="center"/>
          </w:tcPr>
          <w:p w14:paraId="7C84AE5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524" w:type="pct"/>
            <w:tcBorders>
              <w:tl2br w:val="nil"/>
              <w:tr2bl w:val="nil"/>
            </w:tcBorders>
            <w:noWrap w:val="0"/>
            <w:vAlign w:val="center"/>
          </w:tcPr>
          <w:p w14:paraId="03DE3AC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土石方</w:t>
            </w:r>
          </w:p>
        </w:tc>
        <w:tc>
          <w:tcPr>
            <w:tcW w:w="381" w:type="pct"/>
            <w:tcBorders>
              <w:tl2br w:val="nil"/>
              <w:tr2bl w:val="nil"/>
            </w:tcBorders>
            <w:noWrap w:val="0"/>
            <w:vAlign w:val="center"/>
          </w:tcPr>
          <w:p w14:paraId="3C4E3F0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0.01</w:t>
            </w:r>
          </w:p>
        </w:tc>
        <w:tc>
          <w:tcPr>
            <w:tcW w:w="392" w:type="pct"/>
            <w:tcBorders>
              <w:tl2br w:val="nil"/>
              <w:tr2bl w:val="nil"/>
            </w:tcBorders>
            <w:noWrap w:val="0"/>
            <w:vAlign w:val="center"/>
          </w:tcPr>
          <w:p w14:paraId="7AFD37A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0.01</w:t>
            </w:r>
          </w:p>
        </w:tc>
        <w:tc>
          <w:tcPr>
            <w:tcW w:w="379" w:type="pct"/>
            <w:tcBorders>
              <w:tl2br w:val="nil"/>
              <w:tr2bl w:val="nil"/>
            </w:tcBorders>
            <w:noWrap w:val="0"/>
            <w:vAlign w:val="center"/>
          </w:tcPr>
          <w:p w14:paraId="30FE666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0.01</w:t>
            </w:r>
          </w:p>
        </w:tc>
        <w:tc>
          <w:tcPr>
            <w:tcW w:w="341" w:type="pct"/>
            <w:tcBorders>
              <w:tl2br w:val="nil"/>
              <w:tr2bl w:val="nil"/>
            </w:tcBorders>
            <w:noWrap w:val="0"/>
            <w:vAlign w:val="center"/>
          </w:tcPr>
          <w:p w14:paraId="34B8CCC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023BDA4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79487F9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6FC3E40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02D4888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12A52ED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6E98EB6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2961DBA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1CBBFE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restart"/>
            <w:tcBorders>
              <w:tl2br w:val="nil"/>
              <w:tr2bl w:val="nil"/>
            </w:tcBorders>
            <w:noWrap w:val="0"/>
            <w:vAlign w:val="center"/>
          </w:tcPr>
          <w:p w14:paraId="2E19E8D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施工生产生活区</w:t>
            </w:r>
          </w:p>
        </w:tc>
        <w:tc>
          <w:tcPr>
            <w:tcW w:w="524" w:type="pct"/>
            <w:tcBorders>
              <w:tl2br w:val="nil"/>
              <w:tr2bl w:val="nil"/>
            </w:tcBorders>
            <w:noWrap w:val="0"/>
            <w:vAlign w:val="center"/>
          </w:tcPr>
          <w:p w14:paraId="615808F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表土</w:t>
            </w:r>
          </w:p>
        </w:tc>
        <w:tc>
          <w:tcPr>
            <w:tcW w:w="381" w:type="pct"/>
            <w:tcBorders>
              <w:tl2br w:val="nil"/>
              <w:tr2bl w:val="nil"/>
            </w:tcBorders>
            <w:noWrap w:val="0"/>
            <w:vAlign w:val="center"/>
          </w:tcPr>
          <w:p w14:paraId="60C9667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92" w:type="pct"/>
            <w:tcBorders>
              <w:tl2br w:val="nil"/>
              <w:tr2bl w:val="nil"/>
            </w:tcBorders>
            <w:noWrap w:val="0"/>
            <w:vAlign w:val="center"/>
          </w:tcPr>
          <w:p w14:paraId="0912BDC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79" w:type="pct"/>
            <w:tcBorders>
              <w:tl2br w:val="nil"/>
              <w:tr2bl w:val="nil"/>
            </w:tcBorders>
            <w:noWrap w:val="0"/>
            <w:vAlign w:val="center"/>
          </w:tcPr>
          <w:p w14:paraId="2EEA385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1" w:type="pct"/>
            <w:tcBorders>
              <w:tl2br w:val="nil"/>
              <w:tr2bl w:val="nil"/>
            </w:tcBorders>
            <w:noWrap w:val="0"/>
            <w:vAlign w:val="center"/>
          </w:tcPr>
          <w:p w14:paraId="40189F9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012A766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1FF6330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10B3473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1F3FBC3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1ABE6AF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1FEF0FA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672ADF2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5BE50F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continue"/>
            <w:tcBorders>
              <w:tl2br w:val="nil"/>
              <w:tr2bl w:val="nil"/>
            </w:tcBorders>
            <w:noWrap w:val="0"/>
            <w:vAlign w:val="center"/>
          </w:tcPr>
          <w:p w14:paraId="1EF8011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524" w:type="pct"/>
            <w:tcBorders>
              <w:tl2br w:val="nil"/>
              <w:tr2bl w:val="nil"/>
            </w:tcBorders>
            <w:noWrap w:val="0"/>
            <w:vAlign w:val="center"/>
          </w:tcPr>
          <w:p w14:paraId="29D5190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土石方</w:t>
            </w:r>
          </w:p>
        </w:tc>
        <w:tc>
          <w:tcPr>
            <w:tcW w:w="381" w:type="pct"/>
            <w:tcBorders>
              <w:tl2br w:val="nil"/>
              <w:tr2bl w:val="nil"/>
            </w:tcBorders>
            <w:noWrap w:val="0"/>
            <w:vAlign w:val="center"/>
          </w:tcPr>
          <w:p w14:paraId="22001BE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0.05</w:t>
            </w:r>
          </w:p>
        </w:tc>
        <w:tc>
          <w:tcPr>
            <w:tcW w:w="392" w:type="pct"/>
            <w:tcBorders>
              <w:tl2br w:val="nil"/>
              <w:tr2bl w:val="nil"/>
            </w:tcBorders>
            <w:noWrap w:val="0"/>
            <w:vAlign w:val="center"/>
          </w:tcPr>
          <w:p w14:paraId="4275351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0.05</w:t>
            </w:r>
          </w:p>
        </w:tc>
        <w:tc>
          <w:tcPr>
            <w:tcW w:w="379" w:type="pct"/>
            <w:tcBorders>
              <w:tl2br w:val="nil"/>
              <w:tr2bl w:val="nil"/>
            </w:tcBorders>
            <w:noWrap w:val="0"/>
            <w:vAlign w:val="center"/>
          </w:tcPr>
          <w:p w14:paraId="3B299CA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0.05</w:t>
            </w:r>
          </w:p>
        </w:tc>
        <w:tc>
          <w:tcPr>
            <w:tcW w:w="341" w:type="pct"/>
            <w:tcBorders>
              <w:tl2br w:val="nil"/>
              <w:tr2bl w:val="nil"/>
            </w:tcBorders>
            <w:noWrap w:val="0"/>
            <w:vAlign w:val="center"/>
          </w:tcPr>
          <w:p w14:paraId="09325A2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68C00CB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735BB32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50E968C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1C35F5E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16FEFA6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75BA52C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4E537A1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17C5F9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restart"/>
            <w:tcBorders>
              <w:tl2br w:val="nil"/>
              <w:tr2bl w:val="nil"/>
            </w:tcBorders>
            <w:noWrap w:val="0"/>
            <w:vAlign w:val="center"/>
          </w:tcPr>
          <w:p w14:paraId="4490167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表土暂存场</w:t>
            </w:r>
          </w:p>
        </w:tc>
        <w:tc>
          <w:tcPr>
            <w:tcW w:w="524" w:type="pct"/>
            <w:tcBorders>
              <w:tl2br w:val="nil"/>
              <w:tr2bl w:val="nil"/>
            </w:tcBorders>
            <w:noWrap w:val="0"/>
            <w:vAlign w:val="center"/>
          </w:tcPr>
          <w:p w14:paraId="33649A8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表土</w:t>
            </w:r>
          </w:p>
        </w:tc>
        <w:tc>
          <w:tcPr>
            <w:tcW w:w="381" w:type="pct"/>
            <w:tcBorders>
              <w:tl2br w:val="nil"/>
              <w:tr2bl w:val="nil"/>
            </w:tcBorders>
            <w:noWrap w:val="0"/>
            <w:vAlign w:val="center"/>
          </w:tcPr>
          <w:p w14:paraId="39FEB14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92" w:type="pct"/>
            <w:tcBorders>
              <w:tl2br w:val="nil"/>
              <w:tr2bl w:val="nil"/>
            </w:tcBorders>
            <w:noWrap w:val="0"/>
            <w:vAlign w:val="center"/>
          </w:tcPr>
          <w:p w14:paraId="2A8C92E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79" w:type="pct"/>
            <w:tcBorders>
              <w:tl2br w:val="nil"/>
              <w:tr2bl w:val="nil"/>
            </w:tcBorders>
            <w:noWrap w:val="0"/>
            <w:vAlign w:val="center"/>
          </w:tcPr>
          <w:p w14:paraId="65044A9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41" w:type="pct"/>
            <w:tcBorders>
              <w:tl2br w:val="nil"/>
              <w:tr2bl w:val="nil"/>
            </w:tcBorders>
            <w:noWrap w:val="0"/>
            <w:vAlign w:val="center"/>
          </w:tcPr>
          <w:p w14:paraId="0E16FD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59A156F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0768062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612E944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199200A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7F5826D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2BFAF0B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77901B8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61003D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continue"/>
            <w:tcBorders>
              <w:tl2br w:val="nil"/>
              <w:tr2bl w:val="nil"/>
            </w:tcBorders>
            <w:noWrap w:val="0"/>
            <w:vAlign w:val="center"/>
          </w:tcPr>
          <w:p w14:paraId="0F04B1A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524" w:type="pct"/>
            <w:tcBorders>
              <w:tl2br w:val="nil"/>
              <w:tr2bl w:val="nil"/>
            </w:tcBorders>
            <w:noWrap w:val="0"/>
            <w:vAlign w:val="center"/>
          </w:tcPr>
          <w:p w14:paraId="384CFFA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土石方</w:t>
            </w:r>
          </w:p>
        </w:tc>
        <w:tc>
          <w:tcPr>
            <w:tcW w:w="381" w:type="pct"/>
            <w:tcBorders>
              <w:tl2br w:val="nil"/>
              <w:tr2bl w:val="nil"/>
            </w:tcBorders>
            <w:noWrap w:val="0"/>
            <w:vAlign w:val="center"/>
          </w:tcPr>
          <w:p w14:paraId="5F5267C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0.02</w:t>
            </w:r>
          </w:p>
        </w:tc>
        <w:tc>
          <w:tcPr>
            <w:tcW w:w="392" w:type="pct"/>
            <w:tcBorders>
              <w:tl2br w:val="nil"/>
              <w:tr2bl w:val="nil"/>
            </w:tcBorders>
            <w:noWrap w:val="0"/>
            <w:vAlign w:val="center"/>
          </w:tcPr>
          <w:p w14:paraId="5DAF905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0.02</w:t>
            </w:r>
          </w:p>
        </w:tc>
        <w:tc>
          <w:tcPr>
            <w:tcW w:w="379" w:type="pct"/>
            <w:tcBorders>
              <w:tl2br w:val="nil"/>
              <w:tr2bl w:val="nil"/>
            </w:tcBorders>
            <w:noWrap w:val="0"/>
            <w:vAlign w:val="center"/>
          </w:tcPr>
          <w:p w14:paraId="47AE821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0.02</w:t>
            </w:r>
          </w:p>
        </w:tc>
        <w:tc>
          <w:tcPr>
            <w:tcW w:w="341" w:type="pct"/>
            <w:tcBorders>
              <w:tl2br w:val="nil"/>
              <w:tr2bl w:val="nil"/>
            </w:tcBorders>
            <w:noWrap w:val="0"/>
            <w:vAlign w:val="center"/>
          </w:tcPr>
          <w:p w14:paraId="58871DD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2CBEB025">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1D85641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3DFB65D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0B7FAEF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40A7DAF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0655527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59E44F4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0F900A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restart"/>
            <w:tcBorders>
              <w:tl2br w:val="nil"/>
              <w:tr2bl w:val="nil"/>
            </w:tcBorders>
            <w:noWrap w:val="0"/>
            <w:vAlign w:val="center"/>
          </w:tcPr>
          <w:p w14:paraId="2DAD102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弃渣场</w:t>
            </w:r>
          </w:p>
        </w:tc>
        <w:tc>
          <w:tcPr>
            <w:tcW w:w="524" w:type="pct"/>
            <w:tcBorders>
              <w:tl2br w:val="nil"/>
              <w:tr2bl w:val="nil"/>
            </w:tcBorders>
            <w:noWrap w:val="0"/>
            <w:vAlign w:val="center"/>
          </w:tcPr>
          <w:p w14:paraId="3BC634C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表土</w:t>
            </w:r>
          </w:p>
        </w:tc>
        <w:tc>
          <w:tcPr>
            <w:tcW w:w="381" w:type="pct"/>
            <w:tcBorders>
              <w:tl2br w:val="nil"/>
              <w:tr2bl w:val="nil"/>
            </w:tcBorders>
            <w:noWrap w:val="0"/>
            <w:vAlign w:val="center"/>
          </w:tcPr>
          <w:p w14:paraId="0D47F23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92" w:type="pct"/>
            <w:tcBorders>
              <w:tl2br w:val="nil"/>
              <w:tr2bl w:val="nil"/>
            </w:tcBorders>
            <w:noWrap w:val="0"/>
            <w:vAlign w:val="center"/>
          </w:tcPr>
          <w:p w14:paraId="10252A5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79" w:type="pct"/>
            <w:tcBorders>
              <w:tl2br w:val="nil"/>
              <w:tr2bl w:val="nil"/>
            </w:tcBorders>
            <w:noWrap w:val="0"/>
            <w:vAlign w:val="center"/>
          </w:tcPr>
          <w:p w14:paraId="7D3E02F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0.10</w:t>
            </w:r>
          </w:p>
        </w:tc>
        <w:tc>
          <w:tcPr>
            <w:tcW w:w="341" w:type="pct"/>
            <w:tcBorders>
              <w:tl2br w:val="nil"/>
              <w:tr2bl w:val="nil"/>
            </w:tcBorders>
            <w:noWrap w:val="0"/>
            <w:vAlign w:val="center"/>
          </w:tcPr>
          <w:p w14:paraId="0BD29C3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7F200C5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79C9C0F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0.10</w:t>
            </w:r>
          </w:p>
        </w:tc>
        <w:tc>
          <w:tcPr>
            <w:tcW w:w="297" w:type="pct"/>
            <w:tcBorders>
              <w:tl2br w:val="nil"/>
              <w:tr2bl w:val="nil"/>
            </w:tcBorders>
            <w:noWrap w:val="0"/>
            <w:vAlign w:val="center"/>
          </w:tcPr>
          <w:p w14:paraId="570D33C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道路工程区</w:t>
            </w:r>
          </w:p>
        </w:tc>
        <w:tc>
          <w:tcPr>
            <w:tcW w:w="404" w:type="pct"/>
            <w:tcBorders>
              <w:tl2br w:val="nil"/>
              <w:tr2bl w:val="nil"/>
            </w:tcBorders>
            <w:noWrap w:val="0"/>
            <w:vAlign w:val="center"/>
          </w:tcPr>
          <w:p w14:paraId="37934B5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7D00EC7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6CEF3E4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040A21C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5573A6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4" w:type="pct"/>
            <w:gridSpan w:val="2"/>
            <w:vMerge w:val="continue"/>
            <w:tcBorders>
              <w:tl2br w:val="nil"/>
              <w:tr2bl w:val="nil"/>
            </w:tcBorders>
            <w:noWrap w:val="0"/>
            <w:vAlign w:val="center"/>
          </w:tcPr>
          <w:p w14:paraId="1F870E1E">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524" w:type="pct"/>
            <w:tcBorders>
              <w:tl2br w:val="nil"/>
              <w:tr2bl w:val="nil"/>
            </w:tcBorders>
            <w:noWrap w:val="0"/>
            <w:vAlign w:val="center"/>
          </w:tcPr>
          <w:p w14:paraId="2D2BC6C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土石方</w:t>
            </w:r>
          </w:p>
        </w:tc>
        <w:tc>
          <w:tcPr>
            <w:tcW w:w="381" w:type="pct"/>
            <w:tcBorders>
              <w:tl2br w:val="nil"/>
              <w:tr2bl w:val="nil"/>
            </w:tcBorders>
            <w:noWrap w:val="0"/>
            <w:vAlign w:val="center"/>
          </w:tcPr>
          <w:p w14:paraId="28535AF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0.15</w:t>
            </w:r>
          </w:p>
        </w:tc>
        <w:tc>
          <w:tcPr>
            <w:tcW w:w="392" w:type="pct"/>
            <w:tcBorders>
              <w:tl2br w:val="nil"/>
              <w:tr2bl w:val="nil"/>
            </w:tcBorders>
            <w:noWrap w:val="0"/>
            <w:vAlign w:val="center"/>
          </w:tcPr>
          <w:p w14:paraId="3BD060C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0.15</w:t>
            </w:r>
          </w:p>
        </w:tc>
        <w:tc>
          <w:tcPr>
            <w:tcW w:w="379" w:type="pct"/>
            <w:tcBorders>
              <w:tl2br w:val="nil"/>
              <w:tr2bl w:val="nil"/>
            </w:tcBorders>
            <w:noWrap w:val="0"/>
            <w:vAlign w:val="center"/>
          </w:tcPr>
          <w:p w14:paraId="3854A3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0.15</w:t>
            </w:r>
          </w:p>
        </w:tc>
        <w:tc>
          <w:tcPr>
            <w:tcW w:w="341" w:type="pct"/>
            <w:tcBorders>
              <w:tl2br w:val="nil"/>
              <w:tr2bl w:val="nil"/>
            </w:tcBorders>
            <w:noWrap w:val="0"/>
            <w:vAlign w:val="center"/>
          </w:tcPr>
          <w:p w14:paraId="6CD921C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5" w:type="pct"/>
            <w:tcBorders>
              <w:tl2br w:val="nil"/>
              <w:tr2bl w:val="nil"/>
            </w:tcBorders>
            <w:noWrap w:val="0"/>
            <w:vAlign w:val="center"/>
          </w:tcPr>
          <w:p w14:paraId="14BFF43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79A6A6D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97" w:type="pct"/>
            <w:tcBorders>
              <w:tl2br w:val="nil"/>
              <w:tr2bl w:val="nil"/>
            </w:tcBorders>
            <w:noWrap w:val="0"/>
            <w:vAlign w:val="center"/>
          </w:tcPr>
          <w:p w14:paraId="1326958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0A4FD94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284" w:type="pct"/>
            <w:tcBorders>
              <w:tl2br w:val="nil"/>
              <w:tr2bl w:val="nil"/>
            </w:tcBorders>
            <w:noWrap w:val="0"/>
            <w:vAlign w:val="center"/>
          </w:tcPr>
          <w:p w14:paraId="7451871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7249FD6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27" w:type="pct"/>
            <w:tcBorders>
              <w:tl2br w:val="nil"/>
              <w:tr2bl w:val="nil"/>
            </w:tcBorders>
            <w:noWrap w:val="0"/>
            <w:vAlign w:val="center"/>
          </w:tcPr>
          <w:p w14:paraId="3F26B68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r>
      <w:tr w14:paraId="15DAB1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108" w:type="pct"/>
            <w:gridSpan w:val="3"/>
            <w:tcBorders>
              <w:tl2br w:val="nil"/>
              <w:tr2bl w:val="nil"/>
            </w:tcBorders>
            <w:noWrap w:val="0"/>
            <w:vAlign w:val="center"/>
          </w:tcPr>
          <w:p w14:paraId="4F35136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合计</w:t>
            </w:r>
          </w:p>
        </w:tc>
        <w:tc>
          <w:tcPr>
            <w:tcW w:w="381" w:type="pct"/>
            <w:tcBorders>
              <w:tl2br w:val="nil"/>
              <w:tr2bl w:val="nil"/>
            </w:tcBorders>
            <w:noWrap w:val="0"/>
            <w:vAlign w:val="center"/>
          </w:tcPr>
          <w:p w14:paraId="0F4B28FC">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10.77</w:t>
            </w:r>
          </w:p>
        </w:tc>
        <w:tc>
          <w:tcPr>
            <w:tcW w:w="392" w:type="pct"/>
            <w:tcBorders>
              <w:tl2br w:val="nil"/>
              <w:tr2bl w:val="nil"/>
            </w:tcBorders>
            <w:noWrap w:val="0"/>
            <w:vAlign w:val="center"/>
          </w:tcPr>
          <w:p w14:paraId="2A56BABF">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default" w:ascii="Times New Roman" w:hAnsi="Times New Roman" w:eastAsia="宋体" w:cs="宋体"/>
                <w:color w:val="000000" w:themeColor="text1"/>
                <w:kern w:val="0"/>
                <w:sz w:val="21"/>
                <w:szCs w:val="21"/>
                <w:highlight w:val="none"/>
                <w:lang w:val="en-US" w:eastAsia="zh-CN"/>
              </w:rPr>
              <w:t>4.47</w:t>
            </w:r>
          </w:p>
        </w:tc>
        <w:tc>
          <w:tcPr>
            <w:tcW w:w="379" w:type="pct"/>
            <w:tcBorders>
              <w:tl2br w:val="nil"/>
              <w:tr2bl w:val="nil"/>
            </w:tcBorders>
            <w:noWrap w:val="0"/>
            <w:vAlign w:val="center"/>
          </w:tcPr>
          <w:p w14:paraId="26F4A56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17.94</w:t>
            </w:r>
          </w:p>
        </w:tc>
        <w:tc>
          <w:tcPr>
            <w:tcW w:w="341" w:type="pct"/>
            <w:tcBorders>
              <w:tl2br w:val="nil"/>
              <w:tr2bl w:val="nil"/>
            </w:tcBorders>
            <w:noWrap w:val="0"/>
            <w:vAlign w:val="center"/>
          </w:tcPr>
          <w:p w14:paraId="27BB0D7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0.10</w:t>
            </w:r>
          </w:p>
        </w:tc>
        <w:tc>
          <w:tcPr>
            <w:tcW w:w="295" w:type="pct"/>
            <w:tcBorders>
              <w:tl2br w:val="nil"/>
              <w:tr2bl w:val="nil"/>
            </w:tcBorders>
            <w:noWrap w:val="0"/>
            <w:vAlign w:val="center"/>
          </w:tcPr>
          <w:p w14:paraId="08150F8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175A426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0.10</w:t>
            </w:r>
          </w:p>
        </w:tc>
        <w:tc>
          <w:tcPr>
            <w:tcW w:w="297" w:type="pct"/>
            <w:tcBorders>
              <w:tl2br w:val="nil"/>
              <w:tr2bl w:val="nil"/>
            </w:tcBorders>
            <w:noWrap w:val="0"/>
            <w:vAlign w:val="center"/>
          </w:tcPr>
          <w:p w14:paraId="4D2BF2E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eastAsia" w:ascii="Times New Roman" w:hAnsi="Times New Roman" w:eastAsia="宋体" w:cs="宋体"/>
                <w:color w:val="000000" w:themeColor="text1"/>
                <w:kern w:val="0"/>
                <w:sz w:val="21"/>
                <w:szCs w:val="21"/>
                <w:highlight w:val="none"/>
                <w:lang w:val="en-US" w:eastAsia="zh-CN"/>
              </w:rPr>
            </w:pPr>
          </w:p>
        </w:tc>
        <w:tc>
          <w:tcPr>
            <w:tcW w:w="404" w:type="pct"/>
            <w:tcBorders>
              <w:tl2br w:val="nil"/>
              <w:tr2bl w:val="nil"/>
            </w:tcBorders>
            <w:noWrap w:val="0"/>
            <w:vAlign w:val="center"/>
          </w:tcPr>
          <w:p w14:paraId="24F68613">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13.37</w:t>
            </w:r>
          </w:p>
        </w:tc>
        <w:tc>
          <w:tcPr>
            <w:tcW w:w="284" w:type="pct"/>
            <w:tcBorders>
              <w:tl2br w:val="nil"/>
              <w:tr2bl w:val="nil"/>
            </w:tcBorders>
            <w:noWrap w:val="0"/>
            <w:vAlign w:val="center"/>
          </w:tcPr>
          <w:p w14:paraId="577CE28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c>
          <w:tcPr>
            <w:tcW w:w="343" w:type="pct"/>
            <w:tcBorders>
              <w:tl2br w:val="nil"/>
              <w:tr2bl w:val="nil"/>
            </w:tcBorders>
            <w:noWrap w:val="0"/>
            <w:vAlign w:val="center"/>
          </w:tcPr>
          <w:p w14:paraId="358DDC90">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r>
              <w:rPr>
                <w:rFonts w:hint="eastAsia" w:ascii="Times New Roman" w:hAnsi="Times New Roman" w:eastAsia="宋体" w:cs="宋体"/>
                <w:color w:val="000000" w:themeColor="text1"/>
                <w:kern w:val="0"/>
                <w:sz w:val="21"/>
                <w:szCs w:val="21"/>
                <w:highlight w:val="none"/>
                <w:lang w:val="en-US" w:eastAsia="zh-CN"/>
              </w:rPr>
              <w:t>6.20</w:t>
            </w:r>
          </w:p>
        </w:tc>
        <w:tc>
          <w:tcPr>
            <w:tcW w:w="427" w:type="pct"/>
            <w:tcBorders>
              <w:tl2br w:val="nil"/>
              <w:tr2bl w:val="nil"/>
            </w:tcBorders>
            <w:noWrap w:val="0"/>
            <w:vAlign w:val="center"/>
          </w:tcPr>
          <w:p w14:paraId="0687079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auto"/>
              <w:rPr>
                <w:rFonts w:hint="default" w:ascii="Times New Roman" w:hAnsi="Times New Roman" w:eastAsia="宋体" w:cs="宋体"/>
                <w:color w:val="000000" w:themeColor="text1"/>
                <w:kern w:val="0"/>
                <w:sz w:val="21"/>
                <w:szCs w:val="21"/>
                <w:highlight w:val="none"/>
                <w:lang w:val="en-US" w:eastAsia="zh-CN"/>
              </w:rPr>
            </w:pPr>
          </w:p>
        </w:tc>
      </w:tr>
    </w:tbl>
    <w:p w14:paraId="12A1EF9B">
      <w:pPr>
        <w:pStyle w:val="42"/>
        <w:pageBreakBefore w:val="0"/>
        <w:wordWrap/>
        <w:topLinePunct w:val="0"/>
        <w:bidi w:val="0"/>
        <w:spacing w:beforeLines="50" w:line="360" w:lineRule="auto"/>
        <w:ind w:firstLine="480" w:firstLineChars="200"/>
        <w:jc w:val="both"/>
        <w:rPr>
          <w:color w:val="000000" w:themeColor="text1"/>
          <w:szCs w:val="32"/>
          <w:highlight w:val="none"/>
        </w:rPr>
      </w:pPr>
      <w:r>
        <w:rPr>
          <w:rFonts w:hint="eastAsia" w:ascii="Times New Roman" w:eastAsia="宋体"/>
          <w:snapToGrid w:val="0"/>
          <w:color w:val="000000" w:themeColor="text1"/>
          <w:highlight w:val="none"/>
          <w:lang w:val="en-US" w:eastAsia="zh-CN"/>
        </w:rPr>
        <w:t>本项目不设取土场，借方全部来源于萝北县大平石材加工有限公司，距场址距离37.4km，外购材料意向书及公司资质见附件8，该公司可生产各种规格碎石，石质强度高，可用于路面面层，满足本项目需求</w:t>
      </w:r>
      <w:r>
        <w:rPr>
          <w:rFonts w:hint="eastAsia" w:ascii="Times New Roman" w:eastAsia="宋体"/>
          <w:snapToGrid w:val="0"/>
          <w:color w:val="000000" w:themeColor="text1"/>
          <w:highlight w:val="none"/>
        </w:rPr>
        <w:t>。</w:t>
      </w:r>
    </w:p>
    <w:p w14:paraId="560A8FCB">
      <w:pPr>
        <w:pageBreakBefore w:val="0"/>
        <w:wordWrap/>
        <w:topLinePunct w:val="0"/>
        <w:bidi w:val="0"/>
        <w:spacing w:line="360" w:lineRule="auto"/>
        <w:rPr>
          <w:rFonts w:eastAsia="仿宋_GB2312"/>
          <w:color w:val="000000" w:themeColor="text1"/>
          <w:szCs w:val="32"/>
          <w:highlight w:val="none"/>
        </w:rPr>
        <w:sectPr>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p>
    <w:p w14:paraId="054328DC">
      <w:pPr>
        <w:pageBreakBefore w:val="0"/>
        <w:wordWrap/>
        <w:topLinePunct w:val="0"/>
        <w:bidi w:val="0"/>
        <w:spacing w:line="360" w:lineRule="auto"/>
        <w:jc w:val="center"/>
        <w:rPr>
          <w:snapToGrid w:val="0"/>
          <w:color w:val="000000" w:themeColor="text1"/>
          <w:kern w:val="0"/>
          <w:highlight w:val="none"/>
        </w:rPr>
      </w:pPr>
      <w:r>
        <w:rPr>
          <w:rFonts w:hint="eastAsia" w:eastAsia="仿宋_GB2312"/>
          <w:color w:val="000000" w:themeColor="text1"/>
          <w:sz w:val="18"/>
          <w:szCs w:val="20"/>
          <w:highlight w:val="none"/>
          <w:lang w:eastAsia="zh-CN"/>
        </w:rPr>
        <w:drawing>
          <wp:inline distT="0" distB="0" distL="114300" distR="114300">
            <wp:extent cx="6726555" cy="4765675"/>
            <wp:effectExtent l="0" t="0" r="0" b="0"/>
            <wp:docPr id="3" name="ECB019B1-382A-4266-B25C-5B523AA43C14-1" descr="C:/Users/John/AppData/Local/Temp/wps.pRChVy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B019B1-382A-4266-B25C-5B523AA43C14-1" descr="C:/Users/John/AppData/Local/Temp/wps.pRChVywps"/>
                    <pic:cNvPicPr>
                      <a:picLocks noChangeAspect="1"/>
                    </pic:cNvPicPr>
                  </pic:nvPicPr>
                  <pic:blipFill>
                    <a:blip r:embed="rId43"/>
                    <a:stretch>
                      <a:fillRect/>
                    </a:stretch>
                  </pic:blipFill>
                  <pic:spPr>
                    <a:xfrm>
                      <a:off x="0" y="0"/>
                      <a:ext cx="6726555" cy="4765675"/>
                    </a:xfrm>
                    <a:prstGeom prst="rect">
                      <a:avLst/>
                    </a:prstGeom>
                  </pic:spPr>
                </pic:pic>
              </a:graphicData>
            </a:graphic>
          </wp:inline>
        </w:drawing>
      </w:r>
    </w:p>
    <w:p w14:paraId="2A76320C">
      <w:pPr>
        <w:pageBreakBefore w:val="0"/>
        <w:wordWrap/>
        <w:topLinePunct w:val="0"/>
        <w:bidi w:val="0"/>
        <w:spacing w:line="360" w:lineRule="auto"/>
        <w:ind w:firstLine="0" w:firstLineChars="0"/>
        <w:jc w:val="center"/>
        <w:rPr>
          <w:b/>
          <w:color w:val="000000" w:themeColor="text1"/>
          <w:highlight w:val="none"/>
        </w:rPr>
      </w:pPr>
      <w:r>
        <w:rPr>
          <w:rFonts w:hint="eastAsia"/>
          <w:b/>
          <w:color w:val="000000" w:themeColor="text1"/>
          <w:highlight w:val="none"/>
        </w:rPr>
        <w:t>图3.1-</w:t>
      </w:r>
      <w:r>
        <w:rPr>
          <w:rFonts w:hint="eastAsia"/>
          <w:b/>
          <w:color w:val="000000" w:themeColor="text1"/>
          <w:highlight w:val="none"/>
          <w:lang w:val="en-US" w:eastAsia="zh-CN"/>
        </w:rPr>
        <w:t>7</w:t>
      </w:r>
      <w:r>
        <w:rPr>
          <w:rFonts w:hint="eastAsia"/>
          <w:b/>
          <w:color w:val="000000" w:themeColor="text1"/>
          <w:highlight w:val="none"/>
        </w:rPr>
        <w:t xml:space="preserve">  土方调配流程图</w:t>
      </w:r>
    </w:p>
    <w:p w14:paraId="120E5A28">
      <w:pPr>
        <w:pStyle w:val="42"/>
        <w:pageBreakBefore w:val="0"/>
        <w:wordWrap/>
        <w:topLinePunct w:val="0"/>
        <w:bidi w:val="0"/>
        <w:spacing w:line="360" w:lineRule="auto"/>
        <w:rPr>
          <w:color w:val="000000" w:themeColor="text1"/>
          <w:szCs w:val="32"/>
          <w:highlight w:val="none"/>
        </w:rPr>
        <w:sectPr>
          <w:pgSz w:w="16838" w:h="11906" w:orient="landscape"/>
          <w:pgMar w:top="1797" w:right="1440" w:bottom="1797" w:left="1440" w:header="907" w:footer="1021" w:gutter="0"/>
          <w:pgBorders>
            <w:top w:val="none" w:sz="0" w:space="0"/>
            <w:left w:val="none" w:sz="0" w:space="0"/>
            <w:bottom w:val="none" w:sz="0" w:space="0"/>
            <w:right w:val="none" w:sz="0" w:space="0"/>
          </w:pgBorders>
          <w:pgNumType w:fmt="decimal"/>
          <w:cols w:space="720" w:num="1"/>
          <w:docGrid w:linePitch="326" w:charSpace="0"/>
        </w:sectPr>
      </w:pPr>
    </w:p>
    <w:bookmarkEnd w:id="265"/>
    <w:bookmarkEnd w:id="266"/>
    <w:p w14:paraId="0078073C">
      <w:pPr>
        <w:pStyle w:val="4"/>
        <w:pageBreakBefore w:val="0"/>
        <w:wordWrap/>
        <w:topLinePunct w:val="0"/>
        <w:bidi w:val="0"/>
        <w:spacing w:before="120" w:line="360" w:lineRule="auto"/>
        <w:rPr>
          <w:color w:val="000000" w:themeColor="text1"/>
          <w:highlight w:val="none"/>
        </w:rPr>
      </w:pPr>
      <w:bookmarkStart w:id="267" w:name="_Toc1487"/>
      <w:bookmarkStart w:id="268" w:name="_Toc30904"/>
      <w:r>
        <w:rPr>
          <w:rFonts w:hint="eastAsia"/>
          <w:color w:val="000000" w:themeColor="text1"/>
          <w:highlight w:val="none"/>
        </w:rPr>
        <w:t>3.1.1</w:t>
      </w:r>
      <w:r>
        <w:rPr>
          <w:rFonts w:hint="eastAsia"/>
          <w:color w:val="000000" w:themeColor="text1"/>
          <w:highlight w:val="none"/>
          <w:lang w:val="en-US" w:eastAsia="zh-CN"/>
        </w:rPr>
        <w:t>3</w:t>
      </w:r>
      <w:r>
        <w:rPr>
          <w:color w:val="000000" w:themeColor="text1"/>
          <w:highlight w:val="none"/>
        </w:rPr>
        <w:t>投资估算</w:t>
      </w:r>
      <w:bookmarkEnd w:id="267"/>
      <w:bookmarkEnd w:id="268"/>
    </w:p>
    <w:p w14:paraId="053C9935">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本项目新建机场</w:t>
      </w:r>
      <w:r>
        <w:rPr>
          <w:rFonts w:hint="eastAsia" w:ascii="Times New Roman" w:hAnsi="Times New Roman" w:eastAsia="宋体"/>
          <w:snapToGrid/>
          <w:color w:val="000000" w:themeColor="text1"/>
          <w:spacing w:val="0"/>
          <w:kern w:val="2"/>
          <w:highlight w:val="none"/>
        </w:rPr>
        <w:t>进场路</w:t>
      </w:r>
      <w:r>
        <w:rPr>
          <w:rFonts w:hint="eastAsia"/>
          <w:color w:val="000000" w:themeColor="text1"/>
          <w:highlight w:val="none"/>
          <w:lang w:val="en-US" w:eastAsia="zh-CN"/>
        </w:rPr>
        <w:t>主线长度6.323km，连接线长度0.218km，总长度6.541km。总投资约12509.47万元，其中建安费用为6898.06万元</w:t>
      </w:r>
      <w:r>
        <w:rPr>
          <w:color w:val="000000" w:themeColor="text1"/>
          <w:highlight w:val="none"/>
        </w:rPr>
        <w:t>。</w:t>
      </w:r>
      <w:r>
        <w:rPr>
          <w:rFonts w:hint="eastAsia"/>
          <w:color w:val="000000" w:themeColor="text1"/>
          <w:highlight w:val="none"/>
          <w:lang w:val="en-US" w:eastAsia="zh-CN"/>
        </w:rPr>
        <w:t>本工程资金来源为财政资金。</w:t>
      </w:r>
    </w:p>
    <w:p w14:paraId="6AF236B8">
      <w:pPr>
        <w:pStyle w:val="4"/>
        <w:pageBreakBefore w:val="0"/>
        <w:wordWrap/>
        <w:topLinePunct w:val="0"/>
        <w:bidi w:val="0"/>
        <w:spacing w:before="120" w:line="360" w:lineRule="auto"/>
        <w:rPr>
          <w:color w:val="000000" w:themeColor="text1"/>
          <w:highlight w:val="none"/>
        </w:rPr>
      </w:pPr>
      <w:bookmarkStart w:id="269" w:name="_Toc17267"/>
      <w:bookmarkStart w:id="270" w:name="_Toc27658"/>
      <w:r>
        <w:rPr>
          <w:rFonts w:hint="eastAsia"/>
          <w:color w:val="000000" w:themeColor="text1"/>
          <w:highlight w:val="none"/>
        </w:rPr>
        <w:t>3.1.1</w:t>
      </w:r>
      <w:r>
        <w:rPr>
          <w:rFonts w:hint="eastAsia"/>
          <w:color w:val="000000" w:themeColor="text1"/>
          <w:highlight w:val="none"/>
          <w:lang w:val="en-US" w:eastAsia="zh-CN"/>
        </w:rPr>
        <w:t>4</w:t>
      </w:r>
      <w:r>
        <w:rPr>
          <w:color w:val="000000" w:themeColor="text1"/>
          <w:highlight w:val="none"/>
        </w:rPr>
        <w:t>施工方案</w:t>
      </w:r>
      <w:bookmarkEnd w:id="269"/>
      <w:bookmarkEnd w:id="270"/>
    </w:p>
    <w:p w14:paraId="1B4BB3B8">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4</w:t>
      </w:r>
      <w:r>
        <w:rPr>
          <w:rFonts w:hint="eastAsia"/>
          <w:color w:val="000000" w:themeColor="text1"/>
          <w:highlight w:val="none"/>
        </w:rPr>
        <w:t>.1</w:t>
      </w:r>
      <w:r>
        <w:rPr>
          <w:color w:val="000000" w:themeColor="text1"/>
          <w:highlight w:val="none"/>
        </w:rPr>
        <w:t>施工工期</w:t>
      </w:r>
    </w:p>
    <w:p w14:paraId="363358B4">
      <w:pPr>
        <w:pageBreakBefore w:val="0"/>
        <w:wordWrap/>
        <w:topLinePunct w:val="0"/>
        <w:bidi w:val="0"/>
        <w:spacing w:line="360" w:lineRule="auto"/>
        <w:rPr>
          <w:color w:val="000000" w:themeColor="text1"/>
          <w:highlight w:val="none"/>
        </w:rPr>
      </w:pPr>
      <w:r>
        <w:rPr>
          <w:color w:val="000000" w:themeColor="text1"/>
          <w:highlight w:val="none"/>
        </w:rPr>
        <w:t>本项目施工期为</w:t>
      </w:r>
      <w:r>
        <w:rPr>
          <w:rFonts w:hint="eastAsia"/>
          <w:color w:val="000000" w:themeColor="text1"/>
          <w:highlight w:val="none"/>
          <w:lang w:val="en-US" w:eastAsia="zh-CN"/>
        </w:rPr>
        <w:t>2025年11月至2026年10月底，工期一年12个月</w:t>
      </w:r>
      <w:r>
        <w:rPr>
          <w:rFonts w:hint="eastAsia"/>
          <w:color w:val="000000" w:themeColor="text1"/>
          <w:highlight w:val="none"/>
          <w:lang w:eastAsia="zh-CN"/>
        </w:rPr>
        <w:t>。</w:t>
      </w:r>
      <w:r>
        <w:rPr>
          <w:rFonts w:hint="eastAsia"/>
          <w:color w:val="000000" w:themeColor="text1"/>
          <w:highlight w:val="none"/>
        </w:rPr>
        <w:t>涉水桥梁选在枯水期及非灌溉期施工，涉水桥墩施工前均设置钢围堰。</w:t>
      </w:r>
    </w:p>
    <w:p w14:paraId="4AD1165E">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4</w:t>
      </w:r>
      <w:r>
        <w:rPr>
          <w:rFonts w:hint="eastAsia"/>
          <w:color w:val="000000" w:themeColor="text1"/>
          <w:highlight w:val="none"/>
        </w:rPr>
        <w:t>.2</w:t>
      </w:r>
      <w:r>
        <w:rPr>
          <w:color w:val="000000" w:themeColor="text1"/>
          <w:highlight w:val="none"/>
        </w:rPr>
        <w:t>主要工程施工方案</w:t>
      </w:r>
    </w:p>
    <w:p w14:paraId="62923158">
      <w:pPr>
        <w:pageBreakBefore w:val="0"/>
        <w:wordWrap/>
        <w:topLinePunct w:val="0"/>
        <w:bidi w:val="0"/>
        <w:spacing w:line="360" w:lineRule="auto"/>
        <w:rPr>
          <w:rFonts w:hint="default"/>
          <w:color w:val="000000" w:themeColor="text1"/>
          <w:highlight w:val="none"/>
          <w:lang w:val="en-US"/>
        </w:rPr>
      </w:pPr>
      <w:r>
        <w:rPr>
          <w:color w:val="000000" w:themeColor="text1"/>
          <w:highlight w:val="none"/>
        </w:rPr>
        <w:t>（1）</w:t>
      </w:r>
      <w:r>
        <w:rPr>
          <w:rFonts w:hint="eastAsia"/>
          <w:color w:val="000000" w:themeColor="text1"/>
          <w:highlight w:val="none"/>
          <w:lang w:val="en-US" w:eastAsia="zh-CN"/>
        </w:rPr>
        <w:t>施工前准备</w:t>
      </w:r>
    </w:p>
    <w:p w14:paraId="20C45E1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进行施工现场踏查，核定工程数量，进行图纸会审和技术交底，编制实施性的施工组织设计。进行临建工作，施工前设备、人员、材料配备。进行导线点、水准点恢复及加密，对路线的横、纵断面进行测量。对挖方、土场、料场的路基填料按《公路土工试验规程》（JTG E40-2007）规定的方法进行土的颗粒大小分析，含水量，液限、塑限，土的最大干容重、最佳含水量试验，密度，土的强度（CBR）值，有机质含量及易溶盐总量等试验。</w:t>
      </w:r>
    </w:p>
    <w:p w14:paraId="389C4C0B">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经监理工程师核准后，按公路标准占地图，进行公路用地放样，开挖占地界沟，占地界沟要始终保持清晰、明显、线形顺直、无淤塞、排水通畅。进行路基用地范围的树木砍伐或移植清理、树根的挖除及坑穴填平夯实、表土剥离工作，防止基底受水浸泡。清出的种植土不得丢弃，应整齐码放在路基两侧坡脚外和公路用地界之间，或在其它适合存放的地点集中堆放，用于路基边坡及绿化用土。在路基施工前，选择地质条件、断面形式均具有代表性的，长度不小于200m路段做为试验路段。以确定合理的机具配备、人员配备、材料的选择、材料的最佳含水量、松铺系数、碾压遍数，总结合理的施工方案。</w:t>
      </w:r>
    </w:p>
    <w:p w14:paraId="3C7CBAE1">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2</w:t>
      </w:r>
      <w:r>
        <w:rPr>
          <w:color w:val="000000" w:themeColor="text1"/>
          <w:highlight w:val="none"/>
        </w:rPr>
        <w:t>）路基工程</w:t>
      </w:r>
    </w:p>
    <w:p w14:paraId="532423D7">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路基土石方施工主要采用机械化施工，由于沿线均为农耕地为主，工程主要以填方为主，取土可就近采购。在路基施工中，要高度重视路基压实度的控制以及桥头路基的处理，将其作为重点和难点工程，施工方案应包括弃方和借方实施细则。</w:t>
      </w:r>
    </w:p>
    <w:p w14:paraId="33DB0129">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路基防护和排水工程应在路基土石方工程后期进行。雨季应采取临时措施，避免雨水对己开挖和填筑边坡的冲刷。</w:t>
      </w:r>
    </w:p>
    <w:p w14:paraId="7EE32CE5">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3</w:t>
      </w:r>
      <w:r>
        <w:rPr>
          <w:color w:val="000000" w:themeColor="text1"/>
          <w:highlight w:val="none"/>
        </w:rPr>
        <w:t>）路面工程</w:t>
      </w:r>
    </w:p>
    <w:p w14:paraId="01498BC8">
      <w:pPr>
        <w:pageBreakBefore w:val="0"/>
        <w:wordWrap/>
        <w:topLinePunct w:val="0"/>
        <w:bidi w:val="0"/>
        <w:spacing w:line="360" w:lineRule="auto"/>
        <w:rPr>
          <w:color w:val="000000" w:themeColor="text1"/>
          <w:szCs w:val="20"/>
          <w:highlight w:val="none"/>
          <w:lang w:val="zh-CN"/>
        </w:rPr>
      </w:pPr>
      <w:r>
        <w:rPr>
          <w:rFonts w:hint="eastAsia"/>
          <w:color w:val="000000" w:themeColor="text1"/>
          <w:szCs w:val="20"/>
          <w:highlight w:val="none"/>
          <w:lang w:val="zh-CN" w:eastAsia="zh-CN"/>
        </w:rPr>
        <w:t>路面工程应在路基土石方、构造物工程完成后立即开工，并避开雨季力争在一年内完工。本项目全线基本采用沥青混凝土路面。底基层采用现场拌和，然后摊铺碾压；基层和面层可采用集中拌和，汽车运输，摊铺机摊铺</w:t>
      </w:r>
      <w:r>
        <w:rPr>
          <w:rFonts w:hint="eastAsia"/>
          <w:color w:val="000000" w:themeColor="text1"/>
          <w:szCs w:val="20"/>
          <w:highlight w:val="none"/>
          <w:lang w:val="zh-CN"/>
        </w:rPr>
        <w:t>。</w:t>
      </w:r>
    </w:p>
    <w:p w14:paraId="2426674B">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4</w:t>
      </w:r>
      <w:r>
        <w:rPr>
          <w:color w:val="000000" w:themeColor="text1"/>
          <w:highlight w:val="none"/>
        </w:rPr>
        <w:t>）桥涵工程</w:t>
      </w:r>
    </w:p>
    <w:p w14:paraId="1D743DB1">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default" w:ascii="Times New Roman" w:hAnsi="Times New Roman" w:eastAsia="宋体" w:cs="Times New Roman"/>
          <w:color w:val="000000" w:themeColor="text1"/>
          <w:highlight w:val="none"/>
          <w:lang w:val="en-US" w:eastAsia="zh-CN"/>
        </w:rPr>
        <w:t>1）桥梁</w:t>
      </w:r>
    </w:p>
    <w:p w14:paraId="4AABE269">
      <w:pPr>
        <w:pageBreakBefore w:val="0"/>
        <w:wordWrap/>
        <w:topLinePunct w:val="0"/>
        <w:bidi w:val="0"/>
        <w:spacing w:line="360" w:lineRule="auto"/>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桥梁施工单位在施工前应进行细致的测量放线工作，勘察施工现场，制定合理的施工组织计划以及质量保证措施。在施工过程中严格遵守桥梁施工规程、规范，严格控制供应材料质量，保证施工进度。</w:t>
      </w:r>
    </w:p>
    <w:p w14:paraId="546734AE">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default" w:ascii="Times New Roman" w:hAnsi="Times New Roman" w:eastAsia="宋体" w:cs="Times New Roman"/>
          <w:color w:val="000000" w:themeColor="text1"/>
          <w:highlight w:val="none"/>
          <w:lang w:val="en-US" w:eastAsia="zh-CN"/>
        </w:rPr>
        <w:t>2）涵洞</w:t>
      </w:r>
    </w:p>
    <w:p w14:paraId="2E8C0712">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default" w:ascii="Times New Roman" w:hAnsi="Times New Roman" w:eastAsia="宋体" w:cs="Times New Roman"/>
          <w:color w:val="000000" w:themeColor="text1"/>
          <w:highlight w:val="none"/>
          <w:lang w:val="en-US" w:eastAsia="zh-CN"/>
        </w:rPr>
        <w:t>涵洞可与路基同步施工。</w:t>
      </w:r>
    </w:p>
    <w:p w14:paraId="62EE4ED8">
      <w:pPr>
        <w:pageBreakBefore w:val="0"/>
        <w:wordWrap/>
        <w:topLinePunct w:val="0"/>
        <w:bidi w:val="0"/>
        <w:spacing w:line="360" w:lineRule="auto"/>
        <w:rPr>
          <w:color w:val="000000" w:themeColor="text1"/>
          <w:highlight w:val="none"/>
        </w:rPr>
      </w:pPr>
      <w:r>
        <w:rPr>
          <w:rFonts w:hint="default" w:ascii="Times New Roman" w:hAnsi="Times New Roman" w:cs="Times New Roman"/>
          <w:color w:val="000000" w:themeColor="text1"/>
          <w:highlight w:val="none"/>
          <w:lang w:val="en-US" w:eastAsia="zh-CN"/>
        </w:rPr>
        <w:t>3）</w:t>
      </w:r>
      <w:r>
        <w:rPr>
          <w:rFonts w:hint="default" w:ascii="Times New Roman" w:hAnsi="Times New Roman" w:cs="Times New Roman"/>
          <w:color w:val="000000" w:themeColor="text1"/>
          <w:highlight w:val="none"/>
        </w:rPr>
        <w:t>桥涵施</w:t>
      </w:r>
      <w:r>
        <w:rPr>
          <w:rFonts w:hint="eastAsia"/>
          <w:color w:val="000000" w:themeColor="text1"/>
          <w:highlight w:val="none"/>
        </w:rPr>
        <w:t>工注意事项</w:t>
      </w:r>
    </w:p>
    <w:p w14:paraId="33DB4273">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w:instrText>
      </w:r>
      <w:r>
        <w:rPr>
          <w:rFonts w:hint="eastAsia"/>
          <w:color w:val="000000" w:themeColor="text1"/>
          <w:highlight w:val="none"/>
        </w:rPr>
        <w:instrText xml:space="preserve">= 1 \* GB3</w:instrText>
      </w:r>
      <w:r>
        <w:rPr>
          <w:color w:val="000000" w:themeColor="text1"/>
          <w:highlight w:val="none"/>
        </w:rPr>
        <w:instrText xml:space="preserve"> </w:instrText>
      </w:r>
      <w:r>
        <w:rPr>
          <w:color w:val="000000" w:themeColor="text1"/>
          <w:highlight w:val="none"/>
        </w:rPr>
        <w:fldChar w:fldCharType="separate"/>
      </w:r>
      <w:r>
        <w:rPr>
          <w:rFonts w:hint="eastAsia"/>
          <w:color w:val="000000" w:themeColor="text1"/>
          <w:highlight w:val="none"/>
        </w:rPr>
        <w:t>①</w:t>
      </w:r>
      <w:r>
        <w:rPr>
          <w:color w:val="000000" w:themeColor="text1"/>
          <w:highlight w:val="none"/>
        </w:rPr>
        <w:fldChar w:fldCharType="end"/>
      </w:r>
      <w:r>
        <w:rPr>
          <w:rFonts w:hint="eastAsia"/>
          <w:color w:val="000000" w:themeColor="text1"/>
          <w:highlight w:val="none"/>
        </w:rPr>
        <w:t>桥梁施工前，施工单位应按规定同与施工有关的政府机关或行业主管部门</w:t>
      </w:r>
      <w:r>
        <w:rPr>
          <w:rFonts w:hint="eastAsia"/>
          <w:color w:val="000000" w:themeColor="text1"/>
          <w:highlight w:val="none"/>
          <w:lang w:eastAsia="zh-CN"/>
        </w:rPr>
        <w:t>（</w:t>
      </w:r>
      <w:r>
        <w:rPr>
          <w:rFonts w:hint="eastAsia"/>
          <w:color w:val="000000" w:themeColor="text1"/>
          <w:highlight w:val="none"/>
        </w:rPr>
        <w:t>如水利、</w:t>
      </w:r>
      <w:r>
        <w:rPr>
          <w:rFonts w:hint="eastAsia"/>
          <w:color w:val="000000" w:themeColor="text1"/>
          <w:highlight w:val="none"/>
          <w:lang w:val="en-US" w:eastAsia="zh-CN"/>
        </w:rPr>
        <w:t>铁路</w:t>
      </w:r>
      <w:r>
        <w:rPr>
          <w:rFonts w:hint="eastAsia"/>
          <w:color w:val="000000" w:themeColor="text1"/>
          <w:highlight w:val="none"/>
        </w:rPr>
        <w:t>等</w:t>
      </w:r>
      <w:r>
        <w:rPr>
          <w:rFonts w:hint="eastAsia"/>
          <w:color w:val="000000" w:themeColor="text1"/>
          <w:highlight w:val="none"/>
          <w:lang w:eastAsia="zh-CN"/>
        </w:rPr>
        <w:t>）</w:t>
      </w:r>
      <w:r>
        <w:rPr>
          <w:rFonts w:hint="eastAsia"/>
          <w:color w:val="000000" w:themeColor="text1"/>
          <w:highlight w:val="none"/>
        </w:rPr>
        <w:t>取得联系，征得许可和支持。</w:t>
      </w:r>
    </w:p>
    <w:p w14:paraId="60FD7CAC">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w:instrText>
      </w:r>
      <w:r>
        <w:rPr>
          <w:rFonts w:hint="eastAsia"/>
          <w:color w:val="000000" w:themeColor="text1"/>
          <w:highlight w:val="none"/>
        </w:rPr>
        <w:instrText xml:space="preserve">= 2 \* GB3</w:instrText>
      </w:r>
      <w:r>
        <w:rPr>
          <w:color w:val="000000" w:themeColor="text1"/>
          <w:highlight w:val="none"/>
        </w:rPr>
        <w:instrText xml:space="preserve"> </w:instrText>
      </w:r>
      <w:r>
        <w:rPr>
          <w:color w:val="000000" w:themeColor="text1"/>
          <w:highlight w:val="none"/>
        </w:rPr>
        <w:fldChar w:fldCharType="separate"/>
      </w:r>
      <w:r>
        <w:rPr>
          <w:rFonts w:hint="eastAsia"/>
          <w:color w:val="000000" w:themeColor="text1"/>
          <w:highlight w:val="none"/>
        </w:rPr>
        <w:t>②</w:t>
      </w:r>
      <w:r>
        <w:rPr>
          <w:color w:val="000000" w:themeColor="text1"/>
          <w:highlight w:val="none"/>
        </w:rPr>
        <w:fldChar w:fldCharType="end"/>
      </w:r>
      <w:r>
        <w:rPr>
          <w:rFonts w:hint="eastAsia"/>
          <w:color w:val="000000" w:themeColor="text1"/>
          <w:highlight w:val="none"/>
        </w:rPr>
        <w:t>桥涵施工安排、场地布置应充分考虑防洪、防涝的需要，不得影响行洪、排涝及农田水利设施的正常功能。有必要埋设临时排水、输水管道的沟渠，必须按要求埋设并保证通畅。桥梁施工中应视进度及时拆除影响行洪的临时设施，及时清理河道。</w:t>
      </w:r>
    </w:p>
    <w:p w14:paraId="5B226365">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w:instrText>
      </w:r>
      <w:r>
        <w:rPr>
          <w:rFonts w:hint="eastAsia"/>
          <w:color w:val="000000" w:themeColor="text1"/>
          <w:highlight w:val="none"/>
        </w:rPr>
        <w:instrText xml:space="preserve">= 3 \* GB3</w:instrText>
      </w:r>
      <w:r>
        <w:rPr>
          <w:color w:val="000000" w:themeColor="text1"/>
          <w:highlight w:val="none"/>
        </w:rPr>
        <w:instrText xml:space="preserve"> </w:instrText>
      </w:r>
      <w:r>
        <w:rPr>
          <w:color w:val="000000" w:themeColor="text1"/>
          <w:highlight w:val="none"/>
        </w:rPr>
        <w:fldChar w:fldCharType="separate"/>
      </w:r>
      <w:r>
        <w:rPr>
          <w:rFonts w:hint="eastAsia"/>
          <w:color w:val="000000" w:themeColor="text1"/>
          <w:highlight w:val="none"/>
        </w:rPr>
        <w:t>③</w:t>
      </w:r>
      <w:r>
        <w:rPr>
          <w:color w:val="000000" w:themeColor="text1"/>
          <w:highlight w:val="none"/>
        </w:rPr>
        <w:fldChar w:fldCharType="end"/>
      </w:r>
      <w:r>
        <w:rPr>
          <w:rFonts w:hint="eastAsia"/>
          <w:color w:val="000000" w:themeColor="text1"/>
          <w:highlight w:val="none"/>
        </w:rPr>
        <w:t>跨河桥梁下部施工应尽量安排在枯水季节进行，并需与防汛部门保持联系，了解汛情及洪水调度情况，确保施工安全。</w:t>
      </w:r>
    </w:p>
    <w:p w14:paraId="0304F6A4">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4</w:t>
      </w:r>
      <w:r>
        <w:rPr>
          <w:rFonts w:hint="eastAsia"/>
          <w:color w:val="000000" w:themeColor="text1"/>
          <w:highlight w:val="none"/>
        </w:rPr>
        <w:t>.3</w:t>
      </w:r>
      <w:r>
        <w:rPr>
          <w:color w:val="000000" w:themeColor="text1"/>
          <w:highlight w:val="none"/>
        </w:rPr>
        <w:t>交通组织方案</w:t>
      </w:r>
    </w:p>
    <w:p w14:paraId="7DC8CDAC">
      <w:pPr>
        <w:pageBreakBefore w:val="0"/>
        <w:wordWrap/>
        <w:topLinePunct w:val="0"/>
        <w:bidi w:val="0"/>
        <w:spacing w:line="360" w:lineRule="auto"/>
        <w:rPr>
          <w:color w:val="000000" w:themeColor="text1"/>
          <w:highlight w:val="none"/>
        </w:rPr>
      </w:pPr>
      <w:r>
        <w:rPr>
          <w:color w:val="000000" w:themeColor="text1"/>
          <w:highlight w:val="none"/>
        </w:rPr>
        <w:t>本项目施工时对沿线居民交通出行影响较小，平交道口应设置围挡等措施，降低对被交叉路和居民生产生活的影响。</w:t>
      </w:r>
    </w:p>
    <w:p w14:paraId="0BEF13B0">
      <w:pPr>
        <w:pageBreakBefore w:val="0"/>
        <w:wordWrap/>
        <w:topLinePunct w:val="0"/>
        <w:bidi w:val="0"/>
        <w:spacing w:line="360" w:lineRule="auto"/>
        <w:rPr>
          <w:color w:val="000000" w:themeColor="text1"/>
          <w:highlight w:val="none"/>
        </w:rPr>
      </w:pPr>
      <w:r>
        <w:rPr>
          <w:color w:val="000000" w:themeColor="text1"/>
          <w:highlight w:val="none"/>
        </w:rPr>
        <w:t>本项目村屯附近经过路段，应设置明显警示标志，安排专人负责看护道口。</w:t>
      </w:r>
    </w:p>
    <w:p w14:paraId="3DF8EF73">
      <w:pPr>
        <w:pageBreakBefore w:val="0"/>
        <w:wordWrap/>
        <w:topLinePunct w:val="0"/>
        <w:bidi w:val="0"/>
        <w:spacing w:line="360" w:lineRule="auto"/>
        <w:rPr>
          <w:color w:val="000000" w:themeColor="text1"/>
          <w:highlight w:val="none"/>
        </w:rPr>
      </w:pPr>
    </w:p>
    <w:p w14:paraId="0F21368B">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3.1.1</w:t>
      </w:r>
      <w:r>
        <w:rPr>
          <w:rFonts w:hint="eastAsia"/>
          <w:color w:val="000000" w:themeColor="text1"/>
          <w:highlight w:val="none"/>
          <w:lang w:val="en-US" w:eastAsia="zh-CN"/>
        </w:rPr>
        <w:t>4</w:t>
      </w:r>
      <w:r>
        <w:rPr>
          <w:rFonts w:hint="eastAsia"/>
          <w:color w:val="000000" w:themeColor="text1"/>
          <w:highlight w:val="none"/>
        </w:rPr>
        <w:t>.4</w:t>
      </w:r>
      <w:r>
        <w:rPr>
          <w:color w:val="000000" w:themeColor="text1"/>
          <w:highlight w:val="none"/>
        </w:rPr>
        <w:t>筑路材料来源及运输条件</w:t>
      </w:r>
    </w:p>
    <w:p w14:paraId="5131212C">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（1）石料</w:t>
      </w:r>
    </w:p>
    <w:p w14:paraId="3213B51E">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萝北县大平石材加工有限公司：该石场位于鹤岗市鹤北林业局北部，石质为花岗岩、玄武岩。其中玄武岩强度高、粘附性好，储量丰富，可生产各种规格碎石、片块石、机制砂，可用于路面面层。平均运距37.4km，采用汽车运输方式。</w:t>
      </w:r>
    </w:p>
    <w:p w14:paraId="5C53F362">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（2）砂砾</w:t>
      </w:r>
    </w:p>
    <w:p w14:paraId="28F1E30C">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东方市政砂场：该砂场位于佳木斯市望江镇临江村东南松花江北岸边，储量丰富，开采量大，主要生产砂砾及中粗砂，级配较好，含泥量小，储量丰富，可用于桥涵工程、路面工程、路基工程。平均运距93.4km，采用汽车运输方式。</w:t>
      </w:r>
    </w:p>
    <w:p w14:paraId="768E92D5">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（3）水泥</w:t>
      </w:r>
    </w:p>
    <w:p w14:paraId="733786A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鹤岗市鑫塔水泥厂：该水泥厂位于鹤岗市兴安区，该料场生产的水泥可用于路基工程、排水工程以及桥涵工程等。水泥厂至拌合站运距40km。</w:t>
      </w:r>
    </w:p>
    <w:p w14:paraId="284C44C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（4）矿粉</w:t>
      </w:r>
    </w:p>
    <w:p w14:paraId="69CEA625">
      <w:pPr>
        <w:pageBreakBefore w:val="0"/>
        <w:wordWrap/>
        <w:topLinePunct w:val="0"/>
        <w:bidi w:val="0"/>
        <w:spacing w:line="360" w:lineRule="auto"/>
        <w:rPr>
          <w:rFonts w:hint="default"/>
          <w:color w:val="000000" w:themeColor="text1"/>
          <w:highlight w:val="none"/>
          <w:lang w:val="en-US" w:eastAsia="zh-CN"/>
        </w:rPr>
      </w:pPr>
      <w:r>
        <w:rPr>
          <w:rFonts w:hint="default"/>
          <w:color w:val="000000" w:themeColor="text1"/>
          <w:highlight w:val="none"/>
          <w:lang w:val="en-US" w:eastAsia="zh-CN"/>
        </w:rPr>
        <w:t>黑龙江宝泉岭农垦玉山白灰厂</w:t>
      </w:r>
      <w:r>
        <w:rPr>
          <w:rFonts w:hint="eastAsia"/>
          <w:color w:val="000000" w:themeColor="text1"/>
          <w:highlight w:val="none"/>
          <w:lang w:val="en-US" w:eastAsia="zh-CN"/>
        </w:rPr>
        <w:t>：</w:t>
      </w:r>
      <w:r>
        <w:rPr>
          <w:rFonts w:hint="default"/>
          <w:color w:val="000000" w:themeColor="text1"/>
          <w:highlight w:val="none"/>
          <w:lang w:val="en-US" w:eastAsia="zh-CN"/>
        </w:rPr>
        <w:t>该料场位于鹤岗市萝北县延军农场，所产矿粉干燥、洁净</w:t>
      </w:r>
      <w:r>
        <w:rPr>
          <w:rFonts w:hint="eastAsia"/>
          <w:color w:val="000000" w:themeColor="text1"/>
          <w:highlight w:val="none"/>
          <w:lang w:val="en-US" w:eastAsia="zh-CN"/>
        </w:rPr>
        <w:t>，</w:t>
      </w:r>
      <w:r>
        <w:rPr>
          <w:rFonts w:hint="default"/>
          <w:color w:val="000000" w:themeColor="text1"/>
          <w:highlight w:val="none"/>
          <w:lang w:val="en-US" w:eastAsia="zh-CN"/>
        </w:rPr>
        <w:t>不成团块。矿粉可用于沥青面层工程。白灰厂至拌合站运距63km。</w:t>
      </w:r>
    </w:p>
    <w:p w14:paraId="7807C012">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 xml:space="preserve">（5）钢材、木材等建筑材料 </w:t>
      </w:r>
    </w:p>
    <w:p w14:paraId="1B4F88F5">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钢筋、钢材、木材由鹤岗市供应；钢绞线、钢管立柱、波形钢板由哈尔滨市供应。沥青于盘锦沥青储运站购买。该储运站位于辽宁省盘锦市，有各种符合国家标准的各种规格的沥青，可用于本项目沥青混凝土面层。</w:t>
      </w:r>
    </w:p>
    <w:p w14:paraId="047DE1D5">
      <w:pPr>
        <w:pStyle w:val="3"/>
        <w:pageBreakBefore w:val="0"/>
        <w:wordWrap/>
        <w:topLinePunct w:val="0"/>
        <w:bidi w:val="0"/>
        <w:spacing w:line="360" w:lineRule="auto"/>
        <w:rPr>
          <w:color w:val="000000" w:themeColor="text1"/>
          <w:highlight w:val="none"/>
        </w:rPr>
      </w:pPr>
      <w:bookmarkStart w:id="271" w:name="_Toc518574367"/>
      <w:bookmarkStart w:id="272" w:name="_Toc18244"/>
      <w:bookmarkStart w:id="273" w:name="_Toc4162"/>
      <w:bookmarkStart w:id="274" w:name="_Toc3864"/>
      <w:bookmarkStart w:id="275" w:name="_Toc7196"/>
      <w:r>
        <w:rPr>
          <w:rFonts w:hint="eastAsia"/>
          <w:color w:val="000000" w:themeColor="text1"/>
          <w:highlight w:val="none"/>
        </w:rPr>
        <w:t>3.2</w:t>
      </w:r>
      <w:r>
        <w:rPr>
          <w:color w:val="000000" w:themeColor="text1"/>
          <w:highlight w:val="none"/>
        </w:rPr>
        <w:t>工艺流程及污染工序分析</w:t>
      </w:r>
      <w:bookmarkEnd w:id="271"/>
      <w:bookmarkEnd w:id="272"/>
      <w:bookmarkEnd w:id="273"/>
      <w:bookmarkEnd w:id="274"/>
      <w:bookmarkEnd w:id="275"/>
    </w:p>
    <w:p w14:paraId="471CD2EF">
      <w:pPr>
        <w:pStyle w:val="4"/>
        <w:pageBreakBefore w:val="0"/>
        <w:wordWrap/>
        <w:topLinePunct w:val="0"/>
        <w:bidi w:val="0"/>
        <w:spacing w:before="120" w:line="360" w:lineRule="auto"/>
        <w:rPr>
          <w:color w:val="000000" w:themeColor="text1"/>
          <w:highlight w:val="none"/>
        </w:rPr>
      </w:pPr>
      <w:bookmarkStart w:id="276" w:name="_Toc1498"/>
      <w:bookmarkStart w:id="277" w:name="_Toc25348"/>
      <w:r>
        <w:rPr>
          <w:rFonts w:hint="eastAsia"/>
          <w:color w:val="000000" w:themeColor="text1"/>
          <w:highlight w:val="none"/>
        </w:rPr>
        <w:t>3.2.1</w:t>
      </w:r>
      <w:r>
        <w:rPr>
          <w:color w:val="000000" w:themeColor="text1"/>
          <w:highlight w:val="none"/>
        </w:rPr>
        <w:t>公路与附属工程设施</w:t>
      </w:r>
      <w:bookmarkEnd w:id="276"/>
      <w:bookmarkEnd w:id="277"/>
    </w:p>
    <w:p w14:paraId="58B97987">
      <w:pPr>
        <w:pageBreakBefore w:val="0"/>
        <w:wordWrap/>
        <w:topLinePunct w:val="0"/>
        <w:bidi w:val="0"/>
        <w:spacing w:line="360" w:lineRule="auto"/>
        <w:rPr>
          <w:color w:val="000000" w:themeColor="text1"/>
          <w:highlight w:val="none"/>
        </w:rPr>
      </w:pPr>
      <w:r>
        <w:rPr>
          <w:color w:val="000000" w:themeColor="text1"/>
          <w:highlight w:val="none"/>
        </w:rPr>
        <w:t>本项目建设过程中路基工程将首先开工，路面及交通设施等工程后续跟进，各类工程因其作业方式不同，所产生的污染物种类和数量也有所差异，施工工艺流程详见图3.2-1。</w:t>
      </w:r>
    </w:p>
    <w:p w14:paraId="582822A6">
      <w:pPr>
        <w:pageBreakBefore w:val="0"/>
        <w:wordWrap/>
        <w:topLinePunct w:val="0"/>
        <w:bidi w:val="0"/>
        <w:spacing w:line="360" w:lineRule="auto"/>
        <w:ind w:firstLine="420"/>
        <w:rPr>
          <w:color w:val="000000" w:themeColor="text1"/>
          <w:sz w:val="21"/>
          <w:szCs w:val="21"/>
          <w:highlight w:val="none"/>
        </w:rPr>
      </w:pPr>
    </w:p>
    <w:p w14:paraId="742F4CAA">
      <w:pPr>
        <w:pageBreakBefore w:val="0"/>
        <w:wordWrap/>
        <w:topLinePunct w:val="0"/>
        <w:bidi w:val="0"/>
        <w:spacing w:line="360" w:lineRule="auto"/>
        <w:ind w:firstLine="420"/>
        <w:rPr>
          <w:color w:val="000000" w:themeColor="text1"/>
          <w:sz w:val="21"/>
          <w:szCs w:val="21"/>
          <w:highlight w:val="none"/>
        </w:rPr>
      </w:pPr>
    </w:p>
    <w:p w14:paraId="484FC499">
      <w:pPr>
        <w:pageBreakBefore w:val="0"/>
        <w:wordWrap/>
        <w:topLinePunct w:val="0"/>
        <w:bidi w:val="0"/>
        <w:spacing w:line="360" w:lineRule="auto"/>
        <w:ind w:firstLine="420"/>
        <w:rPr>
          <w:color w:val="000000" w:themeColor="text1"/>
          <w:sz w:val="21"/>
          <w:szCs w:val="21"/>
          <w:highlight w:val="none"/>
        </w:rPr>
      </w:pPr>
    </w:p>
    <w:p w14:paraId="56903A8B">
      <w:pPr>
        <w:pageBreakBefore w:val="0"/>
        <w:wordWrap/>
        <w:topLinePunct w:val="0"/>
        <w:bidi w:val="0"/>
        <w:spacing w:line="360" w:lineRule="auto"/>
        <w:ind w:firstLine="420"/>
        <w:rPr>
          <w:color w:val="000000" w:themeColor="text1"/>
          <w:sz w:val="21"/>
          <w:szCs w:val="21"/>
          <w:highlight w:val="none"/>
        </w:rPr>
      </w:pPr>
    </w:p>
    <w:p w14:paraId="4DDA166E">
      <w:pPr>
        <w:pageBreakBefore w:val="0"/>
        <w:wordWrap/>
        <w:topLinePunct w:val="0"/>
        <w:bidi w:val="0"/>
        <w:spacing w:line="360" w:lineRule="auto"/>
        <w:ind w:firstLine="420"/>
        <w:rPr>
          <w:color w:val="000000" w:themeColor="text1"/>
          <w:sz w:val="21"/>
          <w:szCs w:val="21"/>
          <w:highlight w:val="none"/>
        </w:rPr>
      </w:pPr>
    </w:p>
    <w:p w14:paraId="1AAF7D08">
      <w:pPr>
        <w:pageBreakBefore w:val="0"/>
        <w:wordWrap/>
        <w:topLinePunct w:val="0"/>
        <w:bidi w:val="0"/>
        <w:spacing w:line="360" w:lineRule="auto"/>
        <w:ind w:firstLine="420"/>
        <w:rPr>
          <w:color w:val="000000" w:themeColor="text1"/>
          <w:sz w:val="21"/>
          <w:szCs w:val="21"/>
          <w:highlight w:val="none"/>
        </w:rPr>
      </w:pPr>
    </w:p>
    <w:p w14:paraId="622F341A">
      <w:pPr>
        <w:pageBreakBefore w:val="0"/>
        <w:wordWrap/>
        <w:topLinePunct w:val="0"/>
        <w:bidi w:val="0"/>
        <w:spacing w:line="360" w:lineRule="auto"/>
        <w:ind w:firstLine="420"/>
        <w:rPr>
          <w:color w:val="000000" w:themeColor="text1"/>
          <w:sz w:val="21"/>
          <w:szCs w:val="21"/>
          <w:highlight w:val="none"/>
        </w:rPr>
      </w:pPr>
      <w:r>
        <w:rPr>
          <w:color w:val="000000" w:themeColor="text1"/>
          <w:sz w:val="21"/>
          <w:szCs w:val="21"/>
          <w:highlight w:val="none"/>
        </w:rPr>
        <w:pict>
          <v:shape id="自选图形 1026" o:spid="_x0000_s2055" o:spt="42" type="#_x0000_t42" style="position:absolute;left:0pt;margin-left:367.05pt;margin-top:5.35pt;height:24.3pt;width:58.95pt;z-index:251673600;mso-width-relative:page;mso-height-relative:page;" coordsize="21600,21600" adj="-12568,22533,-7347,8000,-2198,8000,-112928,44667">
            <v:path arrowok="t"/>
            <v:fill focussize="0,0"/>
            <v:stroke dashstyle="dash"/>
            <v:imagedata o:title=""/>
            <o:lock v:ext="edit"/>
            <o:callout minusy="t"/>
            <v:textbox>
              <w:txbxContent>
                <w:p w14:paraId="7C32562B">
                  <w:pPr>
                    <w:spacing w:line="240" w:lineRule="auto"/>
                    <w:ind w:firstLine="0" w:firstLineChars="0"/>
                    <w:rPr>
                      <w:sz w:val="21"/>
                      <w:szCs w:val="21"/>
                    </w:rPr>
                  </w:pPr>
                  <w:r>
                    <w:rPr>
                      <w:rFonts w:hint="eastAsia"/>
                      <w:sz w:val="21"/>
                      <w:szCs w:val="21"/>
                    </w:rPr>
                    <w:t>G、N</w:t>
                  </w:r>
                </w:p>
              </w:txbxContent>
            </v:textbox>
          </v:shape>
        </w:pict>
      </w:r>
      <w:r>
        <w:rPr>
          <w:color w:val="000000" w:themeColor="text1"/>
          <w:sz w:val="21"/>
          <w:szCs w:val="21"/>
          <w:highlight w:val="none"/>
        </w:rPr>
        <w:pict>
          <v:shape id="自选图形 1027" o:spid="_x0000_s2056" o:spt="42" type="#_x0000_t42" style="position:absolute;left:0pt;margin-left:243.2pt;margin-top:5.2pt;height:24.3pt;width:58.95pt;z-index:251672576;mso-width-relative:page;mso-height-relative:page;" coordsize="21600,21600" adj="-10113,21333,-6119,8000,-2198,8000,-71908,34089">
            <v:path arrowok="t"/>
            <v:fill focussize="0,0"/>
            <v:stroke dashstyle="dash"/>
            <v:imagedata o:title=""/>
            <o:lock v:ext="edit"/>
            <o:callout minusy="t"/>
            <v:textbox>
              <w:txbxContent>
                <w:p w14:paraId="3AB8B66A">
                  <w:pPr>
                    <w:spacing w:line="240" w:lineRule="auto"/>
                    <w:ind w:firstLine="0" w:firstLineChars="0"/>
                    <w:rPr>
                      <w:sz w:val="21"/>
                      <w:szCs w:val="21"/>
                    </w:rPr>
                  </w:pPr>
                  <w:r>
                    <w:rPr>
                      <w:rFonts w:hint="eastAsia"/>
                      <w:sz w:val="21"/>
                      <w:szCs w:val="21"/>
                    </w:rPr>
                    <w:t>G、N、S</w:t>
                  </w:r>
                </w:p>
              </w:txbxContent>
            </v:textbox>
          </v:shape>
        </w:pict>
      </w:r>
    </w:p>
    <w:p w14:paraId="5D68DBA0">
      <w:pPr>
        <w:pageBreakBefore w:val="0"/>
        <w:wordWrap/>
        <w:topLinePunct w:val="0"/>
        <w:bidi w:val="0"/>
        <w:spacing w:line="360" w:lineRule="auto"/>
        <w:ind w:firstLine="420"/>
        <w:rPr>
          <w:color w:val="000000" w:themeColor="text1"/>
          <w:sz w:val="21"/>
          <w:szCs w:val="21"/>
          <w:highlight w:val="none"/>
        </w:rPr>
      </w:pPr>
      <w:r>
        <w:rPr>
          <w:color w:val="000000" w:themeColor="text1"/>
          <w:sz w:val="21"/>
          <w:szCs w:val="21"/>
          <w:highlight w:val="none"/>
        </w:rPr>
        <w:pict>
          <v:rect id="矩形 1029" o:spid="_x0000_s2058" o:spt="1" style="position:absolute;left:0pt;margin-left:114.85pt;margin-top:11.5pt;height:23.05pt;width:58.95pt;z-index:251669504;mso-width-relative:page;mso-height-relative:page;" coordsize="21600,21600">
            <v:path/>
            <v:fill focussize="0,0"/>
            <v:stroke/>
            <v:imagedata o:title=""/>
            <o:lock v:ext="edit"/>
            <v:textbox>
              <w:txbxContent>
                <w:p w14:paraId="6C6DBD16">
                  <w:pPr>
                    <w:spacing w:line="240" w:lineRule="auto"/>
                    <w:ind w:firstLine="0" w:firstLineChars="0"/>
                    <w:rPr>
                      <w:sz w:val="21"/>
                      <w:szCs w:val="21"/>
                    </w:rPr>
                  </w:pPr>
                  <w:r>
                    <w:rPr>
                      <w:rFonts w:hint="eastAsia"/>
                      <w:sz w:val="21"/>
                      <w:szCs w:val="21"/>
                    </w:rPr>
                    <w:t>测量放线</w:t>
                  </w:r>
                </w:p>
              </w:txbxContent>
            </v:textbox>
          </v:rect>
        </w:pict>
      </w:r>
      <w:r>
        <w:rPr>
          <w:color w:val="000000" w:themeColor="text1"/>
          <w:sz w:val="21"/>
          <w:szCs w:val="21"/>
          <w:highlight w:val="none"/>
        </w:rPr>
        <w:pict>
          <v:line id="直线 1030" o:spid="_x0000_s2059" o:spt="20" style="position:absolute;left:0pt;margin-left:277.65pt;margin-top:22.65pt;height:0pt;width:26.85pt;z-index:251664384;mso-width-relative:page;mso-height-relative:page;" coordsize="21600,21600">
            <v:path arrowok="t"/>
            <v:fill focussize="0,0"/>
            <v:stroke endarrow="block"/>
            <v:imagedata o:title=""/>
            <o:lock v:ext="edit"/>
          </v:line>
        </w:pict>
      </w:r>
      <w:r>
        <w:rPr>
          <w:color w:val="000000" w:themeColor="text1"/>
          <w:sz w:val="21"/>
          <w:szCs w:val="21"/>
          <w:highlight w:val="none"/>
        </w:rPr>
        <w:pict>
          <v:line id="直线 1031" o:spid="_x0000_s2060" o:spt="20" style="position:absolute;left:0pt;margin-left:175.4pt;margin-top:23.1pt;height:0pt;width:26.9pt;z-index:251662336;mso-width-relative:page;mso-height-relative:page;" coordsize="21600,21600">
            <v:path arrowok="t"/>
            <v:fill focussize="0,0"/>
            <v:stroke endarrow="block"/>
            <v:imagedata o:title=""/>
            <o:lock v:ext="edit"/>
          </v:line>
        </w:pict>
      </w:r>
      <w:r>
        <w:rPr>
          <w:color w:val="000000" w:themeColor="text1"/>
          <w:sz w:val="21"/>
          <w:szCs w:val="21"/>
          <w:highlight w:val="none"/>
        </w:rPr>
        <w:pict>
          <v:rect id="矩形 1032" o:spid="_x0000_s2061" o:spt="1" style="position:absolute;left:0pt;margin-left:316.45pt;margin-top:12.1pt;height:23.05pt;width:58.95pt;z-index:251661312;mso-width-relative:page;mso-height-relative:page;" coordsize="21600,21600">
            <v:path/>
            <v:fill focussize="0,0"/>
            <v:stroke/>
            <v:imagedata o:title=""/>
            <o:lock v:ext="edit"/>
            <v:textbox>
              <w:txbxContent>
                <w:p w14:paraId="08766E15">
                  <w:pPr>
                    <w:spacing w:line="240" w:lineRule="auto"/>
                    <w:ind w:firstLine="0" w:firstLineChars="0"/>
                    <w:rPr>
                      <w:sz w:val="21"/>
                      <w:szCs w:val="21"/>
                    </w:rPr>
                  </w:pPr>
                  <w:r>
                    <w:rPr>
                      <w:rFonts w:hint="eastAsia"/>
                      <w:sz w:val="21"/>
                      <w:szCs w:val="21"/>
                    </w:rPr>
                    <w:t>路床平整</w:t>
                  </w:r>
                </w:p>
              </w:txbxContent>
            </v:textbox>
          </v:rect>
        </w:pict>
      </w:r>
      <w:r>
        <w:rPr>
          <w:color w:val="000000" w:themeColor="text1"/>
          <w:sz w:val="21"/>
          <w:szCs w:val="21"/>
          <w:highlight w:val="none"/>
        </w:rPr>
        <w:pict>
          <v:rect id="矩形 1034" o:spid="_x0000_s2063" o:spt="1" style="position:absolute;left:0pt;margin-left:209pt;margin-top:12.1pt;height:23.05pt;width:58.95pt;z-index:251660288;mso-width-relative:page;mso-height-relative:page;" coordsize="21600,21600">
            <v:path/>
            <v:fill focussize="0,0"/>
            <v:stroke/>
            <v:imagedata o:title=""/>
            <o:lock v:ext="edit"/>
            <v:textbox>
              <w:txbxContent>
                <w:p w14:paraId="7201BF5E">
                  <w:pPr>
                    <w:spacing w:line="240" w:lineRule="auto"/>
                    <w:ind w:firstLine="0" w:firstLineChars="0"/>
                    <w:rPr>
                      <w:sz w:val="21"/>
                      <w:szCs w:val="21"/>
                    </w:rPr>
                  </w:pPr>
                  <w:r>
                    <w:rPr>
                      <w:rFonts w:hint="eastAsia"/>
                      <w:sz w:val="21"/>
                      <w:szCs w:val="21"/>
                    </w:rPr>
                    <w:t>基础开挖</w:t>
                  </w:r>
                </w:p>
              </w:txbxContent>
            </v:textbox>
          </v:rect>
        </w:pict>
      </w:r>
    </w:p>
    <w:p w14:paraId="2B3A3156">
      <w:pPr>
        <w:pageBreakBefore w:val="0"/>
        <w:wordWrap/>
        <w:topLinePunct w:val="0"/>
        <w:bidi w:val="0"/>
        <w:spacing w:line="360" w:lineRule="auto"/>
        <w:ind w:firstLine="420"/>
        <w:rPr>
          <w:color w:val="000000" w:themeColor="text1"/>
          <w:sz w:val="21"/>
          <w:szCs w:val="21"/>
          <w:highlight w:val="none"/>
        </w:rPr>
      </w:pPr>
      <w:r>
        <w:rPr>
          <w:color w:val="000000" w:themeColor="text1"/>
          <w:sz w:val="21"/>
          <w:szCs w:val="21"/>
          <w:highlight w:val="none"/>
        </w:rPr>
        <w:pict>
          <v:line id="直线 1036" o:spid="_x0000_s2065" o:spt="20" style="position:absolute;left:0pt;margin-left:341.7pt;margin-top:17.65pt;height:27.8pt;width:0pt;z-index:251665408;mso-width-relative:page;mso-height-relative:page;" coordsize="21600,21600">
            <v:path arrowok="t"/>
            <v:fill focussize="0,0"/>
            <v:stroke endarrow="block"/>
            <v:imagedata o:title=""/>
            <o:lock v:ext="edit"/>
          </v:line>
        </w:pict>
      </w:r>
    </w:p>
    <w:p w14:paraId="54F0FC22">
      <w:pPr>
        <w:pageBreakBefore w:val="0"/>
        <w:wordWrap/>
        <w:topLinePunct w:val="0"/>
        <w:bidi w:val="0"/>
        <w:spacing w:line="360" w:lineRule="auto"/>
        <w:ind w:firstLine="420"/>
        <w:rPr>
          <w:color w:val="000000" w:themeColor="text1"/>
          <w:sz w:val="21"/>
          <w:szCs w:val="21"/>
          <w:highlight w:val="none"/>
        </w:rPr>
      </w:pPr>
      <w:r>
        <w:rPr>
          <w:color w:val="000000" w:themeColor="text1"/>
          <w:sz w:val="21"/>
          <w:szCs w:val="21"/>
          <w:highlight w:val="none"/>
        </w:rPr>
        <w:pict>
          <v:shape id="自选图形 1037" o:spid="_x0000_s2066" o:spt="42" type="#_x0000_t42" style="position:absolute;left:0pt;margin-left:383.1pt;margin-top:2.6pt;height:20.65pt;width:59.55pt;z-index:251675648;mso-width-relative:page;mso-height-relative:page;" coordsize="21600,21600" adj="-11643,28556,-6855,9414,-2176,9414,-101235,33263">
            <v:path arrowok="t"/>
            <v:fill focussize="0,0"/>
            <v:stroke dashstyle="dash"/>
            <v:imagedata o:title=""/>
            <o:lock v:ext="edit"/>
            <o:callout minusy="t"/>
            <v:textbox>
              <w:txbxContent>
                <w:p w14:paraId="07463EF2">
                  <w:pPr>
                    <w:spacing w:line="240" w:lineRule="auto"/>
                    <w:ind w:firstLine="0" w:firstLineChars="0"/>
                    <w:rPr>
                      <w:sz w:val="21"/>
                      <w:szCs w:val="21"/>
                    </w:rPr>
                  </w:pPr>
                  <w:r>
                    <w:rPr>
                      <w:rFonts w:hint="eastAsia"/>
                      <w:sz w:val="21"/>
                      <w:szCs w:val="21"/>
                    </w:rPr>
                    <w:t>N、G、S</w:t>
                  </w:r>
                </w:p>
              </w:txbxContent>
            </v:textbox>
          </v:shape>
        </w:pict>
      </w:r>
      <w:r>
        <w:rPr>
          <w:color w:val="000000" w:themeColor="text1"/>
          <w:sz w:val="21"/>
          <w:szCs w:val="21"/>
          <w:highlight w:val="none"/>
        </w:rPr>
        <w:pict>
          <v:shape id="自选图形 1038" o:spid="_x0000_s2067" o:spt="42" type="#_x0000_t42" style="position:absolute;left:0pt;margin-left:234.3pt;margin-top:2.55pt;height:20.65pt;width:36.55pt;z-index:251671552;mso-width-relative:page;mso-height-relative:page;" coordsize="21600,21600" adj="-18941,28556,-11169,9414,-3546,9414,-164851,33263">
            <v:path arrowok="t"/>
            <v:fill focussize="0,0"/>
            <v:stroke dashstyle="dash"/>
            <v:imagedata o:title=""/>
            <o:lock v:ext="edit"/>
            <o:callout minusy="t"/>
            <v:textbox>
              <w:txbxContent>
                <w:p w14:paraId="13FE0739">
                  <w:pPr>
                    <w:spacing w:line="240" w:lineRule="auto"/>
                    <w:ind w:firstLine="0" w:firstLineChars="0"/>
                    <w:rPr>
                      <w:sz w:val="21"/>
                      <w:szCs w:val="21"/>
                    </w:rPr>
                  </w:pPr>
                  <w:r>
                    <w:rPr>
                      <w:rFonts w:hint="eastAsia"/>
                      <w:sz w:val="21"/>
                      <w:szCs w:val="21"/>
                    </w:rPr>
                    <w:t>N、G</w:t>
                  </w:r>
                </w:p>
              </w:txbxContent>
            </v:textbox>
          </v:shape>
        </w:pict>
      </w:r>
      <w:r>
        <w:rPr>
          <w:color w:val="000000" w:themeColor="text1"/>
          <w:sz w:val="21"/>
          <w:szCs w:val="21"/>
          <w:highlight w:val="none"/>
        </w:rPr>
        <w:pict>
          <v:shape id="自选图形 1039" o:spid="_x0000_s2068" o:spt="42" type="#_x0000_t42" style="position:absolute;left:0pt;margin-left:66.35pt;margin-top:5.45pt;height:20.65pt;width:44.75pt;z-index:251670528;mso-width-relative:page;mso-height-relative:page;" fillcolor="#FFFFFF" filled="t" stroked="t" coordsize="21600,21600" adj="-13684,25679,-8230,9414,-2896,9414">
            <v:path arrowok="t"/>
            <v:fill on="t" color2="#FFFFFF" focussize="0,0"/>
            <v:stroke color="#000000" joinstyle="miter" dashstyle="dash"/>
            <v:imagedata o:title=""/>
            <o:lock v:ext="edit" aspectratio="f"/>
            <o:callout minusy="t"/>
            <v:textbox>
              <w:txbxContent>
                <w:p w14:paraId="5BC6CC39">
                  <w:pPr>
                    <w:spacing w:line="240" w:lineRule="auto"/>
                    <w:ind w:firstLine="0" w:firstLineChars="0"/>
                    <w:rPr>
                      <w:sz w:val="21"/>
                      <w:szCs w:val="21"/>
                    </w:rPr>
                  </w:pPr>
                  <w:r>
                    <w:rPr>
                      <w:rFonts w:hint="eastAsia"/>
                      <w:sz w:val="21"/>
                      <w:szCs w:val="21"/>
                    </w:rPr>
                    <w:t>N、G</w:t>
                  </w:r>
                </w:p>
              </w:txbxContent>
            </v:textbox>
          </v:shape>
        </w:pict>
      </w:r>
    </w:p>
    <w:p w14:paraId="602F8136">
      <w:pPr>
        <w:pageBreakBefore w:val="0"/>
        <w:wordWrap/>
        <w:topLinePunct w:val="0"/>
        <w:bidi w:val="0"/>
        <w:spacing w:line="360" w:lineRule="auto"/>
        <w:ind w:firstLine="420"/>
        <w:rPr>
          <w:color w:val="000000" w:themeColor="text1"/>
          <w:sz w:val="21"/>
          <w:szCs w:val="21"/>
          <w:highlight w:val="none"/>
        </w:rPr>
      </w:pPr>
      <w:r>
        <w:rPr>
          <w:color w:val="000000" w:themeColor="text1"/>
          <w:sz w:val="21"/>
          <w:szCs w:val="21"/>
          <w:highlight w:val="none"/>
        </w:rPr>
        <w:pict>
          <v:rect id="矩形 1040" o:spid="_x0000_s2069" o:spt="1" style="position:absolute;left:0pt;margin-left:304.5pt;margin-top:12.35pt;height:22.05pt;width:76.9pt;z-index:251674624;mso-width-relative:page;mso-height-relative:page;" coordsize="21600,21600">
            <v:path/>
            <v:fill focussize="0,0"/>
            <v:stroke/>
            <v:imagedata o:title=""/>
            <o:lock v:ext="edit"/>
            <v:textbox>
              <w:txbxContent>
                <w:p w14:paraId="59628782">
                  <w:pPr>
                    <w:spacing w:line="240" w:lineRule="auto"/>
                    <w:ind w:firstLine="0" w:firstLineChars="0"/>
                    <w:jc w:val="center"/>
                    <w:rPr>
                      <w:sz w:val="21"/>
                      <w:szCs w:val="21"/>
                    </w:rPr>
                  </w:pPr>
                  <w:r>
                    <w:rPr>
                      <w:rFonts w:hint="eastAsia"/>
                      <w:sz w:val="21"/>
                      <w:szCs w:val="21"/>
                    </w:rPr>
                    <w:t>路基施工</w:t>
                  </w:r>
                </w:p>
              </w:txbxContent>
            </v:textbox>
          </v:rect>
        </w:pict>
      </w:r>
      <w:r>
        <w:rPr>
          <w:color w:val="000000" w:themeColor="text1"/>
          <w:sz w:val="21"/>
          <w:szCs w:val="21"/>
          <w:highlight w:val="none"/>
        </w:rPr>
        <w:pict>
          <v:rect id="矩形 1041" o:spid="_x0000_s2070" o:spt="1" style="position:absolute;left:0pt;margin-left:12pt;margin-top:11.3pt;height:23.1pt;width:121.65pt;z-index:251668480;mso-width-relative:page;mso-height-relative:page;" coordsize="21600,21600">
            <v:path/>
            <v:fill focussize="0,0"/>
            <v:stroke/>
            <v:imagedata o:title=""/>
            <o:lock v:ext="edit"/>
            <v:textbox>
              <w:txbxContent>
                <w:p w14:paraId="4A803D23">
                  <w:pPr>
                    <w:spacing w:line="240" w:lineRule="auto"/>
                    <w:ind w:firstLine="0" w:firstLineChars="0"/>
                    <w:rPr>
                      <w:sz w:val="21"/>
                      <w:szCs w:val="21"/>
                    </w:rPr>
                  </w:pPr>
                  <w:r>
                    <w:rPr>
                      <w:rFonts w:hint="eastAsia"/>
                      <w:sz w:val="21"/>
                      <w:szCs w:val="21"/>
                    </w:rPr>
                    <w:t>沥青混合料铺摊、碾压</w:t>
                  </w:r>
                </w:p>
              </w:txbxContent>
            </v:textbox>
          </v:rect>
        </w:pict>
      </w:r>
      <w:r>
        <w:rPr>
          <w:color w:val="000000" w:themeColor="text1"/>
          <w:sz w:val="21"/>
          <w:szCs w:val="21"/>
          <w:highlight w:val="none"/>
        </w:rPr>
        <w:pict>
          <v:line id="直线 1042" o:spid="_x0000_s2071" o:spt="20" style="position:absolute;left:0pt;flip:x;margin-left:267.95pt;margin-top:23.25pt;height:0pt;width:26.85pt;z-index:251667456;mso-width-relative:page;mso-height-relative:page;" coordsize="21600,21600">
            <v:path arrowok="t"/>
            <v:fill focussize="0,0"/>
            <v:stroke endarrow="block"/>
            <v:imagedata o:title=""/>
            <o:lock v:ext="edit"/>
          </v:line>
        </w:pict>
      </w:r>
      <w:r>
        <w:rPr>
          <w:color w:val="000000" w:themeColor="text1"/>
          <w:sz w:val="21"/>
          <w:szCs w:val="21"/>
          <w:highlight w:val="none"/>
        </w:rPr>
        <w:pict>
          <v:line id="直线 1043" o:spid="_x0000_s2072" o:spt="20" style="position:absolute;left:0pt;flip:x;margin-left:139pt;margin-top:23.25pt;height:0pt;width:26.85pt;z-index:251666432;mso-width-relative:page;mso-height-relative:page;" coordsize="21600,21600">
            <v:path arrowok="t"/>
            <v:fill focussize="0,0"/>
            <v:stroke endarrow="block"/>
            <v:imagedata o:title=""/>
            <o:lock v:ext="edit"/>
          </v:line>
        </w:pict>
      </w:r>
      <w:r>
        <w:rPr>
          <w:color w:val="000000" w:themeColor="text1"/>
          <w:sz w:val="21"/>
          <w:szCs w:val="21"/>
          <w:highlight w:val="none"/>
        </w:rPr>
        <w:pict>
          <v:rect id="矩形 1044" o:spid="_x0000_s2073" o:spt="1" style="position:absolute;left:0pt;margin-left:175.4pt;margin-top:12.35pt;height:22.05pt;width:88.8pt;z-index:251663360;mso-width-relative:page;mso-height-relative:page;" coordsize="21600,21600">
            <v:path/>
            <v:fill focussize="0,0"/>
            <v:stroke/>
            <v:imagedata o:title=""/>
            <o:lock v:ext="edit"/>
            <v:textbox>
              <w:txbxContent>
                <w:p w14:paraId="589E8F8F">
                  <w:pPr>
                    <w:spacing w:line="240" w:lineRule="auto"/>
                    <w:ind w:firstLine="0" w:firstLineChars="0"/>
                    <w:rPr>
                      <w:sz w:val="21"/>
                      <w:szCs w:val="21"/>
                    </w:rPr>
                  </w:pPr>
                  <w:r>
                    <w:rPr>
                      <w:rFonts w:hint="eastAsia"/>
                      <w:sz w:val="21"/>
                      <w:szCs w:val="21"/>
                    </w:rPr>
                    <w:t>基层摊铺、碾压</w:t>
                  </w:r>
                </w:p>
              </w:txbxContent>
            </v:textbox>
          </v:rect>
        </w:pict>
      </w:r>
    </w:p>
    <w:p w14:paraId="54D84365">
      <w:pPr>
        <w:pageBreakBefore w:val="0"/>
        <w:wordWrap/>
        <w:topLinePunct w:val="0"/>
        <w:bidi w:val="0"/>
        <w:spacing w:line="360" w:lineRule="auto"/>
        <w:ind w:firstLine="420"/>
        <w:rPr>
          <w:color w:val="000000" w:themeColor="text1"/>
          <w:sz w:val="21"/>
          <w:szCs w:val="21"/>
          <w:highlight w:val="none"/>
        </w:rPr>
      </w:pPr>
    </w:p>
    <w:p w14:paraId="517D032B">
      <w:pPr>
        <w:pageBreakBefore w:val="0"/>
        <w:wordWrap/>
        <w:topLinePunct w:val="0"/>
        <w:bidi w:val="0"/>
        <w:spacing w:line="360" w:lineRule="auto"/>
        <w:ind w:firstLine="420"/>
        <w:rPr>
          <w:color w:val="000000" w:themeColor="text1"/>
          <w:sz w:val="21"/>
          <w:szCs w:val="21"/>
          <w:highlight w:val="none"/>
        </w:rPr>
      </w:pPr>
      <w:r>
        <w:rPr>
          <w:color w:val="000000" w:themeColor="text1"/>
          <w:sz w:val="21"/>
          <w:szCs w:val="21"/>
          <w:highlight w:val="none"/>
        </w:rPr>
        <w:pict>
          <v:rect id="矩形 1048" o:spid="_x0000_s2077" o:spt="1" style="position:absolute;left:0pt;margin-left:132.35pt;margin-top:10.2pt;height:23.4pt;width:153.5pt;z-index:251659264;mso-width-relative:page;mso-height-relative:page;" fillcolor="#FFFFFF" filled="t" stroked="f" coordsize="21600,21600">
            <v:path/>
            <v:fill on="t" color2="#FFFFFF" focussize="0,0"/>
            <v:stroke on="f"/>
            <v:imagedata o:title=""/>
            <o:lock v:ext="edit" aspectratio="f"/>
            <v:textbox>
              <w:txbxContent>
                <w:p w14:paraId="0372C0E2">
                  <w:pPr>
                    <w:spacing w:line="240" w:lineRule="auto"/>
                    <w:ind w:firstLine="0" w:firstLineChars="0"/>
                  </w:pPr>
                  <w:r>
                    <w:rPr>
                      <w:rFonts w:hint="eastAsia"/>
                      <w:sz w:val="21"/>
                      <w:szCs w:val="21"/>
                    </w:rPr>
                    <w:t>G：废气  N：噪声 S：固废</w:t>
                  </w:r>
                </w:p>
              </w:txbxContent>
            </v:textbox>
          </v:rect>
        </w:pict>
      </w:r>
    </w:p>
    <w:p w14:paraId="0FB91834">
      <w:pPr>
        <w:pageBreakBefore w:val="0"/>
        <w:wordWrap/>
        <w:topLinePunct w:val="0"/>
        <w:bidi w:val="0"/>
        <w:spacing w:line="360" w:lineRule="auto"/>
        <w:ind w:firstLine="420"/>
        <w:rPr>
          <w:b/>
          <w:color w:val="000000" w:themeColor="text1"/>
          <w:highlight w:val="none"/>
        </w:rPr>
      </w:pPr>
    </w:p>
    <w:p w14:paraId="21C6C87D">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图3.2-1  本项目工艺及排污节点图</w:t>
      </w:r>
    </w:p>
    <w:p w14:paraId="1C3D711E">
      <w:pPr>
        <w:pageBreakBefore w:val="0"/>
        <w:wordWrap/>
        <w:topLinePunct w:val="0"/>
        <w:bidi w:val="0"/>
        <w:spacing w:line="360" w:lineRule="auto"/>
        <w:rPr>
          <w:color w:val="000000" w:themeColor="text1"/>
          <w:highlight w:val="none"/>
        </w:rPr>
      </w:pPr>
      <w:r>
        <w:rPr>
          <w:color w:val="000000" w:themeColor="text1"/>
          <w:highlight w:val="none"/>
        </w:rPr>
        <w:t>（1）路基施工工艺</w:t>
      </w:r>
    </w:p>
    <w:p w14:paraId="07BEC125">
      <w:pPr>
        <w:pageBreakBefore w:val="0"/>
        <w:wordWrap/>
        <w:topLinePunct w:val="0"/>
        <w:bidi w:val="0"/>
        <w:spacing w:line="360" w:lineRule="auto"/>
        <w:rPr>
          <w:color w:val="000000" w:themeColor="text1"/>
          <w:highlight w:val="none"/>
        </w:rPr>
      </w:pPr>
      <w:r>
        <w:rPr>
          <w:rFonts w:hint="eastAsia" w:cs="宋体"/>
          <w:color w:val="000000" w:themeColor="text1"/>
          <w:highlight w:val="none"/>
        </w:rPr>
        <w:t>①</w:t>
      </w:r>
      <w:r>
        <w:rPr>
          <w:color w:val="000000" w:themeColor="text1"/>
          <w:highlight w:val="none"/>
        </w:rPr>
        <w:t>场地清理</w:t>
      </w:r>
    </w:p>
    <w:p w14:paraId="407F10CA">
      <w:pPr>
        <w:pageBreakBefore w:val="0"/>
        <w:wordWrap/>
        <w:topLinePunct w:val="0"/>
        <w:bidi w:val="0"/>
        <w:spacing w:line="360" w:lineRule="auto"/>
        <w:rPr>
          <w:color w:val="000000" w:themeColor="text1"/>
          <w:highlight w:val="none"/>
        </w:rPr>
      </w:pPr>
      <w:r>
        <w:rPr>
          <w:color w:val="000000" w:themeColor="text1"/>
          <w:highlight w:val="none"/>
        </w:rPr>
        <w:t>本项目新建路段路基施工带来的农田、树木、灌草丛等植被清除或移植，将导致原有自然景观和生态环境破坏，导致地表裸露，并且在一定范围内造成水土流失；清理过程中工机械噪声和扬尘对周围的环境造成污染。</w:t>
      </w:r>
    </w:p>
    <w:p w14:paraId="272983A5">
      <w:pPr>
        <w:pageBreakBefore w:val="0"/>
        <w:wordWrap/>
        <w:topLinePunct w:val="0"/>
        <w:bidi w:val="0"/>
        <w:spacing w:line="360" w:lineRule="auto"/>
        <w:rPr>
          <w:color w:val="000000" w:themeColor="text1"/>
          <w:highlight w:val="none"/>
        </w:rPr>
      </w:pPr>
      <w:r>
        <w:rPr>
          <w:rFonts w:hint="eastAsia" w:cs="宋体"/>
          <w:color w:val="000000" w:themeColor="text1"/>
          <w:highlight w:val="none"/>
        </w:rPr>
        <w:t>②</w:t>
      </w:r>
      <w:r>
        <w:rPr>
          <w:color w:val="000000" w:themeColor="text1"/>
          <w:highlight w:val="none"/>
        </w:rPr>
        <w:t>路基填筑</w:t>
      </w:r>
    </w:p>
    <w:p w14:paraId="1FD563BF">
      <w:pPr>
        <w:pageBreakBefore w:val="0"/>
        <w:wordWrap/>
        <w:topLinePunct w:val="0"/>
        <w:bidi w:val="0"/>
        <w:spacing w:line="360" w:lineRule="auto"/>
        <w:rPr>
          <w:color w:val="000000" w:themeColor="text1"/>
          <w:highlight w:val="none"/>
        </w:rPr>
      </w:pPr>
      <w:r>
        <w:rPr>
          <w:color w:val="000000" w:themeColor="text1"/>
          <w:highlight w:val="none"/>
        </w:rPr>
        <w:t>路基填土必然造成地表植被破坏，对沿线农业及草原生态环境造成不利影响。填筑材料运输和施工过程中将产生机械施工噪声与扬尘，影响周围声环境与环境空气质量。</w:t>
      </w:r>
    </w:p>
    <w:p w14:paraId="7A1ABC14">
      <w:pPr>
        <w:pageBreakBefore w:val="0"/>
        <w:wordWrap/>
        <w:topLinePunct w:val="0"/>
        <w:bidi w:val="0"/>
        <w:spacing w:line="360" w:lineRule="auto"/>
        <w:rPr>
          <w:color w:val="000000" w:themeColor="text1"/>
          <w:highlight w:val="none"/>
        </w:rPr>
      </w:pPr>
      <w:r>
        <w:rPr>
          <w:color w:val="000000" w:themeColor="text1"/>
          <w:highlight w:val="none"/>
        </w:rPr>
        <w:t>（2）路面施工工艺</w:t>
      </w:r>
    </w:p>
    <w:p w14:paraId="2F9A8B73">
      <w:pPr>
        <w:pageBreakBefore w:val="0"/>
        <w:wordWrap/>
        <w:topLinePunct w:val="0"/>
        <w:bidi w:val="0"/>
        <w:spacing w:line="360" w:lineRule="auto"/>
        <w:rPr>
          <w:color w:val="000000" w:themeColor="text1"/>
          <w:highlight w:val="none"/>
        </w:rPr>
      </w:pPr>
      <w:r>
        <w:rPr>
          <w:color w:val="000000" w:themeColor="text1"/>
          <w:highlight w:val="none"/>
        </w:rPr>
        <w:t>路面施工严格按照《公路路面基层施工技术细则》（JTG/TF20-2015）有关规定施工，路面基层和面层均采以集中站拌施工、摊铺机摊铺法施工；旧路采用破碎机将旧路面破碎后，挖掘机将旧路结构层全部挖除，利用至不良路段填筑中。</w:t>
      </w:r>
    </w:p>
    <w:p w14:paraId="3487B857">
      <w:pPr>
        <w:pageBreakBefore w:val="0"/>
        <w:wordWrap/>
        <w:topLinePunct w:val="0"/>
        <w:bidi w:val="0"/>
        <w:spacing w:line="360" w:lineRule="auto"/>
        <w:rPr>
          <w:color w:val="000000" w:themeColor="text1"/>
          <w:highlight w:val="none"/>
        </w:rPr>
      </w:pPr>
      <w:r>
        <w:rPr>
          <w:color w:val="000000" w:themeColor="text1"/>
          <w:highlight w:val="none"/>
        </w:rPr>
        <w:t>沥青拌合站应远离敏感点、且位于敏感点下风向或侧风向，减轻拌合站对环境的影响。</w:t>
      </w:r>
    </w:p>
    <w:p w14:paraId="1D2E5B8A">
      <w:pPr>
        <w:pageBreakBefore w:val="0"/>
        <w:wordWrap/>
        <w:topLinePunct w:val="0"/>
        <w:bidi w:val="0"/>
        <w:spacing w:line="360" w:lineRule="auto"/>
        <w:rPr>
          <w:color w:val="000000" w:themeColor="text1"/>
          <w:highlight w:val="none"/>
        </w:rPr>
      </w:pPr>
      <w:r>
        <w:rPr>
          <w:color w:val="000000" w:themeColor="text1"/>
          <w:highlight w:val="none"/>
        </w:rPr>
        <w:t>（3）临时工程施工作业</w:t>
      </w:r>
    </w:p>
    <w:p w14:paraId="2F58485F">
      <w:pPr>
        <w:pageBreakBefore w:val="0"/>
        <w:wordWrap/>
        <w:topLinePunct w:val="0"/>
        <w:bidi w:val="0"/>
        <w:spacing w:line="360" w:lineRule="auto"/>
        <w:rPr>
          <w:color w:val="000000" w:themeColor="text1"/>
          <w:highlight w:val="none"/>
        </w:rPr>
      </w:pPr>
      <w:r>
        <w:rPr>
          <w:color w:val="000000" w:themeColor="text1"/>
          <w:highlight w:val="none"/>
        </w:rPr>
        <w:t>本项目临时工程</w:t>
      </w:r>
      <w:r>
        <w:rPr>
          <w:rFonts w:hint="eastAsia"/>
          <w:color w:val="000000" w:themeColor="text1"/>
          <w:highlight w:val="none"/>
          <w:lang w:val="en-US" w:eastAsia="zh-CN"/>
        </w:rPr>
        <w:t>综合站场</w:t>
      </w:r>
      <w:r>
        <w:rPr>
          <w:color w:val="000000" w:themeColor="text1"/>
          <w:highlight w:val="none"/>
        </w:rPr>
        <w:t>、桥梁施工用地等均不设置在水源地保护区</w:t>
      </w:r>
      <w:r>
        <w:rPr>
          <w:rFonts w:hint="eastAsia"/>
          <w:color w:val="000000" w:themeColor="text1"/>
          <w:highlight w:val="none"/>
        </w:rPr>
        <w:t>、风景名胜区、自然保护区</w:t>
      </w:r>
      <w:r>
        <w:rPr>
          <w:color w:val="000000" w:themeColor="text1"/>
          <w:highlight w:val="none"/>
        </w:rPr>
        <w:t>范围内，建设过程中将对占用土地等进行地表清理，导致植被破坏地表裸露，并造成水土流失；施工人员日常活动将产生生活污水、生活垃圾等；沥青摊铺废气、基层拌合站粉尘、废水对周围环境造成影响。</w:t>
      </w:r>
    </w:p>
    <w:p w14:paraId="16EBD1E5">
      <w:pPr>
        <w:pStyle w:val="4"/>
        <w:pageBreakBefore w:val="0"/>
        <w:wordWrap/>
        <w:topLinePunct w:val="0"/>
        <w:bidi w:val="0"/>
        <w:spacing w:before="120" w:line="360" w:lineRule="auto"/>
        <w:rPr>
          <w:color w:val="000000" w:themeColor="text1"/>
          <w:highlight w:val="none"/>
        </w:rPr>
      </w:pPr>
      <w:bookmarkStart w:id="278" w:name="_Toc15606"/>
      <w:bookmarkStart w:id="279" w:name="_Toc16880"/>
      <w:r>
        <w:rPr>
          <w:rFonts w:hint="eastAsia"/>
          <w:color w:val="000000" w:themeColor="text1"/>
          <w:highlight w:val="none"/>
        </w:rPr>
        <w:t>3.2.2</w:t>
      </w:r>
      <w:r>
        <w:rPr>
          <w:color w:val="000000" w:themeColor="text1"/>
          <w:highlight w:val="none"/>
        </w:rPr>
        <w:t>桥涵施工工艺分析及污染工序分析</w:t>
      </w:r>
      <w:bookmarkEnd w:id="278"/>
      <w:bookmarkEnd w:id="279"/>
    </w:p>
    <w:p w14:paraId="060FA6EC">
      <w:pPr>
        <w:pageBreakBefore w:val="0"/>
        <w:wordWrap/>
        <w:topLinePunct w:val="0"/>
        <w:bidi w:val="0"/>
        <w:spacing w:line="360" w:lineRule="auto"/>
        <w:rPr>
          <w:color w:val="000000" w:themeColor="text1"/>
          <w:highlight w:val="none"/>
        </w:rPr>
      </w:pPr>
      <w:r>
        <w:rPr>
          <w:color w:val="000000" w:themeColor="text1"/>
          <w:highlight w:val="none"/>
        </w:rPr>
        <w:t>本项目主线新建桥梁</w:t>
      </w:r>
      <w:r>
        <w:rPr>
          <w:rFonts w:hint="eastAsia"/>
          <w:color w:val="000000" w:themeColor="text1"/>
          <w:highlight w:val="none"/>
          <w:lang w:val="en-US" w:eastAsia="zh-CN"/>
        </w:rPr>
        <w:t>3</w:t>
      </w:r>
      <w:r>
        <w:rPr>
          <w:color w:val="000000" w:themeColor="text1"/>
          <w:highlight w:val="none"/>
        </w:rPr>
        <w:t>座</w:t>
      </w:r>
      <w:r>
        <w:rPr>
          <w:rFonts w:hint="eastAsia"/>
          <w:color w:val="000000" w:themeColor="text1"/>
          <w:highlight w:val="none"/>
          <w:lang w:eastAsia="zh-CN"/>
        </w:rPr>
        <w:t>，</w:t>
      </w:r>
      <w:r>
        <w:rPr>
          <w:color w:val="000000" w:themeColor="text1"/>
          <w:highlight w:val="none"/>
        </w:rPr>
        <w:t>其中</w:t>
      </w:r>
      <w:r>
        <w:rPr>
          <w:rFonts w:hint="eastAsia" w:ascii="Times New Roman" w:hAnsi="宋体"/>
          <w:color w:val="000000" w:themeColor="text1"/>
          <w:sz w:val="24"/>
          <w:szCs w:val="24"/>
          <w:highlight w:val="none"/>
          <w:lang w:val="en-US" w:eastAsia="zh-CN"/>
        </w:rPr>
        <w:t>跨沟渠桥（</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）一座、跨朝鲜河桥（</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）一座</w:t>
      </w:r>
      <w:r>
        <w:rPr>
          <w:rFonts w:hint="eastAsia"/>
          <w:color w:val="000000" w:themeColor="text1"/>
          <w:highlight w:val="none"/>
          <w:lang w:val="en-US" w:eastAsia="zh-CN"/>
        </w:rPr>
        <w:t>，</w:t>
      </w:r>
      <w:r>
        <w:rPr>
          <w:rFonts w:hint="eastAsia" w:ascii="Times New Roman" w:hAnsi="宋体"/>
          <w:color w:val="000000" w:themeColor="text1"/>
          <w:sz w:val="24"/>
          <w:szCs w:val="24"/>
          <w:highlight w:val="none"/>
          <w:lang w:val="en-US" w:eastAsia="zh-CN"/>
        </w:rPr>
        <w:t>跨铁路大桥（</w:t>
      </w:r>
      <w:r>
        <w:rPr>
          <w:rFonts w:hint="eastAsia"/>
          <w:color w:val="000000" w:themeColor="text1"/>
          <w:highlight w:val="none"/>
          <w:lang w:val="en-US" w:eastAsia="zh-CN"/>
        </w:rPr>
        <w:t>7×30m小箱梁桥</w:t>
      </w:r>
      <w:r>
        <w:rPr>
          <w:rFonts w:hint="eastAsia" w:ascii="Times New Roman" w:hAnsi="宋体"/>
          <w:color w:val="000000" w:themeColor="text1"/>
          <w:sz w:val="24"/>
          <w:szCs w:val="24"/>
          <w:highlight w:val="none"/>
          <w:lang w:val="en-US" w:eastAsia="zh-CN"/>
        </w:rPr>
        <w:t>）一座</w:t>
      </w:r>
      <w:r>
        <w:rPr>
          <w:rFonts w:hint="eastAsia"/>
          <w:color w:val="000000" w:themeColor="text1"/>
          <w:highlight w:val="none"/>
          <w:lang w:eastAsia="zh-CN"/>
        </w:rPr>
        <w:t>，</w:t>
      </w:r>
      <w:r>
        <w:rPr>
          <w:rFonts w:hint="eastAsia"/>
          <w:color w:val="000000" w:themeColor="text1"/>
          <w:highlight w:val="none"/>
          <w:lang w:val="en-US" w:eastAsia="zh-CN"/>
        </w:rPr>
        <w:t>12道涵洞</w:t>
      </w:r>
      <w:r>
        <w:rPr>
          <w:color w:val="000000" w:themeColor="text1"/>
          <w:highlight w:val="none"/>
        </w:rPr>
        <w:t>，全部为钢筋混凝土箱涵。</w:t>
      </w:r>
    </w:p>
    <w:p w14:paraId="0989CED9">
      <w:pPr>
        <w:pageBreakBefore w:val="0"/>
        <w:wordWrap/>
        <w:topLinePunct w:val="0"/>
        <w:bidi w:val="0"/>
        <w:spacing w:line="360" w:lineRule="auto"/>
        <w:rPr>
          <w:rFonts w:hint="default" w:eastAsia="宋体"/>
          <w:color w:val="000000" w:themeColor="text1"/>
          <w:highlight w:val="none"/>
          <w:lang w:val="en-US" w:eastAsia="zh-CN"/>
        </w:rPr>
      </w:pPr>
      <w:r>
        <w:rPr>
          <w:color w:val="000000" w:themeColor="text1"/>
          <w:highlight w:val="none"/>
        </w:rPr>
        <w:t>（1）</w:t>
      </w:r>
      <w:r>
        <w:rPr>
          <w:rFonts w:hint="eastAsia"/>
          <w:color w:val="000000" w:themeColor="text1"/>
          <w:highlight w:val="none"/>
          <w:lang w:val="en-US" w:eastAsia="zh-CN"/>
        </w:rPr>
        <w:t>水下桥梁施工工艺一钢围堰</w:t>
      </w:r>
    </w:p>
    <w:p w14:paraId="77233CD3">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水中基础采用钢围堰施工，墩身采用翻模或爬模分节段施工，主梁利用墩旁托架现浇，其余节段利用施工挂篮悬浇施工，边跨现浇段采用支架现浇施工。桥基采用冲击钻钻孔，大部分钻孔泥浆回用。所清除钻渣和少量废弃钻孔泥浆运至沉淀池沉淀处理，废水回用于施工场地及道路洒水降尘，沉淀钻渣运至弃渣场，不会对地表水产生影响。</w:t>
      </w:r>
    </w:p>
    <w:p w14:paraId="61FE45EC">
      <w:pPr>
        <w:pageBreakBefore w:val="0"/>
        <w:wordWrap/>
        <w:topLinePunct w:val="0"/>
        <w:bidi w:val="0"/>
        <w:spacing w:line="360" w:lineRule="auto"/>
        <w:rPr>
          <w:color w:val="000000" w:themeColor="text1"/>
          <w:highlight w:val="none"/>
        </w:rPr>
      </w:pPr>
      <w:r>
        <w:rPr>
          <w:rFonts w:hint="eastAsia"/>
          <w:color w:val="000000" w:themeColor="text1"/>
          <w:highlight w:val="none"/>
        </w:rPr>
        <w:t>桥梁钢围堰施工工艺如</w:t>
      </w:r>
      <w:r>
        <w:rPr>
          <w:color w:val="000000" w:themeColor="text1"/>
          <w:highlight w:val="none"/>
        </w:rPr>
        <w:t>图3.2-2。</w:t>
      </w:r>
    </w:p>
    <w:p w14:paraId="6BA722F1">
      <w:pPr>
        <w:pageBreakBefore w:val="0"/>
        <w:wordWrap/>
        <w:topLinePunct w:val="0"/>
        <w:bidi w:val="0"/>
        <w:spacing w:line="360" w:lineRule="auto"/>
        <w:ind w:firstLine="0" w:firstLineChars="0"/>
        <w:jc w:val="center"/>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4483735" cy="2865755"/>
            <wp:effectExtent l="0" t="0" r="12065" b="10795"/>
            <wp:docPr id="144" name="图片 144" descr="174850877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1748508771425"/>
                    <pic:cNvPicPr>
                      <a:picLocks noChangeAspect="1"/>
                    </pic:cNvPicPr>
                  </pic:nvPicPr>
                  <pic:blipFill>
                    <a:blip r:embed="rId44"/>
                    <a:stretch>
                      <a:fillRect/>
                    </a:stretch>
                  </pic:blipFill>
                  <pic:spPr>
                    <a:xfrm>
                      <a:off x="0" y="0"/>
                      <a:ext cx="4483735" cy="2865755"/>
                    </a:xfrm>
                    <a:prstGeom prst="rect">
                      <a:avLst/>
                    </a:prstGeom>
                  </pic:spPr>
                </pic:pic>
              </a:graphicData>
            </a:graphic>
          </wp:inline>
        </w:drawing>
      </w:r>
    </w:p>
    <w:p w14:paraId="1795DFE2">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 xml:space="preserve">图3.2-2  </w:t>
      </w:r>
      <w:r>
        <w:rPr>
          <w:rFonts w:hint="eastAsia"/>
          <w:b/>
          <w:color w:val="000000" w:themeColor="text1"/>
          <w:highlight w:val="none"/>
        </w:rPr>
        <w:t>涉水桥梁钢围堰施工工艺流程示意图</w:t>
      </w:r>
    </w:p>
    <w:p w14:paraId="02BBDF4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rPr>
        <w:t>涉水桥梁施工工艺-灌注桩</w:t>
      </w:r>
    </w:p>
    <w:p w14:paraId="376DA65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主要跨水体桥梁的基础工程形式为灌注桩基础，施工期安排在枯水季节，施工工艺为</w:t>
      </w:r>
      <w:r>
        <w:rPr>
          <w:rFonts w:hint="eastAsia"/>
          <w:color w:val="000000" w:themeColor="text1"/>
          <w:highlight w:val="none"/>
          <w:lang w:eastAsia="zh-CN"/>
        </w:rPr>
        <w:t>：</w:t>
      </w:r>
      <w:r>
        <w:rPr>
          <w:rFonts w:hint="eastAsia"/>
          <w:color w:val="000000" w:themeColor="text1"/>
          <w:highlight w:val="none"/>
        </w:rPr>
        <w:t>场地平整一测量定位一基础开挖一基底验证</w:t>
      </w:r>
      <w:r>
        <w:rPr>
          <w:rFonts w:hint="eastAsia"/>
          <w:color w:val="000000" w:themeColor="text1"/>
          <w:highlight w:val="none"/>
          <w:lang w:eastAsia="zh-CN"/>
        </w:rPr>
        <w:t>（</w:t>
      </w:r>
      <w:r>
        <w:rPr>
          <w:rFonts w:hint="eastAsia"/>
          <w:color w:val="000000" w:themeColor="text1"/>
          <w:highlight w:val="none"/>
        </w:rPr>
        <w:t>地基验证</w:t>
      </w:r>
      <w:r>
        <w:rPr>
          <w:rFonts w:hint="eastAsia"/>
          <w:color w:val="000000" w:themeColor="text1"/>
          <w:highlight w:val="none"/>
          <w:lang w:eastAsia="zh-CN"/>
        </w:rPr>
        <w:t>）</w:t>
      </w:r>
      <w:r>
        <w:rPr>
          <w:rFonts w:hint="eastAsia"/>
          <w:color w:val="000000" w:themeColor="text1"/>
          <w:highlight w:val="none"/>
        </w:rPr>
        <w:t>→基坑封底→扎底板筋→关模→扎柱插筋→浇筑砼→养护→回填→验收，在施工过程中，应加强施工管理</w:t>
      </w:r>
      <w:r>
        <w:rPr>
          <w:rFonts w:hint="eastAsia"/>
          <w:color w:val="000000" w:themeColor="text1"/>
          <w:highlight w:val="none"/>
          <w:lang w:eastAsia="zh-CN"/>
        </w:rPr>
        <w:t>，</w:t>
      </w:r>
      <w:r>
        <w:rPr>
          <w:rFonts w:hint="eastAsia"/>
          <w:color w:val="000000" w:themeColor="text1"/>
          <w:highlight w:val="none"/>
        </w:rPr>
        <w:t>严格施工程序，提高施工效率，避免施工事故的发生。</w:t>
      </w:r>
    </w:p>
    <w:p w14:paraId="2147885E">
      <w:pPr>
        <w:pageBreakBefore w:val="0"/>
        <w:wordWrap/>
        <w:topLinePunct w:val="0"/>
        <w:bidi w:val="0"/>
        <w:spacing w:line="360" w:lineRule="auto"/>
        <w:rPr>
          <w:color w:val="000000" w:themeColor="text1"/>
          <w:highlight w:val="none"/>
        </w:rPr>
      </w:pPr>
      <w:r>
        <w:rPr>
          <w:rFonts w:hint="eastAsia"/>
          <w:color w:val="000000" w:themeColor="text1"/>
          <w:highlight w:val="none"/>
        </w:rPr>
        <w:t>桥梁钻孔灌注桩施工工艺如图</w:t>
      </w:r>
      <w:r>
        <w:rPr>
          <w:rFonts w:hint="eastAsia"/>
          <w:color w:val="000000" w:themeColor="text1"/>
          <w:highlight w:val="none"/>
          <w:lang w:val="en-US" w:eastAsia="zh-CN"/>
        </w:rPr>
        <w:t>3.2-3</w:t>
      </w:r>
      <w:r>
        <w:rPr>
          <w:rFonts w:hint="eastAsia"/>
          <w:color w:val="000000" w:themeColor="text1"/>
          <w:highlight w:val="none"/>
        </w:rPr>
        <w:t>。</w:t>
      </w:r>
    </w:p>
    <w:p w14:paraId="62F89451">
      <w:pPr>
        <w:pageBreakBefore w:val="0"/>
        <w:wordWrap/>
        <w:topLinePunct w:val="0"/>
        <w:bidi w:val="0"/>
        <w:spacing w:line="360" w:lineRule="auto"/>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4853940" cy="2832735"/>
            <wp:effectExtent l="0" t="0" r="3810" b="5715"/>
            <wp:docPr id="145" name="图片 145" descr="174850903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1748509039002"/>
                    <pic:cNvPicPr>
                      <a:picLocks noChangeAspect="1"/>
                    </pic:cNvPicPr>
                  </pic:nvPicPr>
                  <pic:blipFill>
                    <a:blip r:embed="rId45"/>
                    <a:stretch>
                      <a:fillRect/>
                    </a:stretch>
                  </pic:blipFill>
                  <pic:spPr>
                    <a:xfrm>
                      <a:off x="0" y="0"/>
                      <a:ext cx="4853940" cy="2832735"/>
                    </a:xfrm>
                    <a:prstGeom prst="rect">
                      <a:avLst/>
                    </a:prstGeom>
                  </pic:spPr>
                </pic:pic>
              </a:graphicData>
            </a:graphic>
          </wp:inline>
        </w:drawing>
      </w:r>
    </w:p>
    <w:p w14:paraId="071F3C1B">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图3.2-</w:t>
      </w:r>
      <w:r>
        <w:rPr>
          <w:rFonts w:hint="eastAsia"/>
          <w:b/>
          <w:color w:val="000000" w:themeColor="text1"/>
          <w:highlight w:val="none"/>
          <w:lang w:val="en-US" w:eastAsia="zh-CN"/>
        </w:rPr>
        <w:t>3</w:t>
      </w:r>
      <w:r>
        <w:rPr>
          <w:b/>
          <w:color w:val="000000" w:themeColor="text1"/>
          <w:highlight w:val="none"/>
        </w:rPr>
        <w:t xml:space="preserve">  </w:t>
      </w:r>
      <w:r>
        <w:rPr>
          <w:rFonts w:hint="eastAsia"/>
          <w:b/>
          <w:color w:val="000000" w:themeColor="text1"/>
          <w:highlight w:val="none"/>
        </w:rPr>
        <w:t>桥梁钻孔灌注桩施工工艺流程示意图</w:t>
      </w:r>
    </w:p>
    <w:p w14:paraId="795D1C9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rPr>
        <w:t>陆域桥梁施工工艺</w:t>
      </w:r>
    </w:p>
    <w:p w14:paraId="7A6C6C09">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陆域桥梁施工工艺为</w:t>
      </w:r>
      <w:r>
        <w:rPr>
          <w:rFonts w:hint="eastAsia"/>
          <w:color w:val="000000" w:themeColor="text1"/>
          <w:highlight w:val="none"/>
          <w:lang w:eastAsia="zh-CN"/>
        </w:rPr>
        <w:t>：</w:t>
      </w:r>
      <w:r>
        <w:rPr>
          <w:rFonts w:hint="eastAsia"/>
          <w:color w:val="000000" w:themeColor="text1"/>
          <w:highlight w:val="none"/>
        </w:rPr>
        <w:t>定位一钻孔一清孔一捣混凝土→承台施工。桥墩采用桩柱式桥墩，施工时，先绑扎钢筋、架设模板，再进行墩身混凝土的浇注。</w:t>
      </w:r>
    </w:p>
    <w:p w14:paraId="71A49786">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墩柱达到设计强度后，就可在柱顶施工盖梁，首先要制作盖梁钢筋骨架片，然后进行模板拼装，最后浇筑混凝土。桥基采用冲击钻钻孔，排渣泵清孔，桥基采用冲击钻钻孔，大部分钻孔泥浆回用，清孔清除钻渣和少量废弃钻孔泥浆运至沉淀池沉淀处理，沉淀钻渣运至弃渣场。</w:t>
      </w:r>
    </w:p>
    <w:p w14:paraId="71EAF1FE">
      <w:pPr>
        <w:pageBreakBefore w:val="0"/>
        <w:wordWrap/>
        <w:topLinePunct w:val="0"/>
        <w:bidi w:val="0"/>
        <w:spacing w:line="360" w:lineRule="auto"/>
        <w:rPr>
          <w:color w:val="000000" w:themeColor="text1"/>
          <w:highlight w:val="none"/>
        </w:rPr>
      </w:pPr>
      <w:r>
        <w:rPr>
          <w:rFonts w:hint="eastAsia"/>
          <w:color w:val="000000" w:themeColor="text1"/>
          <w:highlight w:val="none"/>
        </w:rPr>
        <w:t>陆域桥梁施工工艺如图</w:t>
      </w:r>
      <w:r>
        <w:rPr>
          <w:rFonts w:hint="eastAsia"/>
          <w:color w:val="000000" w:themeColor="text1"/>
          <w:highlight w:val="none"/>
          <w:lang w:val="en-US" w:eastAsia="zh-CN"/>
        </w:rPr>
        <w:t>3.2-4</w:t>
      </w:r>
      <w:r>
        <w:rPr>
          <w:rFonts w:hint="eastAsia"/>
          <w:color w:val="000000" w:themeColor="text1"/>
          <w:highlight w:val="none"/>
        </w:rPr>
        <w:t>。</w:t>
      </w:r>
    </w:p>
    <w:p w14:paraId="00B1C372">
      <w:pPr>
        <w:pageBreakBefore w:val="0"/>
        <w:wordWrap/>
        <w:topLinePunct w:val="0"/>
        <w:bidi w:val="0"/>
        <w:spacing w:line="360" w:lineRule="auto"/>
        <w:ind w:left="0" w:leftChars="0" w:firstLine="0" w:firstLineChars="0"/>
        <w:jc w:val="center"/>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4625340" cy="2519045"/>
            <wp:effectExtent l="0" t="0" r="3810" b="14605"/>
            <wp:docPr id="146" name="图片 146" descr="174850918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1748509184570"/>
                    <pic:cNvPicPr>
                      <a:picLocks noChangeAspect="1"/>
                    </pic:cNvPicPr>
                  </pic:nvPicPr>
                  <pic:blipFill>
                    <a:blip r:embed="rId46"/>
                    <a:stretch>
                      <a:fillRect/>
                    </a:stretch>
                  </pic:blipFill>
                  <pic:spPr>
                    <a:xfrm>
                      <a:off x="0" y="0"/>
                      <a:ext cx="4625340" cy="2519045"/>
                    </a:xfrm>
                    <a:prstGeom prst="rect">
                      <a:avLst/>
                    </a:prstGeom>
                  </pic:spPr>
                </pic:pic>
              </a:graphicData>
            </a:graphic>
          </wp:inline>
        </w:drawing>
      </w:r>
    </w:p>
    <w:p w14:paraId="694D312F">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图3.2-</w:t>
      </w:r>
      <w:r>
        <w:rPr>
          <w:rFonts w:hint="eastAsia"/>
          <w:b/>
          <w:color w:val="000000" w:themeColor="text1"/>
          <w:highlight w:val="none"/>
          <w:lang w:val="en-US" w:eastAsia="zh-CN"/>
        </w:rPr>
        <w:t>4</w:t>
      </w:r>
      <w:r>
        <w:rPr>
          <w:b/>
          <w:color w:val="000000" w:themeColor="text1"/>
          <w:highlight w:val="none"/>
        </w:rPr>
        <w:t xml:space="preserve">  </w:t>
      </w:r>
      <w:r>
        <w:rPr>
          <w:rFonts w:hint="eastAsia"/>
          <w:b/>
          <w:color w:val="000000" w:themeColor="text1"/>
          <w:highlight w:val="none"/>
        </w:rPr>
        <w:t>不涉水桥梁施工工艺流程示意图</w:t>
      </w:r>
    </w:p>
    <w:p w14:paraId="7C6E9AF2">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rFonts w:hint="eastAsia"/>
          <w:color w:val="000000" w:themeColor="text1"/>
          <w:highlight w:val="none"/>
          <w:lang w:val="en-US" w:eastAsia="zh-CN"/>
        </w:rPr>
        <w:t>一般桥涵</w:t>
      </w:r>
    </w:p>
    <w:p w14:paraId="061BC933">
      <w:pPr>
        <w:pageBreakBefore w:val="0"/>
        <w:wordWrap/>
        <w:topLinePunct w:val="0"/>
        <w:bidi w:val="0"/>
        <w:spacing w:line="360" w:lineRule="auto"/>
        <w:rPr>
          <w:color w:val="000000" w:themeColor="text1"/>
          <w:highlight w:val="none"/>
        </w:rPr>
      </w:pPr>
      <w:r>
        <w:rPr>
          <w:color w:val="000000" w:themeColor="text1"/>
          <w:highlight w:val="none"/>
        </w:rPr>
        <w:t>本项目桥涵先施工桥下部构造物，再施工桥面，每个桥涵工程根据不同的结构型式及部位分别采用机械、机械与人工结合或全部人工方案进行施工。</w:t>
      </w:r>
    </w:p>
    <w:p w14:paraId="605EE190">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1</w:t>
      </w:r>
      <w:r>
        <w:rPr>
          <w:color w:val="000000" w:themeColor="text1"/>
          <w:highlight w:val="none"/>
        </w:rPr>
        <w:t>）下部结构</w:t>
      </w:r>
    </w:p>
    <w:p w14:paraId="56A0EBEA">
      <w:pPr>
        <w:pageBreakBefore w:val="0"/>
        <w:wordWrap/>
        <w:topLinePunct w:val="0"/>
        <w:bidi w:val="0"/>
        <w:spacing w:line="360" w:lineRule="auto"/>
        <w:rPr>
          <w:color w:val="000000" w:themeColor="text1"/>
          <w:highlight w:val="none"/>
        </w:rPr>
      </w:pPr>
      <w:r>
        <w:rPr>
          <w:color w:val="000000" w:themeColor="text1"/>
          <w:highlight w:val="none"/>
        </w:rPr>
        <w:t>本工程桥梁选在枯水期及非灌溉期施工含涉水桥梁，</w:t>
      </w:r>
      <w:r>
        <w:rPr>
          <w:rFonts w:hint="eastAsia"/>
          <w:color w:val="000000" w:themeColor="text1"/>
          <w:highlight w:val="none"/>
        </w:rPr>
        <w:t>本项目</w:t>
      </w:r>
      <w:r>
        <w:rPr>
          <w:color w:val="000000" w:themeColor="text1"/>
          <w:highlight w:val="none"/>
        </w:rPr>
        <w:t>桥梁基础均为钻孔灌注桩，故桩基础施工过程主要污染物为泥浆废水和钻渣，其中泥浆废水经泥浆分离机处理后泥浆重复回用、废水用于降尘</w:t>
      </w:r>
      <w:r>
        <w:rPr>
          <w:rFonts w:hint="eastAsia"/>
          <w:color w:val="000000" w:themeColor="text1"/>
          <w:highlight w:val="none"/>
        </w:rPr>
        <w:t>用水，施工结束后少量剩余废泥浆经干化后作为原施工场地内沉淀池等平整填埋使用。</w:t>
      </w:r>
      <w:r>
        <w:rPr>
          <w:color w:val="000000" w:themeColor="text1"/>
          <w:highlight w:val="none"/>
        </w:rPr>
        <w:t>钻孔达到要求深度和满足质量要求后，立即清孔，所清除钻渣运至沉淀池沉淀处理，废水作为施工场地及施工道路洒水循环使用，</w:t>
      </w:r>
      <w:r>
        <w:rPr>
          <w:color w:val="000000" w:themeColor="text1"/>
          <w:kern w:val="0"/>
          <w:highlight w:val="none"/>
        </w:rPr>
        <w:t>沉淀钻渣运至</w:t>
      </w:r>
      <w:r>
        <w:rPr>
          <w:rFonts w:hint="eastAsia"/>
          <w:color w:val="000000" w:themeColor="text1"/>
          <w:kern w:val="0"/>
          <w:highlight w:val="none"/>
        </w:rPr>
        <w:t>线路施工段</w:t>
      </w:r>
      <w:r>
        <w:rPr>
          <w:color w:val="000000" w:themeColor="text1"/>
          <w:kern w:val="0"/>
          <w:highlight w:val="none"/>
        </w:rPr>
        <w:t>作为填</w:t>
      </w:r>
      <w:r>
        <w:rPr>
          <w:rFonts w:hint="eastAsia"/>
          <w:color w:val="000000" w:themeColor="text1"/>
          <w:kern w:val="0"/>
          <w:highlight w:val="none"/>
        </w:rPr>
        <w:t>方</w:t>
      </w:r>
      <w:r>
        <w:rPr>
          <w:color w:val="000000" w:themeColor="text1"/>
          <w:kern w:val="0"/>
          <w:highlight w:val="none"/>
        </w:rPr>
        <w:t>。</w:t>
      </w:r>
      <w:r>
        <w:rPr>
          <w:color w:val="000000" w:themeColor="text1"/>
          <w:highlight w:val="none"/>
        </w:rPr>
        <w:t>施工工艺详见图3.2-2。</w:t>
      </w:r>
    </w:p>
    <w:p w14:paraId="03799E91">
      <w:pPr>
        <w:pageBreakBefore w:val="0"/>
        <w:wordWrap/>
        <w:topLinePunct w:val="0"/>
        <w:bidi w:val="0"/>
        <w:spacing w:line="360" w:lineRule="auto"/>
        <w:ind w:firstLine="0" w:firstLineChars="0"/>
        <w:rPr>
          <w:color w:val="000000" w:themeColor="text1"/>
          <w:highlight w:val="none"/>
        </w:rPr>
      </w:pPr>
      <w:r>
        <w:rPr>
          <w:color w:val="000000" w:themeColor="text1"/>
          <w:highlight w:val="none"/>
        </w:rPr>
        <w:drawing>
          <wp:inline distT="0" distB="0" distL="0" distR="0">
            <wp:extent cx="5240655" cy="5351145"/>
            <wp:effectExtent l="0" t="0" r="17145" b="1905"/>
            <wp:docPr id="51" name="图片 36" descr="绘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6" descr="绘图11"/>
                    <pic:cNvPicPr>
                      <a:picLocks noChangeAspect="1" noChangeArrowheads="1"/>
                    </pic:cNvPicPr>
                  </pic:nvPicPr>
                  <pic:blipFill>
                    <a:blip r:embed="rId47"/>
                    <a:srcRect/>
                    <a:stretch>
                      <a:fillRect/>
                    </a:stretch>
                  </pic:blipFill>
                  <pic:spPr>
                    <a:xfrm>
                      <a:off x="0" y="0"/>
                      <a:ext cx="5240655" cy="5351145"/>
                    </a:xfrm>
                    <a:prstGeom prst="rect">
                      <a:avLst/>
                    </a:prstGeom>
                    <a:noFill/>
                    <a:ln w="9525" cmpd="sng">
                      <a:noFill/>
                      <a:miter lim="800000"/>
                      <a:headEnd/>
                      <a:tailEnd/>
                    </a:ln>
                  </pic:spPr>
                </pic:pic>
              </a:graphicData>
            </a:graphic>
          </wp:inline>
        </w:drawing>
      </w:r>
    </w:p>
    <w:p w14:paraId="7D0BBF43">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图3.2-</w:t>
      </w:r>
      <w:r>
        <w:rPr>
          <w:rFonts w:hint="eastAsia"/>
          <w:b/>
          <w:color w:val="000000" w:themeColor="text1"/>
          <w:highlight w:val="none"/>
          <w:lang w:val="en-US" w:eastAsia="zh-CN"/>
        </w:rPr>
        <w:t>5</w:t>
      </w:r>
      <w:r>
        <w:rPr>
          <w:b/>
          <w:color w:val="000000" w:themeColor="text1"/>
          <w:highlight w:val="none"/>
        </w:rPr>
        <w:t xml:space="preserve">  桥梁施工钻孔灌注桩施工工艺流程图</w:t>
      </w:r>
    </w:p>
    <w:p w14:paraId="732BF1BE">
      <w:pPr>
        <w:pageBreakBefore w:val="0"/>
        <w:wordWrap/>
        <w:topLinePunct w:val="0"/>
        <w:bidi w:val="0"/>
        <w:spacing w:line="360" w:lineRule="auto"/>
        <w:rPr>
          <w:color w:val="000000" w:themeColor="text1"/>
          <w:highlight w:val="none"/>
        </w:rPr>
      </w:pPr>
      <w:r>
        <w:rPr>
          <w:color w:val="000000" w:themeColor="text1"/>
          <w:highlight w:val="none"/>
        </w:rPr>
        <w:t>2）上部结构施工</w:t>
      </w:r>
    </w:p>
    <w:p w14:paraId="421D362B">
      <w:pPr>
        <w:pageBreakBefore w:val="0"/>
        <w:wordWrap/>
        <w:topLinePunct w:val="0"/>
        <w:bidi w:val="0"/>
        <w:spacing w:line="360" w:lineRule="auto"/>
        <w:rPr>
          <w:color w:val="000000" w:themeColor="text1"/>
          <w:highlight w:val="none"/>
        </w:rPr>
      </w:pPr>
      <w:r>
        <w:rPr>
          <w:color w:val="000000" w:themeColor="text1"/>
          <w:highlight w:val="none"/>
        </w:rPr>
        <w:t>桥面铺装采用两层铺设，桥面采用沥青混凝土铺装，下层采用钢筋混凝土，在钢筋网上浇筑混凝土由于混凝土洒落会造成桥面污染；上层沥青混凝土面层在铺设过程中会产生沥青烟气。</w:t>
      </w:r>
    </w:p>
    <w:p w14:paraId="04428D15">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3.2.3沥青面层拌合站</w:t>
      </w:r>
      <w:r>
        <w:rPr>
          <w:color w:val="000000" w:themeColor="text1"/>
          <w:highlight w:val="none"/>
        </w:rPr>
        <w:t>工艺及污染工序分析</w:t>
      </w:r>
    </w:p>
    <w:p w14:paraId="18EBD85D">
      <w:pPr>
        <w:pageBreakBefore w:val="0"/>
        <w:wordWrap/>
        <w:topLinePunct w:val="0"/>
        <w:bidi w:val="0"/>
        <w:spacing w:line="360" w:lineRule="auto"/>
        <w:ind w:firstLine="482"/>
        <w:rPr>
          <w:b/>
          <w:color w:val="000000" w:themeColor="text1"/>
          <w:highlight w:val="none"/>
        </w:rPr>
      </w:pPr>
      <w:r>
        <w:rPr>
          <w:rFonts w:hint="eastAsia"/>
          <w:b/>
          <w:color w:val="000000" w:themeColor="text1"/>
          <w:highlight w:val="none"/>
        </w:rPr>
        <w:t>沥青面层拌合工艺流程简述：</w:t>
      </w:r>
    </w:p>
    <w:p w14:paraId="479563CD">
      <w:pPr>
        <w:pageBreakBefore w:val="0"/>
        <w:wordWrap/>
        <w:topLinePunct w:val="0"/>
        <w:bidi w:val="0"/>
        <w:spacing w:line="360" w:lineRule="auto"/>
        <w:rPr>
          <w:color w:val="000000" w:themeColor="text1"/>
          <w:highlight w:val="none"/>
        </w:rPr>
      </w:pPr>
      <w:r>
        <w:rPr>
          <w:rFonts w:hint="eastAsia"/>
          <w:color w:val="000000" w:themeColor="text1"/>
          <w:highlight w:val="none"/>
        </w:rPr>
        <w:t xml:space="preserve">沥青混合料主要由石油沥青、骨料及矿粉混合拌制而成。其一般流程可分为沥青预处理和骨料预处理，而后进入拌合仓拌合后即为成品。 </w:t>
      </w:r>
    </w:p>
    <w:p w14:paraId="50F5750D">
      <w:pPr>
        <w:pageBreakBefore w:val="0"/>
        <w:wordWrap/>
        <w:topLinePunct w:val="0"/>
        <w:bidi w:val="0"/>
        <w:spacing w:line="360" w:lineRule="auto"/>
        <w:rPr>
          <w:color w:val="000000" w:themeColor="text1"/>
          <w:highlight w:val="none"/>
        </w:rPr>
      </w:pPr>
      <w:r>
        <w:rPr>
          <w:rFonts w:hint="eastAsia"/>
          <w:color w:val="000000" w:themeColor="text1"/>
          <w:highlight w:val="none"/>
        </w:rPr>
        <w:t>沥青预处理流程：本项目沥青原料进站时为80℃散装石油沥青，由专用沥青运输车通过密闭管道将沥青输送入沥青储罐，使用电加热为沥青储罐提供加热、保温用热。沥青拌合每天工作12小时，期间将沥青储罐加热至170℃，按一定比例由沥青泵输入拌合仓内与骨料、矿粉混合搅拌；沥青储罐加热保温时长</w:t>
      </w:r>
      <w:r>
        <w:rPr>
          <w:rFonts w:hint="eastAsia"/>
          <w:color w:val="000000" w:themeColor="text1"/>
          <w:highlight w:val="none"/>
          <w:lang w:val="en-US" w:eastAsia="zh-CN"/>
        </w:rPr>
        <w:t>260</w:t>
      </w:r>
      <w:r>
        <w:rPr>
          <w:rFonts w:hint="eastAsia"/>
          <w:color w:val="000000" w:themeColor="text1"/>
          <w:highlight w:val="none"/>
        </w:rPr>
        <w:t>h，期间将沥青储罐保温在170℃待产；沥青储罐储存保温时长</w:t>
      </w:r>
      <w:r>
        <w:rPr>
          <w:rFonts w:hint="eastAsia"/>
          <w:color w:val="000000" w:themeColor="text1"/>
          <w:highlight w:val="none"/>
          <w:lang w:val="en-US" w:eastAsia="zh-CN"/>
        </w:rPr>
        <w:t>720</w:t>
      </w:r>
      <w:r>
        <w:rPr>
          <w:rFonts w:hint="eastAsia"/>
          <w:color w:val="000000" w:themeColor="text1"/>
          <w:highlight w:val="none"/>
        </w:rPr>
        <w:t>h，期间将沥青储罐保温在100℃储存。</w:t>
      </w:r>
    </w:p>
    <w:p w14:paraId="35DBF665">
      <w:pPr>
        <w:pageBreakBefore w:val="0"/>
        <w:wordWrap/>
        <w:topLinePunct w:val="0"/>
        <w:bidi w:val="0"/>
        <w:spacing w:line="360" w:lineRule="auto"/>
        <w:rPr>
          <w:color w:val="000000" w:themeColor="text1"/>
          <w:highlight w:val="none"/>
        </w:rPr>
      </w:pPr>
      <w:r>
        <w:rPr>
          <w:rFonts w:hint="eastAsia"/>
          <w:color w:val="000000" w:themeColor="text1"/>
          <w:highlight w:val="none"/>
        </w:rPr>
        <w:t>骨料预处理流程：骨料从石子堆场以装载机送入进料口，通过封闭式皮带机自动进料。为使沥青混合料不至于因过快冷却而带来运输上的不便，骨料在进入拌合仓前需经干燥筒热处理。干燥筒通过柴油燃烧器喷入热量加热，并不停转动，以使骨料受热干燥；加热后的骨料经通过骨料提升机送到粒度检控系统内进行振动筛分，符合粒度要求的骨料经计量后进入拌合仓；少数粒径较大不合规格的骨料被分离后由专门出口排出，由石料供应商回收破碎后重新利用。干燥筒、振动筛均为密闭工作，干燥及筛选过程产生的粉尘由配套的二级除尘装置（第一级为旋风除尘，第二级为布袋除尘器）除尘后排放。</w:t>
      </w:r>
    </w:p>
    <w:p w14:paraId="35E4FC43">
      <w:pPr>
        <w:pageBreakBefore w:val="0"/>
        <w:wordWrap/>
        <w:topLinePunct w:val="0"/>
        <w:bidi w:val="0"/>
        <w:spacing w:line="360" w:lineRule="auto"/>
        <w:rPr>
          <w:rFonts w:hint="eastAsia" w:ascii="Times New Roman" w:eastAsia="宋体"/>
          <w:color w:val="000000" w:themeColor="text1"/>
          <w:highlight w:val="none"/>
        </w:rPr>
      </w:pPr>
      <w:r>
        <w:rPr>
          <w:rFonts w:hint="eastAsia"/>
          <w:color w:val="000000" w:themeColor="text1"/>
          <w:highlight w:val="none"/>
        </w:rPr>
        <w:t>进入拌合仓搅拌的还有矿粉，矿粉通过配料斗，粉料提升机、计量器进入拌合楼。进入拌合仓的沥青、骨料、矿粉经拌合得到沥青混合料成品，产品整个生产工艺在密闭系统中进行。成品出料由小斗车经滑道提升到成品仓后装入运输车辆外运，生产出料过程为间断式。</w:t>
      </w:r>
    </w:p>
    <w:p w14:paraId="505C689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污染工序：砂石、矿粉运输、装卸产生噪声、粉尘；堆场可能产生扬尘；骨料烘干、筛分会产生废气、噪声和固废；沥青搅拌过程将产生噪声和废气。</w:t>
      </w:r>
    </w:p>
    <w:p w14:paraId="356CA46A">
      <w:pPr>
        <w:pageBreakBefore w:val="0"/>
        <w:wordWrap/>
        <w:topLinePunct w:val="0"/>
        <w:bidi w:val="0"/>
        <w:spacing w:line="360" w:lineRule="auto"/>
        <w:jc w:val="center"/>
        <w:rPr>
          <w:rFonts w:hint="eastAsia" w:eastAsia="宋体"/>
          <w:color w:val="000000" w:themeColor="text1"/>
          <w:highlight w:val="none"/>
          <w:lang w:val="en-US" w:eastAsia="zh-CN"/>
        </w:rPr>
      </w:pPr>
      <w:r>
        <w:rPr>
          <w:rFonts w:hint="eastAsia" w:ascii="Times New Roman" w:eastAsia="宋体"/>
          <w:color w:val="000000" w:themeColor="text1"/>
          <w:highlight w:val="none"/>
        </w:rPr>
        <w:drawing>
          <wp:inline distT="0" distB="0" distL="0" distR="0">
            <wp:extent cx="4259580" cy="3192145"/>
            <wp:effectExtent l="0" t="0" r="7620" b="8255"/>
            <wp:docPr id="52" name="图片 257" descr="QQ截图2022032013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57" descr="QQ截图20220320133035"/>
                    <pic:cNvPicPr>
                      <a:picLocks noChangeAspect="1" noChangeArrowheads="1"/>
                    </pic:cNvPicPr>
                  </pic:nvPicPr>
                  <pic:blipFill>
                    <a:blip r:embed="rId48"/>
                    <a:srcRect t="4852"/>
                    <a:stretch>
                      <a:fillRect/>
                    </a:stretch>
                  </pic:blipFill>
                  <pic:spPr>
                    <a:xfrm>
                      <a:off x="0" y="0"/>
                      <a:ext cx="4259580" cy="3192145"/>
                    </a:xfrm>
                    <a:prstGeom prst="rect">
                      <a:avLst/>
                    </a:prstGeom>
                    <a:noFill/>
                    <a:ln w="9525" cmpd="sng">
                      <a:noFill/>
                      <a:miter lim="800000"/>
                      <a:headEnd/>
                      <a:tailEnd/>
                    </a:ln>
                  </pic:spPr>
                </pic:pic>
              </a:graphicData>
            </a:graphic>
          </wp:inline>
        </w:drawing>
      </w:r>
    </w:p>
    <w:p w14:paraId="485518F2">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图3.2-</w:t>
      </w:r>
      <w:r>
        <w:rPr>
          <w:rFonts w:hint="eastAsia"/>
          <w:b/>
          <w:color w:val="000000" w:themeColor="text1"/>
          <w:highlight w:val="none"/>
          <w:lang w:val="en-US" w:eastAsia="zh-CN"/>
        </w:rPr>
        <w:t>6</w:t>
      </w:r>
      <w:r>
        <w:rPr>
          <w:b/>
          <w:color w:val="000000" w:themeColor="text1"/>
          <w:highlight w:val="none"/>
        </w:rPr>
        <w:t xml:space="preserve">  </w:t>
      </w:r>
      <w:r>
        <w:rPr>
          <w:rFonts w:hint="eastAsia"/>
          <w:b/>
          <w:color w:val="000000" w:themeColor="text1"/>
          <w:highlight w:val="none"/>
        </w:rPr>
        <w:t>沥青拌合站</w:t>
      </w:r>
      <w:r>
        <w:rPr>
          <w:b/>
          <w:color w:val="000000" w:themeColor="text1"/>
          <w:highlight w:val="none"/>
        </w:rPr>
        <w:t>施工工艺流程图及产污环节</w:t>
      </w:r>
    </w:p>
    <w:p w14:paraId="36E33584">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3.2.4</w:t>
      </w:r>
      <w:r>
        <w:rPr>
          <w:rFonts w:hint="eastAsia"/>
          <w:color w:val="000000" w:themeColor="text1"/>
          <w:highlight w:val="none"/>
          <w:lang w:eastAsia="zh-CN"/>
        </w:rPr>
        <w:t>水泥混凝土</w:t>
      </w:r>
      <w:r>
        <w:rPr>
          <w:rFonts w:hint="eastAsia"/>
          <w:color w:val="000000" w:themeColor="text1"/>
          <w:highlight w:val="none"/>
        </w:rPr>
        <w:t>拌合站工艺及污染工序分析</w:t>
      </w:r>
    </w:p>
    <w:p w14:paraId="73EB462E">
      <w:pPr>
        <w:pageBreakBefore w:val="0"/>
        <w:wordWrap/>
        <w:topLinePunct w:val="0"/>
        <w:bidi w:val="0"/>
        <w:spacing w:line="360" w:lineRule="auto"/>
        <w:ind w:firstLine="482"/>
        <w:rPr>
          <w:b/>
          <w:color w:val="000000" w:themeColor="text1"/>
          <w:highlight w:val="none"/>
        </w:rPr>
      </w:pPr>
      <w:r>
        <w:rPr>
          <w:rFonts w:hint="eastAsia"/>
          <w:b/>
          <w:color w:val="000000" w:themeColor="text1"/>
          <w:highlight w:val="none"/>
          <w:lang w:eastAsia="zh-CN"/>
        </w:rPr>
        <w:t>水泥混凝土</w:t>
      </w:r>
      <w:r>
        <w:rPr>
          <w:rFonts w:hint="eastAsia"/>
          <w:b/>
          <w:color w:val="000000" w:themeColor="text1"/>
          <w:highlight w:val="none"/>
        </w:rPr>
        <w:t>拌合工艺流程简述：</w:t>
      </w:r>
    </w:p>
    <w:p w14:paraId="1234B3BC">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lang w:eastAsia="zh-CN"/>
        </w:rPr>
        <w:t>项目购进的砂石料以公路运输进堆场堆存，用时经由封闭式皮带输送机输送，购进的粉煤灰、水泥等用专用罐车运至施工驻地，用气动输送装置输送至储罐，添加剂购进后贮入搅拌机旁的添加剂桶中，所有原料按照一定的比例分别经计量器计量后进入搅拌机中进行搅拌，搅拌后的混凝土由搅拌车装车直接运至施工现场。</w:t>
      </w:r>
    </w:p>
    <w:p w14:paraId="710364A8">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lang w:eastAsia="zh-CN"/>
        </w:rPr>
        <w:t>污染工序：砂石、粉煤灰、水泥等运输、装卸产生噪声、粉尘；堆场可能产生扬尘；搅拌机搅拌过程将产生噪声和粉尘；清洗搅拌机、搅拌车会产生废水。</w:t>
      </w:r>
    </w:p>
    <w:p w14:paraId="0BC3D272">
      <w:pPr>
        <w:pageBreakBefore w:val="0"/>
        <w:wordWrap/>
        <w:topLinePunct w:val="0"/>
        <w:bidi w:val="0"/>
        <w:spacing w:line="360" w:lineRule="auto"/>
        <w:rPr>
          <w:rFonts w:hint="eastAsia"/>
          <w:color w:val="000000" w:themeColor="text1"/>
          <w:highlight w:val="none"/>
          <w:lang w:eastAsia="zh-CN"/>
        </w:rPr>
      </w:pPr>
    </w:p>
    <w:p w14:paraId="22EF9E23">
      <w:pPr>
        <w:pageBreakBefore w:val="0"/>
        <w:wordWrap/>
        <w:topLinePunct w:val="0"/>
        <w:bidi w:val="0"/>
        <w:spacing w:line="360" w:lineRule="auto"/>
        <w:rPr>
          <w:color w:val="000000" w:themeColor="text1"/>
          <w:highlight w:val="none"/>
        </w:rPr>
      </w:pPr>
      <w:r>
        <w:rPr>
          <w:rFonts w:hint="eastAsia" w:eastAsia="宋体"/>
          <w:color w:val="000000" w:themeColor="text1"/>
          <w:highlight w:val="none"/>
          <w:lang w:eastAsia="zh-CN"/>
        </w:rPr>
        <w:drawing>
          <wp:inline distT="0" distB="0" distL="114300" distR="114300">
            <wp:extent cx="5275580" cy="3068955"/>
            <wp:effectExtent l="0" t="0" r="1270" b="17145"/>
            <wp:docPr id="15" name="图片 15" descr="170053750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00537509668"/>
                    <pic:cNvPicPr>
                      <a:picLocks noChangeAspect="1"/>
                    </pic:cNvPicPr>
                  </pic:nvPicPr>
                  <pic:blipFill>
                    <a:blip r:embed="rId49"/>
                    <a:stretch>
                      <a:fillRect/>
                    </a:stretch>
                  </pic:blipFill>
                  <pic:spPr>
                    <a:xfrm>
                      <a:off x="0" y="0"/>
                      <a:ext cx="5275580" cy="3068955"/>
                    </a:xfrm>
                    <a:prstGeom prst="rect">
                      <a:avLst/>
                    </a:prstGeom>
                  </pic:spPr>
                </pic:pic>
              </a:graphicData>
            </a:graphic>
          </wp:inline>
        </w:drawing>
      </w:r>
    </w:p>
    <w:p w14:paraId="35F3AA4B">
      <w:pPr>
        <w:pageBreakBefore w:val="0"/>
        <w:wordWrap/>
        <w:topLinePunct w:val="0"/>
        <w:bidi w:val="0"/>
        <w:spacing w:line="360" w:lineRule="auto"/>
        <w:ind w:left="0" w:leftChars="0" w:firstLine="0" w:firstLineChars="0"/>
        <w:jc w:val="center"/>
        <w:rPr>
          <w:color w:val="000000" w:themeColor="text1"/>
          <w:highlight w:val="none"/>
        </w:rPr>
      </w:pPr>
      <w:r>
        <w:rPr>
          <w:b/>
          <w:color w:val="000000" w:themeColor="text1"/>
          <w:highlight w:val="none"/>
        </w:rPr>
        <w:t>图3.2-</w:t>
      </w:r>
      <w:r>
        <w:rPr>
          <w:rFonts w:hint="eastAsia"/>
          <w:b/>
          <w:color w:val="000000" w:themeColor="text1"/>
          <w:highlight w:val="none"/>
          <w:lang w:val="en-US" w:eastAsia="zh-CN"/>
        </w:rPr>
        <w:t>7</w:t>
      </w:r>
      <w:r>
        <w:rPr>
          <w:b/>
          <w:color w:val="000000" w:themeColor="text1"/>
          <w:highlight w:val="none"/>
        </w:rPr>
        <w:t xml:space="preserve">  </w:t>
      </w:r>
      <w:r>
        <w:rPr>
          <w:rFonts w:hint="eastAsia"/>
          <w:b/>
          <w:color w:val="000000" w:themeColor="text1"/>
          <w:highlight w:val="none"/>
          <w:lang w:eastAsia="zh-CN"/>
        </w:rPr>
        <w:t>混凝土</w:t>
      </w:r>
      <w:r>
        <w:rPr>
          <w:rFonts w:hint="eastAsia"/>
          <w:b/>
          <w:color w:val="000000" w:themeColor="text1"/>
          <w:highlight w:val="none"/>
        </w:rPr>
        <w:t>拌合站</w:t>
      </w:r>
      <w:r>
        <w:rPr>
          <w:b/>
          <w:color w:val="000000" w:themeColor="text1"/>
          <w:highlight w:val="none"/>
        </w:rPr>
        <w:t>施工工艺流程图及产污环节</w:t>
      </w:r>
    </w:p>
    <w:p w14:paraId="0A7EBC55">
      <w:pPr>
        <w:pStyle w:val="4"/>
        <w:pageBreakBefore w:val="0"/>
        <w:wordWrap/>
        <w:topLinePunct w:val="0"/>
        <w:bidi w:val="0"/>
        <w:spacing w:before="120" w:line="360" w:lineRule="auto"/>
        <w:rPr>
          <w:color w:val="000000" w:themeColor="text1"/>
          <w:highlight w:val="none"/>
        </w:rPr>
      </w:pPr>
      <w:bookmarkStart w:id="280" w:name="_Toc11488"/>
      <w:bookmarkStart w:id="281" w:name="_Toc9879"/>
      <w:r>
        <w:rPr>
          <w:rFonts w:hint="eastAsia"/>
          <w:color w:val="000000" w:themeColor="text1"/>
          <w:highlight w:val="none"/>
        </w:rPr>
        <w:t>3.2.5</w:t>
      </w:r>
      <w:r>
        <w:rPr>
          <w:color w:val="000000" w:themeColor="text1"/>
          <w:highlight w:val="none"/>
        </w:rPr>
        <w:t>产污环节</w:t>
      </w:r>
      <w:bookmarkEnd w:id="280"/>
      <w:bookmarkEnd w:id="281"/>
    </w:p>
    <w:p w14:paraId="6DDF9118">
      <w:pPr>
        <w:pStyle w:val="13"/>
        <w:pageBreakBefore w:val="0"/>
        <w:wordWrap/>
        <w:topLinePunct w:val="0"/>
        <w:bidi w:val="0"/>
        <w:spacing w:line="360" w:lineRule="auto"/>
        <w:ind w:firstLine="480"/>
        <w:rPr>
          <w:rFonts w:hint="default" w:ascii="Times New Roman" w:hAnsi="Times New Roman" w:eastAsia="宋体" w:cs="Times New Roman"/>
          <w:color w:val="000000" w:themeColor="text1"/>
          <w:sz w:val="24"/>
          <w:highlight w:val="none"/>
        </w:rPr>
      </w:pPr>
      <w:r>
        <w:rPr>
          <w:rFonts w:eastAsia="宋体"/>
          <w:color w:val="000000" w:themeColor="text1"/>
          <w:sz w:val="24"/>
          <w:highlight w:val="none"/>
        </w:rPr>
        <w:t>本项目环境影响因素识别包括施工期和营</w:t>
      </w:r>
      <w:r>
        <w:rPr>
          <w:rFonts w:hint="default" w:ascii="Times New Roman" w:hAnsi="Times New Roman" w:eastAsia="宋体" w:cs="Times New Roman"/>
          <w:color w:val="000000" w:themeColor="text1"/>
          <w:sz w:val="24"/>
          <w:highlight w:val="none"/>
        </w:rPr>
        <w:t>运期，产污环节见表3.2-1。</w:t>
      </w:r>
    </w:p>
    <w:p w14:paraId="35CFEF6E">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表3.2-1</w:t>
      </w:r>
      <w:r>
        <w:rPr>
          <w:rFonts w:hint="eastAsia"/>
          <w:b/>
          <w:color w:val="000000" w:themeColor="text1"/>
          <w:highlight w:val="none"/>
          <w:lang w:val="en-US" w:eastAsia="zh-CN"/>
        </w:rPr>
        <w:t xml:space="preserve">  </w:t>
      </w:r>
      <w:r>
        <w:rPr>
          <w:b/>
          <w:color w:val="000000" w:themeColor="text1"/>
          <w:highlight w:val="none"/>
        </w:rPr>
        <w:t>主要污染工序一览表</w:t>
      </w:r>
    </w:p>
    <w:tbl>
      <w:tblPr>
        <w:tblStyle w:val="33"/>
        <w:tblW w:w="852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137"/>
        <w:gridCol w:w="3544"/>
        <w:gridCol w:w="3172"/>
      </w:tblGrid>
      <w:tr w14:paraId="2118AC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Align w:val="center"/>
          </w:tcPr>
          <w:p w14:paraId="01F76CB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时段</w:t>
            </w:r>
          </w:p>
        </w:tc>
        <w:tc>
          <w:tcPr>
            <w:tcW w:w="1137" w:type="dxa"/>
            <w:vAlign w:val="center"/>
          </w:tcPr>
          <w:p w14:paraId="2556C7F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污染类别</w:t>
            </w:r>
          </w:p>
        </w:tc>
        <w:tc>
          <w:tcPr>
            <w:tcW w:w="3544" w:type="dxa"/>
            <w:vAlign w:val="center"/>
          </w:tcPr>
          <w:p w14:paraId="29FF16B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污染源</w:t>
            </w:r>
          </w:p>
        </w:tc>
        <w:tc>
          <w:tcPr>
            <w:tcW w:w="3172" w:type="dxa"/>
            <w:vAlign w:val="center"/>
          </w:tcPr>
          <w:p w14:paraId="21A41DB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主要污染因子</w:t>
            </w:r>
          </w:p>
        </w:tc>
      </w:tr>
      <w:tr w14:paraId="01B66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restart"/>
            <w:vAlign w:val="center"/>
          </w:tcPr>
          <w:p w14:paraId="369681B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施工期</w:t>
            </w:r>
          </w:p>
        </w:tc>
        <w:tc>
          <w:tcPr>
            <w:tcW w:w="1137" w:type="dxa"/>
            <w:vMerge w:val="restart"/>
            <w:vAlign w:val="center"/>
          </w:tcPr>
          <w:p w14:paraId="0D31D6D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废气</w:t>
            </w:r>
          </w:p>
        </w:tc>
        <w:tc>
          <w:tcPr>
            <w:tcW w:w="3544" w:type="dxa"/>
            <w:vAlign w:val="center"/>
          </w:tcPr>
          <w:p w14:paraId="54AAF78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施工作业及运输车辆、</w:t>
            </w:r>
            <w:r>
              <w:rPr>
                <w:rFonts w:hint="eastAsia"/>
                <w:color w:val="000000" w:themeColor="text1"/>
                <w:sz w:val="21"/>
                <w:szCs w:val="21"/>
                <w:highlight w:val="none"/>
              </w:rPr>
              <w:t>混凝土拌合站、预制场</w:t>
            </w:r>
          </w:p>
        </w:tc>
        <w:tc>
          <w:tcPr>
            <w:tcW w:w="3172" w:type="dxa"/>
            <w:vAlign w:val="center"/>
          </w:tcPr>
          <w:p w14:paraId="3AE8C52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扬尘（TSP）</w:t>
            </w:r>
          </w:p>
        </w:tc>
      </w:tr>
      <w:tr w14:paraId="4F0565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6B626D67">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Merge w:val="continue"/>
            <w:vAlign w:val="center"/>
          </w:tcPr>
          <w:p w14:paraId="6ABB62A8">
            <w:pPr>
              <w:pageBreakBefore w:val="0"/>
              <w:wordWrap/>
              <w:topLinePunct w:val="0"/>
              <w:bidi w:val="0"/>
              <w:spacing w:line="240" w:lineRule="auto"/>
              <w:ind w:firstLine="0" w:firstLineChars="0"/>
              <w:jc w:val="center"/>
              <w:rPr>
                <w:color w:val="000000" w:themeColor="text1"/>
                <w:sz w:val="21"/>
                <w:szCs w:val="21"/>
                <w:highlight w:val="none"/>
              </w:rPr>
            </w:pPr>
          </w:p>
        </w:tc>
        <w:tc>
          <w:tcPr>
            <w:tcW w:w="3544" w:type="dxa"/>
            <w:vAlign w:val="center"/>
          </w:tcPr>
          <w:p w14:paraId="296A7AB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沥青拌合站</w:t>
            </w:r>
          </w:p>
        </w:tc>
        <w:tc>
          <w:tcPr>
            <w:tcW w:w="3172" w:type="dxa"/>
            <w:vAlign w:val="center"/>
          </w:tcPr>
          <w:p w14:paraId="0A1558A0">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沥青烟</w:t>
            </w:r>
            <w:r>
              <w:rPr>
                <w:rFonts w:hint="eastAsia"/>
                <w:color w:val="000000" w:themeColor="text1"/>
                <w:sz w:val="21"/>
                <w:szCs w:val="21"/>
                <w:highlight w:val="none"/>
              </w:rPr>
              <w:t>、NO</w:t>
            </w:r>
            <w:r>
              <w:rPr>
                <w:rFonts w:hint="eastAsia"/>
                <w:color w:val="000000" w:themeColor="text1"/>
                <w:sz w:val="21"/>
                <w:szCs w:val="21"/>
                <w:highlight w:val="none"/>
                <w:vertAlign w:val="subscript"/>
              </w:rPr>
              <w:t>X</w:t>
            </w:r>
            <w:r>
              <w:rPr>
                <w:rFonts w:hint="eastAsia"/>
                <w:color w:val="000000" w:themeColor="text1"/>
                <w:sz w:val="21"/>
                <w:szCs w:val="21"/>
                <w:highlight w:val="none"/>
                <w:lang w:eastAsia="zh-CN"/>
              </w:rPr>
              <w:t>、</w:t>
            </w:r>
            <w:r>
              <w:rPr>
                <w:rFonts w:hint="eastAsia"/>
                <w:color w:val="000000" w:themeColor="text1"/>
                <w:sz w:val="21"/>
                <w:szCs w:val="21"/>
                <w:highlight w:val="none"/>
              </w:rPr>
              <w:t>苯并[a]芘、THC</w:t>
            </w:r>
            <w:r>
              <w:rPr>
                <w:rFonts w:hint="eastAsia"/>
                <w:color w:val="000000" w:themeColor="text1"/>
                <w:sz w:val="21"/>
                <w:szCs w:val="21"/>
                <w:highlight w:val="none"/>
                <w:lang w:eastAsia="zh-CN"/>
              </w:rPr>
              <w:t>、</w:t>
            </w:r>
            <w:r>
              <w:rPr>
                <w:rFonts w:hint="eastAsia"/>
                <w:color w:val="000000" w:themeColor="text1"/>
                <w:sz w:val="21"/>
                <w:szCs w:val="21"/>
                <w:highlight w:val="none"/>
              </w:rPr>
              <w:t>SO</w:t>
            </w:r>
            <w:r>
              <w:rPr>
                <w:rFonts w:hint="eastAsia"/>
                <w:color w:val="000000" w:themeColor="text1"/>
                <w:sz w:val="21"/>
                <w:szCs w:val="21"/>
                <w:highlight w:val="none"/>
                <w:vertAlign w:val="subscript"/>
              </w:rPr>
              <w:t>2</w:t>
            </w:r>
          </w:p>
        </w:tc>
      </w:tr>
      <w:tr w14:paraId="586D23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473A653F">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Merge w:val="restart"/>
            <w:vAlign w:val="center"/>
          </w:tcPr>
          <w:p w14:paraId="7D68722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废水</w:t>
            </w:r>
          </w:p>
        </w:tc>
        <w:tc>
          <w:tcPr>
            <w:tcW w:w="3544" w:type="dxa"/>
            <w:vAlign w:val="center"/>
          </w:tcPr>
          <w:p w14:paraId="23C1BCB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生活污水</w:t>
            </w:r>
          </w:p>
        </w:tc>
        <w:tc>
          <w:tcPr>
            <w:tcW w:w="3172" w:type="dxa"/>
            <w:vAlign w:val="center"/>
          </w:tcPr>
          <w:p w14:paraId="5FEF1499">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snapToGrid w:val="0"/>
                <w:color w:val="000000" w:themeColor="text1"/>
                <w:kern w:val="0"/>
                <w:sz w:val="21"/>
                <w:szCs w:val="21"/>
                <w:highlight w:val="none"/>
              </w:rPr>
              <w:t>COD、BOD、SS、NH</w:t>
            </w:r>
            <w:r>
              <w:rPr>
                <w:snapToGrid w:val="0"/>
                <w:color w:val="000000" w:themeColor="text1"/>
                <w:kern w:val="0"/>
                <w:sz w:val="21"/>
                <w:szCs w:val="21"/>
                <w:highlight w:val="none"/>
                <w:vertAlign w:val="subscript"/>
              </w:rPr>
              <w:t>3</w:t>
            </w:r>
            <w:r>
              <w:rPr>
                <w:rFonts w:hint="eastAsia"/>
                <w:snapToGrid w:val="0"/>
                <w:color w:val="000000" w:themeColor="text1"/>
                <w:kern w:val="0"/>
                <w:sz w:val="21"/>
                <w:szCs w:val="21"/>
                <w:highlight w:val="none"/>
                <w:lang w:eastAsia="zh-CN"/>
              </w:rPr>
              <w:t>（</w:t>
            </w:r>
            <w:r>
              <w:rPr>
                <w:snapToGrid w:val="0"/>
                <w:color w:val="000000" w:themeColor="text1"/>
                <w:kern w:val="0"/>
                <w:sz w:val="21"/>
                <w:szCs w:val="21"/>
                <w:highlight w:val="none"/>
              </w:rPr>
              <w:t>N</w:t>
            </w:r>
            <w:r>
              <w:rPr>
                <w:rFonts w:hint="eastAsia"/>
                <w:snapToGrid w:val="0"/>
                <w:color w:val="000000" w:themeColor="text1"/>
                <w:kern w:val="0"/>
                <w:sz w:val="21"/>
                <w:szCs w:val="21"/>
                <w:highlight w:val="none"/>
                <w:lang w:eastAsia="zh-CN"/>
              </w:rPr>
              <w:t>）</w:t>
            </w:r>
          </w:p>
        </w:tc>
      </w:tr>
      <w:tr w14:paraId="7C7631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196E3B20">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Merge w:val="continue"/>
            <w:vAlign w:val="center"/>
          </w:tcPr>
          <w:p w14:paraId="5A644DAA">
            <w:pPr>
              <w:pageBreakBefore w:val="0"/>
              <w:wordWrap/>
              <w:topLinePunct w:val="0"/>
              <w:bidi w:val="0"/>
              <w:spacing w:line="240" w:lineRule="auto"/>
              <w:ind w:firstLine="0" w:firstLineChars="0"/>
              <w:jc w:val="center"/>
              <w:rPr>
                <w:color w:val="000000" w:themeColor="text1"/>
                <w:sz w:val="21"/>
                <w:szCs w:val="21"/>
                <w:highlight w:val="none"/>
              </w:rPr>
            </w:pPr>
          </w:p>
        </w:tc>
        <w:tc>
          <w:tcPr>
            <w:tcW w:w="3544" w:type="dxa"/>
            <w:vAlign w:val="center"/>
          </w:tcPr>
          <w:p w14:paraId="113970D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施工废水</w:t>
            </w:r>
          </w:p>
        </w:tc>
        <w:tc>
          <w:tcPr>
            <w:tcW w:w="3172" w:type="dxa"/>
            <w:vAlign w:val="center"/>
          </w:tcPr>
          <w:p w14:paraId="17109C4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石油类、SS</w:t>
            </w:r>
          </w:p>
        </w:tc>
      </w:tr>
      <w:tr w14:paraId="174C9C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61C00F7E">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Align w:val="center"/>
          </w:tcPr>
          <w:p w14:paraId="1A6570B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噪声</w:t>
            </w:r>
          </w:p>
        </w:tc>
        <w:tc>
          <w:tcPr>
            <w:tcW w:w="3544" w:type="dxa"/>
            <w:vAlign w:val="center"/>
          </w:tcPr>
          <w:p w14:paraId="4CDB95E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施工机械</w:t>
            </w:r>
          </w:p>
        </w:tc>
        <w:tc>
          <w:tcPr>
            <w:tcW w:w="3172" w:type="dxa"/>
            <w:vAlign w:val="center"/>
          </w:tcPr>
          <w:p w14:paraId="4153178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机械噪声</w:t>
            </w:r>
          </w:p>
        </w:tc>
      </w:tr>
      <w:tr w14:paraId="25204D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5EBB6399">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Merge w:val="restart"/>
            <w:vAlign w:val="center"/>
          </w:tcPr>
          <w:p w14:paraId="339B4AD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固废</w:t>
            </w:r>
          </w:p>
        </w:tc>
        <w:tc>
          <w:tcPr>
            <w:tcW w:w="3544" w:type="dxa"/>
            <w:vAlign w:val="center"/>
          </w:tcPr>
          <w:p w14:paraId="771C052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道路施工</w:t>
            </w:r>
          </w:p>
        </w:tc>
        <w:tc>
          <w:tcPr>
            <w:tcW w:w="3172" w:type="dxa"/>
            <w:vAlign w:val="center"/>
          </w:tcPr>
          <w:p w14:paraId="291BB54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施工垃圾</w:t>
            </w:r>
          </w:p>
        </w:tc>
      </w:tr>
      <w:tr w14:paraId="3EC745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6BAA68E0">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Merge w:val="continue"/>
            <w:vAlign w:val="center"/>
          </w:tcPr>
          <w:p w14:paraId="1E93C212">
            <w:pPr>
              <w:pageBreakBefore w:val="0"/>
              <w:wordWrap/>
              <w:topLinePunct w:val="0"/>
              <w:bidi w:val="0"/>
              <w:spacing w:line="240" w:lineRule="auto"/>
              <w:ind w:firstLine="0" w:firstLineChars="0"/>
              <w:jc w:val="center"/>
              <w:rPr>
                <w:color w:val="000000" w:themeColor="text1"/>
                <w:sz w:val="21"/>
                <w:szCs w:val="21"/>
                <w:highlight w:val="none"/>
              </w:rPr>
            </w:pPr>
          </w:p>
        </w:tc>
        <w:tc>
          <w:tcPr>
            <w:tcW w:w="3544" w:type="dxa"/>
            <w:vAlign w:val="center"/>
          </w:tcPr>
          <w:p w14:paraId="5DF0748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施工人员</w:t>
            </w:r>
          </w:p>
        </w:tc>
        <w:tc>
          <w:tcPr>
            <w:tcW w:w="3172" w:type="dxa"/>
            <w:vAlign w:val="center"/>
          </w:tcPr>
          <w:p w14:paraId="6A2460D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生活垃圾</w:t>
            </w:r>
          </w:p>
        </w:tc>
      </w:tr>
      <w:tr w14:paraId="59C9D0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0DBE0B92">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Align w:val="center"/>
          </w:tcPr>
          <w:p w14:paraId="5C1FAB5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生态</w:t>
            </w:r>
          </w:p>
        </w:tc>
        <w:tc>
          <w:tcPr>
            <w:tcW w:w="6716" w:type="dxa"/>
            <w:gridSpan w:val="2"/>
            <w:vAlign w:val="center"/>
          </w:tcPr>
          <w:p w14:paraId="33A0894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占地影响、植被破坏等不利影响</w:t>
            </w:r>
          </w:p>
        </w:tc>
      </w:tr>
      <w:tr w14:paraId="0EFAED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1584E4A7">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Align w:val="center"/>
          </w:tcPr>
          <w:p w14:paraId="544C471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风险</w:t>
            </w:r>
          </w:p>
        </w:tc>
        <w:tc>
          <w:tcPr>
            <w:tcW w:w="6716" w:type="dxa"/>
            <w:gridSpan w:val="2"/>
            <w:vAlign w:val="center"/>
          </w:tcPr>
          <w:p w14:paraId="029F223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施工废水处理不当，对跨越水体的不利影响</w:t>
            </w:r>
          </w:p>
        </w:tc>
      </w:tr>
      <w:tr w14:paraId="3D6311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restart"/>
            <w:vAlign w:val="center"/>
          </w:tcPr>
          <w:p w14:paraId="53403C3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运营期</w:t>
            </w:r>
          </w:p>
        </w:tc>
        <w:tc>
          <w:tcPr>
            <w:tcW w:w="1137" w:type="dxa"/>
            <w:vAlign w:val="center"/>
          </w:tcPr>
          <w:p w14:paraId="3EED1CE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废气</w:t>
            </w:r>
          </w:p>
        </w:tc>
        <w:tc>
          <w:tcPr>
            <w:tcW w:w="3544" w:type="dxa"/>
            <w:vAlign w:val="center"/>
          </w:tcPr>
          <w:p w14:paraId="18FE253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汽车行驶</w:t>
            </w:r>
          </w:p>
        </w:tc>
        <w:tc>
          <w:tcPr>
            <w:tcW w:w="3172" w:type="dxa"/>
            <w:vAlign w:val="center"/>
          </w:tcPr>
          <w:p w14:paraId="6895968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汽车尾气（CO、NO</w:t>
            </w:r>
            <w:r>
              <w:rPr>
                <w:color w:val="000000" w:themeColor="text1"/>
                <w:sz w:val="21"/>
                <w:szCs w:val="21"/>
                <w:highlight w:val="none"/>
                <w:vertAlign w:val="subscript"/>
              </w:rPr>
              <w:t>X</w:t>
            </w:r>
            <w:r>
              <w:rPr>
                <w:color w:val="000000" w:themeColor="text1"/>
                <w:sz w:val="21"/>
                <w:szCs w:val="21"/>
                <w:highlight w:val="none"/>
              </w:rPr>
              <w:t>）</w:t>
            </w:r>
          </w:p>
        </w:tc>
      </w:tr>
      <w:tr w14:paraId="773709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6FE59C35">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Align w:val="center"/>
          </w:tcPr>
          <w:p w14:paraId="4F49959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废水</w:t>
            </w:r>
          </w:p>
        </w:tc>
        <w:tc>
          <w:tcPr>
            <w:tcW w:w="3544" w:type="dxa"/>
            <w:vAlign w:val="center"/>
          </w:tcPr>
          <w:p w14:paraId="06457D0F">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w:t>
            </w:r>
          </w:p>
        </w:tc>
        <w:tc>
          <w:tcPr>
            <w:tcW w:w="3172" w:type="dxa"/>
            <w:vAlign w:val="center"/>
          </w:tcPr>
          <w:p w14:paraId="66FD096D">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w:t>
            </w:r>
          </w:p>
        </w:tc>
      </w:tr>
      <w:tr w14:paraId="7C8F24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06806444">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Align w:val="center"/>
          </w:tcPr>
          <w:p w14:paraId="187793F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噪声</w:t>
            </w:r>
          </w:p>
        </w:tc>
        <w:tc>
          <w:tcPr>
            <w:tcW w:w="3544" w:type="dxa"/>
            <w:vAlign w:val="center"/>
          </w:tcPr>
          <w:p w14:paraId="471B04E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汽车行驶</w:t>
            </w:r>
          </w:p>
        </w:tc>
        <w:tc>
          <w:tcPr>
            <w:tcW w:w="3172" w:type="dxa"/>
            <w:vAlign w:val="center"/>
          </w:tcPr>
          <w:p w14:paraId="66AAADF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交通噪声</w:t>
            </w:r>
          </w:p>
        </w:tc>
      </w:tr>
      <w:tr w14:paraId="04FA0E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Merge w:val="continue"/>
            <w:vAlign w:val="center"/>
          </w:tcPr>
          <w:p w14:paraId="084A0894">
            <w:pPr>
              <w:pageBreakBefore w:val="0"/>
              <w:wordWrap/>
              <w:topLinePunct w:val="0"/>
              <w:bidi w:val="0"/>
              <w:spacing w:line="240" w:lineRule="auto"/>
              <w:ind w:firstLine="0" w:firstLineChars="0"/>
              <w:jc w:val="center"/>
              <w:rPr>
                <w:color w:val="000000" w:themeColor="text1"/>
                <w:sz w:val="21"/>
                <w:szCs w:val="21"/>
                <w:highlight w:val="none"/>
              </w:rPr>
            </w:pPr>
          </w:p>
        </w:tc>
        <w:tc>
          <w:tcPr>
            <w:tcW w:w="1137" w:type="dxa"/>
            <w:vAlign w:val="center"/>
          </w:tcPr>
          <w:p w14:paraId="174A504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风险</w:t>
            </w:r>
          </w:p>
        </w:tc>
        <w:tc>
          <w:tcPr>
            <w:tcW w:w="6716" w:type="dxa"/>
            <w:gridSpan w:val="2"/>
            <w:vAlign w:val="center"/>
          </w:tcPr>
          <w:p w14:paraId="4ED0B4A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桥梁路段发生事故时危险品泄入水体，造成河流水体污染</w:t>
            </w:r>
          </w:p>
        </w:tc>
      </w:tr>
    </w:tbl>
    <w:p w14:paraId="13D8386C">
      <w:pPr>
        <w:pStyle w:val="3"/>
        <w:pageBreakBefore w:val="0"/>
        <w:wordWrap/>
        <w:topLinePunct w:val="0"/>
        <w:bidi w:val="0"/>
        <w:spacing w:line="360" w:lineRule="auto"/>
        <w:rPr>
          <w:rFonts w:hint="eastAsia"/>
          <w:color w:val="000000" w:themeColor="text1"/>
          <w:highlight w:val="none"/>
        </w:rPr>
      </w:pPr>
      <w:bookmarkStart w:id="282" w:name="_Toc18610"/>
      <w:bookmarkStart w:id="283" w:name="_Toc21080"/>
      <w:bookmarkStart w:id="284" w:name="_Toc17012"/>
      <w:bookmarkStart w:id="285" w:name="_Toc7163"/>
      <w:bookmarkStart w:id="286" w:name="_Toc518574368"/>
    </w:p>
    <w:p w14:paraId="58EF8280">
      <w:pPr>
        <w:pStyle w:val="3"/>
        <w:pageBreakBefore w:val="0"/>
        <w:wordWrap/>
        <w:topLinePunct w:val="0"/>
        <w:bidi w:val="0"/>
        <w:spacing w:line="360" w:lineRule="auto"/>
        <w:rPr>
          <w:rFonts w:hint="eastAsia"/>
          <w:color w:val="000000" w:themeColor="text1"/>
          <w:highlight w:val="none"/>
        </w:rPr>
      </w:pPr>
    </w:p>
    <w:p w14:paraId="02D0CD39">
      <w:pPr>
        <w:pStyle w:val="3"/>
        <w:pageBreakBefore w:val="0"/>
        <w:wordWrap/>
        <w:topLinePunct w:val="0"/>
        <w:bidi w:val="0"/>
        <w:spacing w:line="360" w:lineRule="auto"/>
        <w:rPr>
          <w:rFonts w:hint="eastAsia"/>
          <w:color w:val="000000" w:themeColor="text1"/>
          <w:highlight w:val="none"/>
        </w:rPr>
      </w:pPr>
    </w:p>
    <w:p w14:paraId="5B0EE82D">
      <w:pPr>
        <w:pStyle w:val="3"/>
        <w:pageBreakBefore w:val="0"/>
        <w:wordWrap/>
        <w:topLinePunct w:val="0"/>
        <w:bidi w:val="0"/>
        <w:spacing w:line="360" w:lineRule="auto"/>
        <w:rPr>
          <w:color w:val="000000" w:themeColor="text1"/>
          <w:highlight w:val="none"/>
        </w:rPr>
      </w:pPr>
      <w:r>
        <w:rPr>
          <w:rFonts w:hint="eastAsia"/>
          <w:color w:val="000000" w:themeColor="text1"/>
          <w:highlight w:val="none"/>
        </w:rPr>
        <w:t>3.3</w:t>
      </w:r>
      <w:r>
        <w:rPr>
          <w:color w:val="000000" w:themeColor="text1"/>
          <w:highlight w:val="none"/>
        </w:rPr>
        <w:t>环境影响源分析</w:t>
      </w:r>
      <w:bookmarkEnd w:id="282"/>
      <w:bookmarkEnd w:id="283"/>
      <w:bookmarkEnd w:id="284"/>
      <w:bookmarkEnd w:id="285"/>
      <w:bookmarkEnd w:id="286"/>
    </w:p>
    <w:p w14:paraId="635D6537">
      <w:pPr>
        <w:pStyle w:val="4"/>
        <w:pageBreakBefore w:val="0"/>
        <w:wordWrap/>
        <w:topLinePunct w:val="0"/>
        <w:bidi w:val="0"/>
        <w:spacing w:before="120" w:line="360" w:lineRule="auto"/>
        <w:rPr>
          <w:color w:val="000000" w:themeColor="text1"/>
          <w:highlight w:val="none"/>
        </w:rPr>
      </w:pPr>
      <w:bookmarkStart w:id="287" w:name="_Toc9828"/>
      <w:bookmarkStart w:id="288" w:name="_Toc14383"/>
      <w:r>
        <w:rPr>
          <w:rFonts w:hint="eastAsia"/>
          <w:color w:val="000000" w:themeColor="text1"/>
          <w:highlight w:val="none"/>
        </w:rPr>
        <w:t>3.3.1</w:t>
      </w:r>
      <w:r>
        <w:rPr>
          <w:color w:val="000000" w:themeColor="text1"/>
          <w:highlight w:val="none"/>
        </w:rPr>
        <w:t>施工期</w:t>
      </w:r>
      <w:bookmarkEnd w:id="287"/>
      <w:bookmarkEnd w:id="288"/>
    </w:p>
    <w:p w14:paraId="7AC64C35">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3.3.1.1</w:t>
      </w:r>
      <w:r>
        <w:rPr>
          <w:color w:val="000000" w:themeColor="text1"/>
          <w:highlight w:val="none"/>
        </w:rPr>
        <w:t>生态</w:t>
      </w:r>
    </w:p>
    <w:p w14:paraId="2746EF4E">
      <w:pPr>
        <w:pageBreakBefore w:val="0"/>
        <w:wordWrap/>
        <w:topLinePunct w:val="0"/>
        <w:bidi w:val="0"/>
        <w:spacing w:line="360" w:lineRule="auto"/>
        <w:rPr>
          <w:color w:val="000000" w:themeColor="text1"/>
          <w:highlight w:val="none"/>
        </w:rPr>
      </w:pPr>
      <w:r>
        <w:rPr>
          <w:color w:val="000000" w:themeColor="text1"/>
          <w:highlight w:val="none"/>
        </w:rPr>
        <w:t>（1）工程占地</w:t>
      </w:r>
    </w:p>
    <w:p w14:paraId="4920548E">
      <w:pPr>
        <w:pageBreakBefore w:val="0"/>
        <w:wordWrap/>
        <w:topLinePunct w:val="0"/>
        <w:bidi w:val="0"/>
        <w:spacing w:line="360" w:lineRule="auto"/>
        <w:rPr>
          <w:snapToGrid w:val="0"/>
          <w:color w:val="000000" w:themeColor="text1"/>
          <w:highlight w:val="none"/>
        </w:rPr>
      </w:pPr>
      <w:r>
        <w:rPr>
          <w:rFonts w:hint="eastAsia" w:cs="宋体"/>
          <w:color w:val="000000" w:themeColor="text1"/>
          <w:kern w:val="0"/>
          <w:highlight w:val="none"/>
        </w:rPr>
        <w:t>本项目</w:t>
      </w:r>
      <w:r>
        <w:rPr>
          <w:rFonts w:hint="eastAsia"/>
          <w:color w:val="000000" w:themeColor="text1"/>
          <w:highlight w:val="none"/>
          <w:lang w:val="en-US" w:eastAsia="zh-CN"/>
        </w:rPr>
        <w:t>永久占地共19.1083hm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s="宋体"/>
          <w:color w:val="000000" w:themeColor="text1"/>
          <w:kern w:val="0"/>
          <w:highlight w:val="none"/>
          <w:lang w:eastAsia="zh-CN"/>
        </w:rPr>
        <w:t>工程占地均属</w:t>
      </w:r>
      <w:r>
        <w:rPr>
          <w:rFonts w:hint="eastAsia" w:cs="宋体"/>
          <w:color w:val="000000" w:themeColor="text1"/>
          <w:kern w:val="0"/>
          <w:highlight w:val="none"/>
          <w:lang w:val="en-US" w:eastAsia="zh-CN"/>
        </w:rPr>
        <w:t>鹤岗市</w:t>
      </w:r>
      <w:r>
        <w:rPr>
          <w:rFonts w:hint="eastAsia" w:cs="宋体"/>
          <w:color w:val="000000" w:themeColor="text1"/>
          <w:kern w:val="0"/>
          <w:highlight w:val="none"/>
          <w:lang w:eastAsia="zh-CN"/>
        </w:rPr>
        <w:t>行政管辖。</w:t>
      </w:r>
      <w:r>
        <w:rPr>
          <w:rFonts w:hint="default"/>
          <w:color w:val="000000" w:themeColor="text1"/>
          <w:highlight w:val="none"/>
          <w:lang w:val="en-US"/>
        </w:rPr>
        <w:t>根据《土地利用现状分类》（GB/T 21010-2017）一级类别，本工程土地类型划</w:t>
      </w:r>
      <w:r>
        <w:rPr>
          <w:rFonts w:hint="default"/>
          <w:color w:val="000000" w:themeColor="text1"/>
          <w:sz w:val="24"/>
          <w:highlight w:val="none"/>
          <w:lang w:val="en-US"/>
        </w:rPr>
        <w:t>分为</w:t>
      </w:r>
      <w:r>
        <w:rPr>
          <w:rFonts w:hint="eastAsia"/>
          <w:color w:val="000000" w:themeColor="text1"/>
          <w:sz w:val="24"/>
          <w:highlight w:val="none"/>
          <w:lang w:val="en-US" w:eastAsia="zh-CN"/>
        </w:rPr>
        <w:t>占用</w:t>
      </w:r>
      <w:r>
        <w:rPr>
          <w:rFonts w:hint="eastAsia"/>
          <w:color w:val="000000" w:themeColor="text1"/>
          <w:highlight w:val="none"/>
          <w:lang w:val="en-US" w:eastAsia="zh-CN"/>
        </w:rPr>
        <w:t>水田0.6573hm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（所占耕地均为永久基本农田，合计12.0213hm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color w:val="000000" w:themeColor="text1"/>
          <w:highlight w:val="none"/>
        </w:rPr>
        <w:t>本项目</w:t>
      </w:r>
      <w:r>
        <w:rPr>
          <w:rFonts w:hint="eastAsia"/>
          <w:color w:val="000000" w:themeColor="text1"/>
          <w:highlight w:val="none"/>
        </w:rPr>
        <w:t>占用林地</w:t>
      </w:r>
      <w:r>
        <w:rPr>
          <w:color w:val="000000" w:themeColor="text1"/>
          <w:highlight w:val="none"/>
        </w:rPr>
        <w:t>树种</w:t>
      </w:r>
      <w:r>
        <w:rPr>
          <w:rFonts w:hint="eastAsia"/>
          <w:color w:val="000000" w:themeColor="text1"/>
          <w:highlight w:val="none"/>
        </w:rPr>
        <w:t>为柞</w:t>
      </w:r>
      <w:r>
        <w:rPr>
          <w:color w:val="000000" w:themeColor="text1"/>
          <w:highlight w:val="none"/>
        </w:rPr>
        <w:t>树、</w:t>
      </w:r>
      <w:r>
        <w:rPr>
          <w:rFonts w:hint="eastAsia"/>
          <w:color w:val="000000" w:themeColor="text1"/>
          <w:highlight w:val="none"/>
        </w:rPr>
        <w:t>桦</w:t>
      </w:r>
      <w:r>
        <w:rPr>
          <w:color w:val="000000" w:themeColor="text1"/>
          <w:highlight w:val="none"/>
        </w:rPr>
        <w:t>树</w:t>
      </w:r>
      <w:r>
        <w:rPr>
          <w:rFonts w:hint="eastAsia"/>
          <w:color w:val="000000" w:themeColor="text1"/>
          <w:highlight w:val="none"/>
        </w:rPr>
        <w:t>、山</w:t>
      </w:r>
      <w:r>
        <w:rPr>
          <w:rFonts w:hint="eastAsia"/>
          <w:color w:val="000000" w:themeColor="text1"/>
          <w:highlight w:val="none"/>
          <w:lang w:val="en-US" w:eastAsia="zh-CN"/>
        </w:rPr>
        <w:t>杨</w:t>
      </w:r>
      <w:r>
        <w:rPr>
          <w:rFonts w:hint="eastAsia"/>
          <w:color w:val="000000" w:themeColor="text1"/>
          <w:highlight w:val="none"/>
        </w:rPr>
        <w:t>、落叶松</w:t>
      </w:r>
      <w:r>
        <w:rPr>
          <w:color w:val="000000" w:themeColor="text1"/>
          <w:highlight w:val="none"/>
        </w:rPr>
        <w:t>等</w:t>
      </w:r>
      <w:r>
        <w:rPr>
          <w:rFonts w:hint="eastAsia"/>
          <w:snapToGrid w:val="0"/>
          <w:color w:val="000000" w:themeColor="text1"/>
          <w:highlight w:val="none"/>
        </w:rPr>
        <w:t>。</w:t>
      </w:r>
    </w:p>
    <w:p w14:paraId="0D1F7BFC">
      <w:pPr>
        <w:pageBreakBefore w:val="0"/>
        <w:wordWrap/>
        <w:topLinePunct w:val="0"/>
        <w:bidi w:val="0"/>
        <w:spacing w:line="360" w:lineRule="auto"/>
        <w:rPr>
          <w:rFonts w:hint="eastAsia" w:eastAsia="宋体"/>
          <w:color w:val="000000" w:themeColor="text1"/>
          <w:highlight w:val="none"/>
          <w:lang w:eastAsia="zh-CN"/>
        </w:rPr>
      </w:pPr>
      <w:r>
        <w:rPr>
          <w:color w:val="000000" w:themeColor="text1"/>
          <w:highlight w:val="none"/>
        </w:rPr>
        <w:t>本项目临时占地包括</w:t>
      </w:r>
      <w:r>
        <w:rPr>
          <w:rFonts w:hint="eastAsia"/>
          <w:color w:val="000000" w:themeColor="text1"/>
          <w:highlight w:val="none"/>
          <w:lang w:val="en-US" w:eastAsia="zh-CN"/>
        </w:rPr>
        <w:t>综合站场、施工便道、表土临时堆土场及弃渣场等，临时占地4.37hm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highlight w:val="none"/>
        </w:rPr>
        <w:t>。</w:t>
      </w:r>
    </w:p>
    <w:p w14:paraId="6F9E3250">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lang w:val="en-US" w:eastAsia="zh-CN"/>
        </w:rPr>
        <w:t>对于工程建设占用而减少的农田，应做好土地重新调整及补偿工作；对于临时占地，根据项目周边环境特点，经硬化破除并平整后恢复现有土地用途。</w:t>
      </w:r>
    </w:p>
    <w:p w14:paraId="09A374F7">
      <w:pPr>
        <w:pageBreakBefore w:val="0"/>
        <w:wordWrap/>
        <w:topLinePunct w:val="0"/>
        <w:bidi w:val="0"/>
        <w:spacing w:line="360" w:lineRule="auto"/>
        <w:rPr>
          <w:color w:val="000000" w:themeColor="text1"/>
          <w:highlight w:val="none"/>
        </w:rPr>
      </w:pPr>
      <w:r>
        <w:rPr>
          <w:color w:val="000000" w:themeColor="text1"/>
          <w:highlight w:val="none"/>
        </w:rPr>
        <w:t>（2）工程弃渣</w:t>
      </w:r>
    </w:p>
    <w:p w14:paraId="73856C14">
      <w:pPr>
        <w:pageBreakBefore w:val="0"/>
        <w:wordWrap/>
        <w:topLinePunct w:val="0"/>
        <w:bidi w:val="0"/>
        <w:spacing w:line="360" w:lineRule="auto"/>
        <w:rPr>
          <w:color w:val="000000" w:themeColor="text1"/>
          <w:highlight w:val="none"/>
        </w:rPr>
      </w:pPr>
      <w:r>
        <w:rPr>
          <w:rFonts w:hint="eastAsia"/>
          <w:color w:val="000000" w:themeColor="text1"/>
          <w:sz w:val="24"/>
          <w:szCs w:val="24"/>
          <w:highlight w:val="none"/>
          <w:lang w:val="en-US" w:eastAsia="zh-CN"/>
        </w:rPr>
        <w:t>本项目表土余方3.31万m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全部运至志成村弃渣场，用于对弃渣场内废弃坑塘进行填筑、平整，弃渣场协议见附件9。</w:t>
      </w:r>
      <w:r>
        <w:rPr>
          <w:color w:val="000000" w:themeColor="text1"/>
          <w:sz w:val="24"/>
          <w:szCs w:val="24"/>
          <w:highlight w:val="none"/>
        </w:rPr>
        <w:t>工程</w:t>
      </w:r>
      <w:r>
        <w:rPr>
          <w:rFonts w:hint="eastAsia"/>
          <w:color w:val="000000" w:themeColor="text1"/>
          <w:sz w:val="24"/>
          <w:szCs w:val="24"/>
          <w:highlight w:val="none"/>
        </w:rPr>
        <w:t>土石方</w:t>
      </w:r>
      <w:r>
        <w:rPr>
          <w:color w:val="000000" w:themeColor="text1"/>
          <w:sz w:val="24"/>
          <w:szCs w:val="24"/>
          <w:highlight w:val="none"/>
        </w:rPr>
        <w:t>临时堆置过程主要影响是水土流失，并影响周围景观。工程结束后，在采</w:t>
      </w:r>
      <w:r>
        <w:rPr>
          <w:color w:val="000000" w:themeColor="text1"/>
          <w:highlight w:val="none"/>
        </w:rPr>
        <w:t>取水土保持措施恢复植被后，不会对周围环境产生较大不利影响。此外，桥梁基础施工将产生一定量泥浆，如处理不当，将对跨越水体产生不利影响。</w:t>
      </w:r>
    </w:p>
    <w:p w14:paraId="368DF61F">
      <w:pPr>
        <w:pageBreakBefore w:val="0"/>
        <w:wordWrap/>
        <w:topLinePunct w:val="0"/>
        <w:bidi w:val="0"/>
        <w:spacing w:line="360" w:lineRule="auto"/>
        <w:rPr>
          <w:color w:val="000000" w:themeColor="text1"/>
          <w:highlight w:val="none"/>
        </w:rPr>
      </w:pPr>
      <w:r>
        <w:rPr>
          <w:color w:val="000000" w:themeColor="text1"/>
          <w:highlight w:val="none"/>
        </w:rPr>
        <w:t>（3）水土流失</w:t>
      </w:r>
    </w:p>
    <w:p w14:paraId="18A07750">
      <w:pPr>
        <w:pageBreakBefore w:val="0"/>
        <w:wordWrap/>
        <w:topLinePunct w:val="0"/>
        <w:bidi w:val="0"/>
        <w:spacing w:line="360" w:lineRule="auto"/>
        <w:rPr>
          <w:color w:val="000000" w:themeColor="text1"/>
          <w:highlight w:val="none"/>
        </w:rPr>
      </w:pPr>
      <w:r>
        <w:rPr>
          <w:color w:val="000000" w:themeColor="text1"/>
          <w:highlight w:val="none"/>
        </w:rPr>
        <w:t>本项目建设过程中，路基开挖和临时</w:t>
      </w:r>
      <w:r>
        <w:rPr>
          <w:rFonts w:hint="eastAsia"/>
          <w:color w:val="000000" w:themeColor="text1"/>
          <w:highlight w:val="none"/>
          <w:lang w:val="en-US" w:eastAsia="zh-CN"/>
        </w:rPr>
        <w:t>堆土</w:t>
      </w:r>
      <w:r>
        <w:rPr>
          <w:color w:val="000000" w:themeColor="text1"/>
          <w:highlight w:val="none"/>
        </w:rPr>
        <w:t>在风力和降水条件下，将加剧水土流失发生和发展。</w:t>
      </w:r>
    </w:p>
    <w:p w14:paraId="0B59CBC8">
      <w:pPr>
        <w:pageBreakBefore w:val="0"/>
        <w:wordWrap/>
        <w:topLinePunct w:val="0"/>
        <w:bidi w:val="0"/>
        <w:spacing w:line="360" w:lineRule="auto"/>
        <w:rPr>
          <w:color w:val="000000" w:themeColor="text1"/>
          <w:highlight w:val="none"/>
        </w:rPr>
      </w:pPr>
      <w:r>
        <w:rPr>
          <w:color w:val="000000" w:themeColor="text1"/>
          <w:highlight w:val="none"/>
        </w:rPr>
        <w:t>（4）对植被影响</w:t>
      </w:r>
    </w:p>
    <w:p w14:paraId="39B6D5DA">
      <w:pPr>
        <w:pageBreakBefore w:val="0"/>
        <w:wordWrap/>
        <w:topLinePunct w:val="0"/>
        <w:bidi w:val="0"/>
        <w:spacing w:line="360" w:lineRule="auto"/>
        <w:rPr>
          <w:color w:val="000000" w:themeColor="text1"/>
          <w:highlight w:val="none"/>
        </w:rPr>
      </w:pPr>
      <w:r>
        <w:rPr>
          <w:rFonts w:hint="eastAsia"/>
          <w:color w:val="000000" w:themeColor="text1"/>
          <w:highlight w:val="none"/>
        </w:rPr>
        <w:t>本项目永久占地和临时占地均会造成对占地范围内现有植被的破坏，项目位于农耕区，占地范围内植被主要为农田作物、人工林木等。项目路基施工等，将会破坏占地范围内的植被。</w:t>
      </w:r>
    </w:p>
    <w:p w14:paraId="1E390755">
      <w:pPr>
        <w:pageBreakBefore w:val="0"/>
        <w:wordWrap/>
        <w:topLinePunct w:val="0"/>
        <w:bidi w:val="0"/>
        <w:spacing w:line="360" w:lineRule="auto"/>
        <w:rPr>
          <w:color w:val="000000" w:themeColor="text1"/>
          <w:kern w:val="0"/>
          <w:highlight w:val="none"/>
        </w:rPr>
      </w:pPr>
      <w:r>
        <w:rPr>
          <w:color w:val="000000" w:themeColor="text1"/>
          <w:kern w:val="0"/>
          <w:highlight w:val="none"/>
        </w:rPr>
        <w:t>（5）对动物影响</w:t>
      </w:r>
    </w:p>
    <w:p w14:paraId="26A1B83C">
      <w:pPr>
        <w:pageBreakBefore w:val="0"/>
        <w:wordWrap/>
        <w:topLinePunct w:val="0"/>
        <w:bidi w:val="0"/>
        <w:spacing w:line="360" w:lineRule="auto"/>
        <w:rPr>
          <w:color w:val="000000" w:themeColor="text1"/>
          <w:kern w:val="0"/>
          <w:highlight w:val="none"/>
        </w:rPr>
      </w:pPr>
      <w:r>
        <w:rPr>
          <w:rFonts w:hint="eastAsia"/>
          <w:color w:val="000000" w:themeColor="text1"/>
          <w:kern w:val="0"/>
          <w:highlight w:val="none"/>
        </w:rPr>
        <w:t>项目施工过程对野生动物的影响主要为对其栖息环境的破坏、施工噪声和人为活动增加等，主要影响项目沿线及临时场站周边的小型哺乳类、两栖类、爬行类和鸟类等当地常见种野生动物。</w:t>
      </w:r>
    </w:p>
    <w:p w14:paraId="178EDE6B">
      <w:pPr>
        <w:pageBreakBefore w:val="0"/>
        <w:wordWrap/>
        <w:topLinePunct w:val="0"/>
        <w:bidi w:val="0"/>
        <w:spacing w:line="360" w:lineRule="auto"/>
        <w:rPr>
          <w:color w:val="000000" w:themeColor="text1"/>
          <w:kern w:val="0"/>
          <w:highlight w:val="none"/>
        </w:rPr>
      </w:pPr>
      <w:r>
        <w:rPr>
          <w:color w:val="000000" w:themeColor="text1"/>
          <w:kern w:val="0"/>
          <w:highlight w:val="none"/>
        </w:rPr>
        <w:t>（6）对水生生态的影响</w:t>
      </w:r>
    </w:p>
    <w:p w14:paraId="2A5C1220">
      <w:pPr>
        <w:pageBreakBefore w:val="0"/>
        <w:wordWrap/>
        <w:topLinePunct w:val="0"/>
        <w:bidi w:val="0"/>
        <w:spacing w:line="360" w:lineRule="auto"/>
        <w:rPr>
          <w:color w:val="000000" w:themeColor="text1"/>
          <w:highlight w:val="none"/>
        </w:rPr>
      </w:pPr>
      <w:r>
        <w:rPr>
          <w:color w:val="000000" w:themeColor="text1"/>
          <w:kern w:val="0"/>
          <w:highlight w:val="none"/>
        </w:rPr>
        <w:t>本项目</w:t>
      </w:r>
      <w:r>
        <w:rPr>
          <w:rFonts w:hint="eastAsia"/>
          <w:color w:val="000000" w:themeColor="text1"/>
          <w:kern w:val="0"/>
          <w:highlight w:val="none"/>
          <w:lang w:val="en-US" w:eastAsia="zh-CN"/>
        </w:rPr>
        <w:t>涉水</w:t>
      </w:r>
      <w:r>
        <w:rPr>
          <w:color w:val="000000" w:themeColor="text1"/>
          <w:kern w:val="0"/>
          <w:highlight w:val="none"/>
        </w:rPr>
        <w:t>桥梁基础施工会引起局部水域浑浊，桥墩占用底栖动物栖息地，改变施工区域水生生物栖息环境，此阶段桥墩附近水体的水生生物会迁移至远，涉水桥梁施工前设置围堰，对水生生态影响较小</w:t>
      </w:r>
      <w:r>
        <w:rPr>
          <w:color w:val="000000" w:themeColor="text1"/>
          <w:highlight w:val="none"/>
        </w:rPr>
        <w:t>。根据调查，本项目</w:t>
      </w:r>
      <w:r>
        <w:rPr>
          <w:rFonts w:hint="eastAsia"/>
          <w:color w:val="000000" w:themeColor="text1"/>
          <w:highlight w:val="none"/>
        </w:rPr>
        <w:t>调查</w:t>
      </w:r>
      <w:r>
        <w:rPr>
          <w:color w:val="000000" w:themeColor="text1"/>
          <w:highlight w:val="none"/>
        </w:rPr>
        <w:t>范围内</w:t>
      </w:r>
      <w:r>
        <w:rPr>
          <w:rFonts w:hint="eastAsia"/>
          <w:color w:val="000000" w:themeColor="text1"/>
          <w:highlight w:val="none"/>
        </w:rPr>
        <w:t>水体</w:t>
      </w:r>
      <w:r>
        <w:rPr>
          <w:color w:val="000000" w:themeColor="text1"/>
          <w:highlight w:val="none"/>
        </w:rPr>
        <w:t>无</w:t>
      </w:r>
      <w:r>
        <w:rPr>
          <w:rFonts w:hint="eastAsia"/>
          <w:color w:val="000000" w:themeColor="text1"/>
          <w:kern w:val="0"/>
          <w:highlight w:val="none"/>
        </w:rPr>
        <w:t>重要水生生物的自然产卵场及索饵场、越冬场和洄游通道、天然渔场分布。</w:t>
      </w:r>
    </w:p>
    <w:p w14:paraId="7A952A57">
      <w:pPr>
        <w:pageBreakBefore w:val="0"/>
        <w:wordWrap/>
        <w:topLinePunct w:val="0"/>
        <w:bidi w:val="0"/>
        <w:spacing w:line="360" w:lineRule="auto"/>
        <w:rPr>
          <w:color w:val="000000" w:themeColor="text1"/>
          <w:highlight w:val="none"/>
        </w:rPr>
      </w:pPr>
      <w:r>
        <w:rPr>
          <w:color w:val="000000" w:themeColor="text1"/>
          <w:highlight w:val="none"/>
        </w:rPr>
        <w:t>（7）景观生态影响</w:t>
      </w:r>
    </w:p>
    <w:p w14:paraId="50BC0EAD">
      <w:pPr>
        <w:pageBreakBefore w:val="0"/>
        <w:wordWrap/>
        <w:topLinePunct w:val="0"/>
        <w:bidi w:val="0"/>
        <w:spacing w:line="360" w:lineRule="auto"/>
        <w:rPr>
          <w:color w:val="000000" w:themeColor="text1"/>
          <w:highlight w:val="none"/>
        </w:rPr>
      </w:pPr>
      <w:r>
        <w:rPr>
          <w:color w:val="000000" w:themeColor="text1"/>
          <w:highlight w:val="none"/>
        </w:rPr>
        <w:t>本项目位于平原区，线路两侧以</w:t>
      </w:r>
      <w:r>
        <w:rPr>
          <w:rFonts w:hint="eastAsia"/>
          <w:color w:val="000000" w:themeColor="text1"/>
          <w:highlight w:val="none"/>
        </w:rPr>
        <w:t>农田</w:t>
      </w:r>
      <w:r>
        <w:rPr>
          <w:color w:val="000000" w:themeColor="text1"/>
          <w:highlight w:val="none"/>
        </w:rPr>
        <w:t>生态景观为主。公路路基开挖，将破坏征地范围内的地表植被。</w:t>
      </w:r>
    </w:p>
    <w:p w14:paraId="022043E1">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3.3.1.2</w:t>
      </w:r>
      <w:r>
        <w:rPr>
          <w:color w:val="000000" w:themeColor="text1"/>
          <w:highlight w:val="none"/>
        </w:rPr>
        <w:t>噪声</w:t>
      </w:r>
    </w:p>
    <w:p w14:paraId="7FB9E9BE">
      <w:pPr>
        <w:pageBreakBefore w:val="0"/>
        <w:wordWrap/>
        <w:topLinePunct w:val="0"/>
        <w:bidi w:val="0"/>
        <w:spacing w:line="360" w:lineRule="auto"/>
        <w:rPr>
          <w:color w:val="000000" w:themeColor="text1"/>
          <w:highlight w:val="none"/>
        </w:rPr>
      </w:pPr>
      <w:r>
        <w:rPr>
          <w:color w:val="000000" w:themeColor="text1"/>
          <w:highlight w:val="none"/>
        </w:rPr>
        <w:t>本项目施工期所用机械设备种类繁多，工程施工使用机械设备主要有压路机、平地机、装载机和混凝土搅拌机等，</w:t>
      </w:r>
      <w:r>
        <w:rPr>
          <w:rFonts w:hint="eastAsia"/>
          <w:color w:val="000000" w:themeColor="text1"/>
          <w:highlight w:val="none"/>
          <w:lang w:val="en-US" w:eastAsia="zh-CN"/>
        </w:rPr>
        <w:t>根据</w:t>
      </w:r>
      <w:r>
        <w:rPr>
          <w:rFonts w:hint="eastAsia" w:ascii="Times New Roman" w:hAnsi="Times New Roman" w:eastAsia="宋体" w:cs="Times New Roman"/>
          <w:snapToGrid w:val="0"/>
          <w:color w:val="000000" w:themeColor="text1"/>
          <w:kern w:val="2"/>
          <w:sz w:val="24"/>
          <w:szCs w:val="24"/>
          <w:highlight w:val="none"/>
          <w:lang w:val="en-US" w:eastAsia="zh-CN" w:bidi="ar-SA"/>
        </w:rPr>
        <w:t>《环境影响评价技术导则 公路建设项目》（HJ1358-2024）</w:t>
      </w:r>
      <w:r>
        <w:rPr>
          <w:rFonts w:hint="eastAsia" w:cs="Times New Roman"/>
          <w:snapToGrid w:val="0"/>
          <w:color w:val="000000" w:themeColor="text1"/>
          <w:kern w:val="2"/>
          <w:sz w:val="24"/>
          <w:szCs w:val="24"/>
          <w:highlight w:val="none"/>
          <w:lang w:val="en-US" w:eastAsia="zh-CN" w:bidi="ar-SA"/>
        </w:rPr>
        <w:t>附录D，</w:t>
      </w:r>
      <w:r>
        <w:rPr>
          <w:rFonts w:hint="eastAsia"/>
          <w:color w:val="000000" w:themeColor="text1"/>
          <w:highlight w:val="none"/>
          <w:lang w:val="en-US" w:eastAsia="zh-CN"/>
        </w:rPr>
        <w:t>公路工程机械噪声源强</w:t>
      </w:r>
      <w:r>
        <w:rPr>
          <w:color w:val="000000" w:themeColor="text1"/>
          <w:highlight w:val="none"/>
        </w:rPr>
        <w:t>见表3.3-1。</w:t>
      </w:r>
    </w:p>
    <w:p w14:paraId="0B2D9982">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 xml:space="preserve">表3.3-1 </w:t>
      </w:r>
      <w:r>
        <w:rPr>
          <w:rFonts w:hint="eastAsia"/>
          <w:b/>
          <w:color w:val="000000" w:themeColor="text1"/>
          <w:highlight w:val="none"/>
          <w:lang w:val="en-US" w:eastAsia="zh-CN"/>
        </w:rPr>
        <w:t xml:space="preserve"> 工程机械</w:t>
      </w:r>
      <w:r>
        <w:rPr>
          <w:b/>
          <w:color w:val="000000" w:themeColor="text1"/>
          <w:highlight w:val="none"/>
        </w:rPr>
        <w:t>噪声源强表</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08"/>
        <w:gridCol w:w="2747"/>
        <w:gridCol w:w="2715"/>
        <w:gridCol w:w="2249"/>
      </w:tblGrid>
      <w:tr w14:paraId="12A0892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474" w:type="pct"/>
            <w:vAlign w:val="center"/>
          </w:tcPr>
          <w:p w14:paraId="44BF5A3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序号</w:t>
            </w:r>
          </w:p>
        </w:tc>
        <w:tc>
          <w:tcPr>
            <w:tcW w:w="1612" w:type="pct"/>
            <w:vAlign w:val="center"/>
          </w:tcPr>
          <w:p w14:paraId="2616131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机械类型</w:t>
            </w:r>
          </w:p>
        </w:tc>
        <w:tc>
          <w:tcPr>
            <w:tcW w:w="1593" w:type="pct"/>
            <w:vAlign w:val="center"/>
          </w:tcPr>
          <w:p w14:paraId="61E03579">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距离声源5m</w:t>
            </w:r>
            <w:r>
              <w:rPr>
                <w:color w:val="000000" w:themeColor="text1"/>
                <w:sz w:val="21"/>
                <w:szCs w:val="21"/>
                <w:highlight w:val="none"/>
              </w:rPr>
              <w:t>[dB</w:t>
            </w:r>
            <w:r>
              <w:rPr>
                <w:rFonts w:hint="eastAsia"/>
                <w:color w:val="000000" w:themeColor="text1"/>
                <w:sz w:val="21"/>
                <w:szCs w:val="21"/>
                <w:highlight w:val="none"/>
                <w:lang w:eastAsia="zh-CN"/>
              </w:rPr>
              <w:t>（</w:t>
            </w:r>
            <w:r>
              <w:rPr>
                <w:color w:val="000000" w:themeColor="text1"/>
                <w:sz w:val="21"/>
                <w:szCs w:val="21"/>
                <w:highlight w:val="none"/>
              </w:rPr>
              <w:t>A</w:t>
            </w:r>
            <w:r>
              <w:rPr>
                <w:rFonts w:hint="eastAsia"/>
                <w:color w:val="000000" w:themeColor="text1"/>
                <w:sz w:val="21"/>
                <w:szCs w:val="21"/>
                <w:highlight w:val="none"/>
                <w:lang w:eastAsia="zh-CN"/>
              </w:rPr>
              <w:t>）</w:t>
            </w:r>
            <w:r>
              <w:rPr>
                <w:color w:val="000000" w:themeColor="text1"/>
                <w:sz w:val="21"/>
                <w:szCs w:val="21"/>
                <w:highlight w:val="none"/>
              </w:rPr>
              <w:t>]</w:t>
            </w:r>
          </w:p>
        </w:tc>
        <w:tc>
          <w:tcPr>
            <w:tcW w:w="1319" w:type="pct"/>
            <w:vAlign w:val="center"/>
          </w:tcPr>
          <w:p w14:paraId="30E6DF4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距离声源10m</w:t>
            </w:r>
            <w:r>
              <w:rPr>
                <w:color w:val="000000" w:themeColor="text1"/>
                <w:sz w:val="21"/>
                <w:szCs w:val="21"/>
                <w:highlight w:val="none"/>
              </w:rPr>
              <w:t>[dB</w:t>
            </w:r>
            <w:r>
              <w:rPr>
                <w:rFonts w:hint="eastAsia"/>
                <w:color w:val="000000" w:themeColor="text1"/>
                <w:sz w:val="21"/>
                <w:szCs w:val="21"/>
                <w:highlight w:val="none"/>
                <w:lang w:eastAsia="zh-CN"/>
              </w:rPr>
              <w:t>（</w:t>
            </w:r>
            <w:r>
              <w:rPr>
                <w:color w:val="000000" w:themeColor="text1"/>
                <w:sz w:val="21"/>
                <w:szCs w:val="21"/>
                <w:highlight w:val="none"/>
              </w:rPr>
              <w:t>A</w:t>
            </w:r>
            <w:r>
              <w:rPr>
                <w:rFonts w:hint="eastAsia"/>
                <w:color w:val="000000" w:themeColor="text1"/>
                <w:sz w:val="21"/>
                <w:szCs w:val="21"/>
                <w:highlight w:val="none"/>
                <w:lang w:eastAsia="zh-CN"/>
              </w:rPr>
              <w:t>）</w:t>
            </w:r>
            <w:r>
              <w:rPr>
                <w:color w:val="000000" w:themeColor="text1"/>
                <w:sz w:val="21"/>
                <w:szCs w:val="21"/>
                <w:highlight w:val="none"/>
              </w:rPr>
              <w:t>]</w:t>
            </w:r>
          </w:p>
        </w:tc>
      </w:tr>
      <w:tr w14:paraId="7FAE829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58232FE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w:t>
            </w:r>
          </w:p>
        </w:tc>
        <w:tc>
          <w:tcPr>
            <w:tcW w:w="1612" w:type="pct"/>
            <w:vAlign w:val="center"/>
          </w:tcPr>
          <w:p w14:paraId="1D0E360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液压挖掘机</w:t>
            </w:r>
          </w:p>
        </w:tc>
        <w:tc>
          <w:tcPr>
            <w:tcW w:w="1593" w:type="pct"/>
            <w:vAlign w:val="center"/>
          </w:tcPr>
          <w:p w14:paraId="0858670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82~90</w:t>
            </w:r>
          </w:p>
        </w:tc>
        <w:tc>
          <w:tcPr>
            <w:tcW w:w="1319" w:type="pct"/>
            <w:shd w:val="clear" w:color="auto" w:fill="auto"/>
            <w:vAlign w:val="center"/>
          </w:tcPr>
          <w:p w14:paraId="47BE881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78~86</w:t>
            </w:r>
          </w:p>
        </w:tc>
      </w:tr>
      <w:tr w14:paraId="3D61908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29D068D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w:t>
            </w:r>
          </w:p>
        </w:tc>
        <w:tc>
          <w:tcPr>
            <w:tcW w:w="1612" w:type="pct"/>
            <w:vAlign w:val="center"/>
          </w:tcPr>
          <w:p w14:paraId="6830CEC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电动挖掘机</w:t>
            </w:r>
          </w:p>
        </w:tc>
        <w:tc>
          <w:tcPr>
            <w:tcW w:w="1593" w:type="pct"/>
            <w:vAlign w:val="center"/>
          </w:tcPr>
          <w:p w14:paraId="2B741DD1">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80~86</w:t>
            </w:r>
          </w:p>
        </w:tc>
        <w:tc>
          <w:tcPr>
            <w:tcW w:w="1319" w:type="pct"/>
            <w:shd w:val="clear" w:color="auto" w:fill="auto"/>
            <w:vAlign w:val="center"/>
          </w:tcPr>
          <w:p w14:paraId="45D1EFC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75~83</w:t>
            </w:r>
          </w:p>
        </w:tc>
      </w:tr>
      <w:tr w14:paraId="0B5DB9C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56A31AC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3</w:t>
            </w:r>
          </w:p>
        </w:tc>
        <w:tc>
          <w:tcPr>
            <w:tcW w:w="1612" w:type="pct"/>
            <w:vAlign w:val="center"/>
          </w:tcPr>
          <w:p w14:paraId="33C8F10E">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轮式装载机</w:t>
            </w:r>
          </w:p>
        </w:tc>
        <w:tc>
          <w:tcPr>
            <w:tcW w:w="1593" w:type="pct"/>
            <w:shd w:val="clear" w:color="auto" w:fill="auto"/>
            <w:vAlign w:val="center"/>
          </w:tcPr>
          <w:p w14:paraId="3863ED7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90~95</w:t>
            </w:r>
          </w:p>
        </w:tc>
        <w:tc>
          <w:tcPr>
            <w:tcW w:w="1319" w:type="pct"/>
            <w:shd w:val="clear" w:color="auto" w:fill="auto"/>
            <w:vAlign w:val="center"/>
          </w:tcPr>
          <w:p w14:paraId="56E17A5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85~91</w:t>
            </w:r>
          </w:p>
        </w:tc>
      </w:tr>
      <w:tr w14:paraId="4834DBC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455C6AB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4</w:t>
            </w:r>
          </w:p>
        </w:tc>
        <w:tc>
          <w:tcPr>
            <w:tcW w:w="1612" w:type="pct"/>
            <w:vAlign w:val="center"/>
          </w:tcPr>
          <w:p w14:paraId="10687B48">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推土机</w:t>
            </w:r>
          </w:p>
        </w:tc>
        <w:tc>
          <w:tcPr>
            <w:tcW w:w="1593" w:type="pct"/>
            <w:shd w:val="clear" w:color="auto" w:fill="auto"/>
            <w:vAlign w:val="center"/>
          </w:tcPr>
          <w:p w14:paraId="08D92A9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83~88</w:t>
            </w:r>
          </w:p>
        </w:tc>
        <w:tc>
          <w:tcPr>
            <w:tcW w:w="1319" w:type="pct"/>
            <w:shd w:val="clear" w:color="auto" w:fill="auto"/>
            <w:vAlign w:val="center"/>
          </w:tcPr>
          <w:p w14:paraId="4FF87A9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80~85</w:t>
            </w:r>
          </w:p>
        </w:tc>
      </w:tr>
      <w:tr w14:paraId="38AF2A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29C7D53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w:t>
            </w:r>
          </w:p>
        </w:tc>
        <w:tc>
          <w:tcPr>
            <w:tcW w:w="1612" w:type="pct"/>
            <w:vAlign w:val="center"/>
          </w:tcPr>
          <w:p w14:paraId="1E8FFA9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移动式发电机</w:t>
            </w:r>
          </w:p>
        </w:tc>
        <w:tc>
          <w:tcPr>
            <w:tcW w:w="1593" w:type="pct"/>
            <w:shd w:val="clear" w:color="auto" w:fill="auto"/>
            <w:vAlign w:val="center"/>
          </w:tcPr>
          <w:p w14:paraId="44EABCB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95~102</w:t>
            </w:r>
          </w:p>
        </w:tc>
        <w:tc>
          <w:tcPr>
            <w:tcW w:w="1319" w:type="pct"/>
            <w:shd w:val="clear" w:color="auto" w:fill="auto"/>
            <w:vAlign w:val="center"/>
          </w:tcPr>
          <w:p w14:paraId="330454D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90~98</w:t>
            </w:r>
          </w:p>
        </w:tc>
      </w:tr>
      <w:tr w14:paraId="4A0D49A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3F2596F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6</w:t>
            </w:r>
          </w:p>
        </w:tc>
        <w:tc>
          <w:tcPr>
            <w:tcW w:w="1612" w:type="pct"/>
            <w:vAlign w:val="center"/>
          </w:tcPr>
          <w:p w14:paraId="7D32D662">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各类压路机</w:t>
            </w:r>
          </w:p>
        </w:tc>
        <w:tc>
          <w:tcPr>
            <w:tcW w:w="1593" w:type="pct"/>
            <w:shd w:val="clear" w:color="auto" w:fill="auto"/>
            <w:vAlign w:val="center"/>
          </w:tcPr>
          <w:p w14:paraId="074693B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80~90</w:t>
            </w:r>
          </w:p>
        </w:tc>
        <w:tc>
          <w:tcPr>
            <w:tcW w:w="1319" w:type="pct"/>
            <w:shd w:val="clear" w:color="auto" w:fill="auto"/>
            <w:vAlign w:val="center"/>
          </w:tcPr>
          <w:p w14:paraId="45570EF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76~86</w:t>
            </w:r>
          </w:p>
        </w:tc>
      </w:tr>
      <w:tr w14:paraId="42A2A92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77AA1D1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7</w:t>
            </w:r>
          </w:p>
        </w:tc>
        <w:tc>
          <w:tcPr>
            <w:tcW w:w="1612" w:type="pct"/>
            <w:vAlign w:val="center"/>
          </w:tcPr>
          <w:p w14:paraId="4E11794C">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木工电锯</w:t>
            </w:r>
          </w:p>
        </w:tc>
        <w:tc>
          <w:tcPr>
            <w:tcW w:w="1593" w:type="pct"/>
            <w:shd w:val="clear" w:color="auto" w:fill="auto"/>
            <w:vAlign w:val="center"/>
          </w:tcPr>
          <w:p w14:paraId="0556443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93~99</w:t>
            </w:r>
          </w:p>
        </w:tc>
        <w:tc>
          <w:tcPr>
            <w:tcW w:w="1319" w:type="pct"/>
            <w:shd w:val="clear" w:color="auto" w:fill="auto"/>
            <w:vAlign w:val="center"/>
          </w:tcPr>
          <w:p w14:paraId="012C6E1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90~95</w:t>
            </w:r>
          </w:p>
        </w:tc>
      </w:tr>
      <w:tr w14:paraId="580C8A3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07224A5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8</w:t>
            </w:r>
          </w:p>
        </w:tc>
        <w:tc>
          <w:tcPr>
            <w:tcW w:w="1612" w:type="pct"/>
            <w:vAlign w:val="center"/>
          </w:tcPr>
          <w:p w14:paraId="3DE4AEFD">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电锤</w:t>
            </w:r>
          </w:p>
        </w:tc>
        <w:tc>
          <w:tcPr>
            <w:tcW w:w="1593" w:type="pct"/>
            <w:shd w:val="clear" w:color="auto" w:fill="auto"/>
            <w:vAlign w:val="center"/>
          </w:tcPr>
          <w:p w14:paraId="7C7A787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100~105</w:t>
            </w:r>
          </w:p>
        </w:tc>
        <w:tc>
          <w:tcPr>
            <w:tcW w:w="1319" w:type="pct"/>
            <w:shd w:val="clear" w:color="auto" w:fill="auto"/>
            <w:vAlign w:val="center"/>
          </w:tcPr>
          <w:p w14:paraId="0D5C381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95~99</w:t>
            </w:r>
          </w:p>
        </w:tc>
      </w:tr>
      <w:tr w14:paraId="5935E46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2E0CAAD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9</w:t>
            </w:r>
          </w:p>
        </w:tc>
        <w:tc>
          <w:tcPr>
            <w:tcW w:w="1612" w:type="pct"/>
            <w:vAlign w:val="center"/>
          </w:tcPr>
          <w:p w14:paraId="73BBE65A">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振动夯锤</w:t>
            </w:r>
          </w:p>
        </w:tc>
        <w:tc>
          <w:tcPr>
            <w:tcW w:w="1593" w:type="pct"/>
            <w:shd w:val="clear" w:color="auto" w:fill="auto"/>
            <w:vAlign w:val="center"/>
          </w:tcPr>
          <w:p w14:paraId="3CB5A93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92~100</w:t>
            </w:r>
          </w:p>
        </w:tc>
        <w:tc>
          <w:tcPr>
            <w:tcW w:w="1319" w:type="pct"/>
            <w:shd w:val="clear" w:color="auto" w:fill="auto"/>
            <w:vAlign w:val="center"/>
          </w:tcPr>
          <w:p w14:paraId="3D6A5BB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86~94</w:t>
            </w:r>
          </w:p>
        </w:tc>
      </w:tr>
      <w:tr w14:paraId="4FEAB92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558A6B3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w:t>
            </w:r>
          </w:p>
        </w:tc>
        <w:tc>
          <w:tcPr>
            <w:tcW w:w="1612" w:type="pct"/>
            <w:vAlign w:val="center"/>
          </w:tcPr>
          <w:p w14:paraId="69B53E39">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打桩机</w:t>
            </w:r>
          </w:p>
        </w:tc>
        <w:tc>
          <w:tcPr>
            <w:tcW w:w="1593" w:type="pct"/>
            <w:shd w:val="clear" w:color="auto" w:fill="auto"/>
            <w:vAlign w:val="center"/>
          </w:tcPr>
          <w:p w14:paraId="65BEDF7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100~110</w:t>
            </w:r>
          </w:p>
        </w:tc>
        <w:tc>
          <w:tcPr>
            <w:tcW w:w="1319" w:type="pct"/>
            <w:shd w:val="clear" w:color="auto" w:fill="auto"/>
            <w:vAlign w:val="center"/>
          </w:tcPr>
          <w:p w14:paraId="49F6379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95~105</w:t>
            </w:r>
          </w:p>
        </w:tc>
      </w:tr>
      <w:tr w14:paraId="3C83B84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79E756C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11</w:t>
            </w:r>
          </w:p>
        </w:tc>
        <w:tc>
          <w:tcPr>
            <w:tcW w:w="1612" w:type="pct"/>
            <w:vAlign w:val="center"/>
          </w:tcPr>
          <w:p w14:paraId="4DC81DD2">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静力压桩基</w:t>
            </w:r>
          </w:p>
        </w:tc>
        <w:tc>
          <w:tcPr>
            <w:tcW w:w="1593" w:type="pct"/>
            <w:shd w:val="clear" w:color="auto" w:fill="auto"/>
            <w:vAlign w:val="center"/>
          </w:tcPr>
          <w:p w14:paraId="15FCC90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70~75</w:t>
            </w:r>
          </w:p>
        </w:tc>
        <w:tc>
          <w:tcPr>
            <w:tcW w:w="1319" w:type="pct"/>
            <w:shd w:val="clear" w:color="auto" w:fill="auto"/>
            <w:vAlign w:val="center"/>
          </w:tcPr>
          <w:p w14:paraId="327E557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68~73</w:t>
            </w:r>
          </w:p>
        </w:tc>
      </w:tr>
      <w:tr w14:paraId="5ECD36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3967812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12</w:t>
            </w:r>
          </w:p>
        </w:tc>
        <w:tc>
          <w:tcPr>
            <w:tcW w:w="1612" w:type="pct"/>
            <w:vAlign w:val="center"/>
          </w:tcPr>
          <w:p w14:paraId="7AF6FE94">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风镐</w:t>
            </w:r>
          </w:p>
        </w:tc>
        <w:tc>
          <w:tcPr>
            <w:tcW w:w="1593" w:type="pct"/>
            <w:shd w:val="clear" w:color="auto" w:fill="auto"/>
            <w:vAlign w:val="center"/>
          </w:tcPr>
          <w:p w14:paraId="092E709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88~92</w:t>
            </w:r>
          </w:p>
        </w:tc>
        <w:tc>
          <w:tcPr>
            <w:tcW w:w="1319" w:type="pct"/>
            <w:shd w:val="clear" w:color="auto" w:fill="auto"/>
            <w:vAlign w:val="center"/>
          </w:tcPr>
          <w:p w14:paraId="0648F48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83~87</w:t>
            </w:r>
          </w:p>
        </w:tc>
      </w:tr>
      <w:tr w14:paraId="658143F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4AD0B1CB">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13</w:t>
            </w:r>
          </w:p>
        </w:tc>
        <w:tc>
          <w:tcPr>
            <w:tcW w:w="1612" w:type="pct"/>
            <w:vAlign w:val="center"/>
          </w:tcPr>
          <w:p w14:paraId="21558EC8">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混凝土输送泵</w:t>
            </w:r>
          </w:p>
        </w:tc>
        <w:tc>
          <w:tcPr>
            <w:tcW w:w="1593" w:type="pct"/>
            <w:shd w:val="clear" w:color="auto" w:fill="auto"/>
            <w:vAlign w:val="center"/>
          </w:tcPr>
          <w:p w14:paraId="39234C7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88~95</w:t>
            </w:r>
          </w:p>
        </w:tc>
        <w:tc>
          <w:tcPr>
            <w:tcW w:w="1319" w:type="pct"/>
            <w:shd w:val="clear" w:color="auto" w:fill="auto"/>
            <w:vAlign w:val="center"/>
          </w:tcPr>
          <w:p w14:paraId="325D9FF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84~90</w:t>
            </w:r>
          </w:p>
        </w:tc>
      </w:tr>
      <w:tr w14:paraId="49F67EB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0774DFB2">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14</w:t>
            </w:r>
          </w:p>
        </w:tc>
        <w:tc>
          <w:tcPr>
            <w:tcW w:w="1612" w:type="pct"/>
            <w:vAlign w:val="center"/>
          </w:tcPr>
          <w:p w14:paraId="3322671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商砼搅拌车</w:t>
            </w:r>
          </w:p>
        </w:tc>
        <w:tc>
          <w:tcPr>
            <w:tcW w:w="1593" w:type="pct"/>
            <w:shd w:val="clear" w:color="auto" w:fill="auto"/>
            <w:vAlign w:val="center"/>
          </w:tcPr>
          <w:p w14:paraId="62BA358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85~90</w:t>
            </w:r>
          </w:p>
        </w:tc>
        <w:tc>
          <w:tcPr>
            <w:tcW w:w="1319" w:type="pct"/>
            <w:shd w:val="clear" w:color="auto" w:fill="auto"/>
            <w:vAlign w:val="center"/>
          </w:tcPr>
          <w:p w14:paraId="263F768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82~84</w:t>
            </w:r>
          </w:p>
        </w:tc>
      </w:tr>
      <w:tr w14:paraId="68AF640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41B71925">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15</w:t>
            </w:r>
          </w:p>
        </w:tc>
        <w:tc>
          <w:tcPr>
            <w:tcW w:w="1612" w:type="pct"/>
            <w:vAlign w:val="center"/>
          </w:tcPr>
          <w:p w14:paraId="77939FE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混凝土振捣器</w:t>
            </w:r>
          </w:p>
        </w:tc>
        <w:tc>
          <w:tcPr>
            <w:tcW w:w="1593" w:type="pct"/>
            <w:shd w:val="clear" w:color="auto" w:fill="auto"/>
            <w:vAlign w:val="center"/>
          </w:tcPr>
          <w:p w14:paraId="1FBC44F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80~88</w:t>
            </w:r>
          </w:p>
        </w:tc>
        <w:tc>
          <w:tcPr>
            <w:tcW w:w="1319" w:type="pct"/>
            <w:shd w:val="clear" w:color="auto" w:fill="auto"/>
            <w:vAlign w:val="center"/>
          </w:tcPr>
          <w:p w14:paraId="676E3FD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75~84</w:t>
            </w:r>
          </w:p>
        </w:tc>
      </w:tr>
      <w:tr w14:paraId="77720B5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5D78549B">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16</w:t>
            </w:r>
          </w:p>
        </w:tc>
        <w:tc>
          <w:tcPr>
            <w:tcW w:w="1612" w:type="pct"/>
            <w:vAlign w:val="center"/>
          </w:tcPr>
          <w:p w14:paraId="34A8959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云石机、角磨机</w:t>
            </w:r>
          </w:p>
        </w:tc>
        <w:tc>
          <w:tcPr>
            <w:tcW w:w="1593" w:type="pct"/>
            <w:shd w:val="clear" w:color="auto" w:fill="auto"/>
            <w:vAlign w:val="center"/>
          </w:tcPr>
          <w:p w14:paraId="188568D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90~96</w:t>
            </w:r>
          </w:p>
        </w:tc>
        <w:tc>
          <w:tcPr>
            <w:tcW w:w="1319" w:type="pct"/>
            <w:shd w:val="clear" w:color="auto" w:fill="auto"/>
            <w:vAlign w:val="center"/>
          </w:tcPr>
          <w:p w14:paraId="3E7BCE9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84~90</w:t>
            </w:r>
          </w:p>
        </w:tc>
      </w:tr>
      <w:tr w14:paraId="533F1AC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74" w:type="pct"/>
            <w:vAlign w:val="center"/>
          </w:tcPr>
          <w:p w14:paraId="53982E53">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17</w:t>
            </w:r>
          </w:p>
        </w:tc>
        <w:tc>
          <w:tcPr>
            <w:tcW w:w="1612" w:type="pct"/>
            <w:vAlign w:val="center"/>
          </w:tcPr>
          <w:p w14:paraId="6907A40A">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空压机</w:t>
            </w:r>
          </w:p>
        </w:tc>
        <w:tc>
          <w:tcPr>
            <w:tcW w:w="1593" w:type="pct"/>
            <w:shd w:val="clear" w:color="auto" w:fill="auto"/>
            <w:vAlign w:val="center"/>
          </w:tcPr>
          <w:p w14:paraId="09CF5D4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88~92</w:t>
            </w:r>
          </w:p>
        </w:tc>
        <w:tc>
          <w:tcPr>
            <w:tcW w:w="1319" w:type="pct"/>
            <w:shd w:val="clear" w:color="auto" w:fill="auto"/>
            <w:vAlign w:val="center"/>
          </w:tcPr>
          <w:p w14:paraId="39C42C8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83~88</w:t>
            </w:r>
          </w:p>
        </w:tc>
      </w:tr>
    </w:tbl>
    <w:p w14:paraId="668B09E2">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3.3.1.3</w:t>
      </w:r>
      <w:r>
        <w:rPr>
          <w:color w:val="000000" w:themeColor="text1"/>
          <w:highlight w:val="none"/>
        </w:rPr>
        <w:t>废气</w:t>
      </w:r>
    </w:p>
    <w:p w14:paraId="0C736909">
      <w:pPr>
        <w:pageBreakBefore w:val="0"/>
        <w:wordWrap/>
        <w:topLinePunct w:val="0"/>
        <w:bidi w:val="0"/>
        <w:spacing w:line="360" w:lineRule="auto"/>
        <w:rPr>
          <w:color w:val="000000" w:themeColor="text1"/>
          <w:highlight w:val="none"/>
        </w:rPr>
      </w:pPr>
      <w:r>
        <w:rPr>
          <w:color w:val="000000" w:themeColor="text1"/>
          <w:highlight w:val="none"/>
        </w:rPr>
        <w:t>（1）施工扬尘</w:t>
      </w:r>
    </w:p>
    <w:p w14:paraId="5C584C0E">
      <w:pPr>
        <w:pageBreakBefore w:val="0"/>
        <w:wordWrap/>
        <w:topLinePunct w:val="0"/>
        <w:bidi w:val="0"/>
        <w:spacing w:line="360" w:lineRule="auto"/>
        <w:rPr>
          <w:color w:val="000000" w:themeColor="text1"/>
          <w:highlight w:val="none"/>
        </w:rPr>
      </w:pPr>
      <w:r>
        <w:rPr>
          <w:color w:val="000000" w:themeColor="text1"/>
          <w:highlight w:val="none"/>
        </w:rPr>
        <w:t>本项目施工期路基开挖、土方填筑、土地平整、拆除旧路等过程会产生一定粉尘，砂土等散体材料储料场在风力作用下会产生一定扬尘，砂土等散体物质运输引起粉尘污染，对环境影响较严重，影响范围较大。</w:t>
      </w:r>
    </w:p>
    <w:p w14:paraId="1ADCF66B">
      <w:pPr>
        <w:pageBreakBefore w:val="0"/>
        <w:wordWrap/>
        <w:topLinePunct w:val="0"/>
        <w:bidi w:val="0"/>
        <w:spacing w:line="360" w:lineRule="auto"/>
        <w:rPr>
          <w:color w:val="000000" w:themeColor="text1"/>
          <w:highlight w:val="none"/>
        </w:rPr>
      </w:pPr>
      <w:r>
        <w:rPr>
          <w:color w:val="000000" w:themeColor="text1"/>
          <w:highlight w:val="none"/>
        </w:rPr>
        <w:t>本项目施工扬尘污染源强采用类比进行，根据交通部公路所对京津塘高速公路施工车辆扬尘监测（见表</w:t>
      </w:r>
      <w:r>
        <w:rPr>
          <w:rFonts w:hint="eastAsia"/>
          <w:color w:val="000000" w:themeColor="text1"/>
          <w:highlight w:val="none"/>
        </w:rPr>
        <w:t>3</w:t>
      </w:r>
      <w:r>
        <w:rPr>
          <w:color w:val="000000" w:themeColor="text1"/>
          <w:highlight w:val="none"/>
        </w:rPr>
        <w:t>.3-2），在风速2m/s情况下、道路下风向50m处TSP浓度大于10mg/m</w:t>
      </w:r>
      <w:r>
        <w:rPr>
          <w:color w:val="000000" w:themeColor="text1"/>
          <w:highlight w:val="none"/>
          <w:vertAlign w:val="superscript"/>
        </w:rPr>
        <w:t>3</w:t>
      </w:r>
      <w:r>
        <w:rPr>
          <w:color w:val="000000" w:themeColor="text1"/>
          <w:highlight w:val="none"/>
        </w:rPr>
        <w:t>，距离路边150m处TSP浓度大于5mg/m</w:t>
      </w:r>
      <w:r>
        <w:rPr>
          <w:color w:val="000000" w:themeColor="text1"/>
          <w:highlight w:val="none"/>
          <w:vertAlign w:val="superscript"/>
        </w:rPr>
        <w:t>3</w:t>
      </w:r>
      <w:r>
        <w:rPr>
          <w:color w:val="000000" w:themeColor="text1"/>
          <w:highlight w:val="none"/>
        </w:rPr>
        <w:t>。</w:t>
      </w:r>
    </w:p>
    <w:p w14:paraId="76502195">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表3.3-2  京津塘高速公路施工期车辆扬尘监测结果</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2"/>
        <w:gridCol w:w="2132"/>
        <w:gridCol w:w="2132"/>
        <w:gridCol w:w="2132"/>
      </w:tblGrid>
      <w:tr w14:paraId="34985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32" w:type="dxa"/>
            <w:tcBorders>
              <w:top w:val="single" w:color="auto" w:sz="12" w:space="0"/>
              <w:left w:val="nil"/>
              <w:bottom w:val="single" w:color="auto" w:sz="4" w:space="0"/>
              <w:right w:val="single" w:color="auto" w:sz="4" w:space="0"/>
            </w:tcBorders>
            <w:vAlign w:val="center"/>
          </w:tcPr>
          <w:p w14:paraId="5BED919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监测地点</w:t>
            </w:r>
          </w:p>
        </w:tc>
        <w:tc>
          <w:tcPr>
            <w:tcW w:w="2132" w:type="dxa"/>
            <w:tcBorders>
              <w:top w:val="single" w:color="auto" w:sz="12" w:space="0"/>
              <w:left w:val="single" w:color="auto" w:sz="4" w:space="0"/>
              <w:bottom w:val="single" w:color="auto" w:sz="4" w:space="0"/>
              <w:right w:val="single" w:color="auto" w:sz="4" w:space="0"/>
            </w:tcBorders>
            <w:vAlign w:val="center"/>
          </w:tcPr>
          <w:p w14:paraId="1141F02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扬尘污染源</w:t>
            </w:r>
          </w:p>
        </w:tc>
        <w:tc>
          <w:tcPr>
            <w:tcW w:w="2132" w:type="dxa"/>
            <w:tcBorders>
              <w:top w:val="single" w:color="auto" w:sz="12" w:space="0"/>
              <w:left w:val="single" w:color="auto" w:sz="4" w:space="0"/>
              <w:bottom w:val="single" w:color="auto" w:sz="4" w:space="0"/>
              <w:right w:val="single" w:color="auto" w:sz="4" w:space="0"/>
            </w:tcBorders>
            <w:vAlign w:val="center"/>
          </w:tcPr>
          <w:p w14:paraId="4F51029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采样点距离（m）</w:t>
            </w:r>
          </w:p>
        </w:tc>
        <w:tc>
          <w:tcPr>
            <w:tcW w:w="2132" w:type="dxa"/>
            <w:tcBorders>
              <w:top w:val="single" w:color="auto" w:sz="12" w:space="0"/>
              <w:left w:val="single" w:color="auto" w:sz="4" w:space="0"/>
              <w:bottom w:val="single" w:color="auto" w:sz="4" w:space="0"/>
              <w:right w:val="nil"/>
            </w:tcBorders>
            <w:vAlign w:val="center"/>
          </w:tcPr>
          <w:p w14:paraId="0DD3374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监测结果（mg/m</w:t>
            </w:r>
            <w:r>
              <w:rPr>
                <w:color w:val="000000" w:themeColor="text1"/>
                <w:sz w:val="21"/>
                <w:szCs w:val="21"/>
                <w:highlight w:val="none"/>
                <w:vertAlign w:val="superscript"/>
              </w:rPr>
              <w:t>3</w:t>
            </w:r>
            <w:r>
              <w:rPr>
                <w:color w:val="000000" w:themeColor="text1"/>
                <w:sz w:val="21"/>
                <w:szCs w:val="21"/>
                <w:highlight w:val="none"/>
              </w:rPr>
              <w:t>）</w:t>
            </w:r>
          </w:p>
        </w:tc>
      </w:tr>
      <w:tr w14:paraId="05B15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32" w:type="dxa"/>
            <w:vMerge w:val="restart"/>
            <w:tcBorders>
              <w:top w:val="single" w:color="auto" w:sz="4" w:space="0"/>
              <w:left w:val="nil"/>
              <w:bottom w:val="single" w:color="auto" w:sz="4" w:space="0"/>
              <w:right w:val="single" w:color="auto" w:sz="4" w:space="0"/>
            </w:tcBorders>
            <w:vAlign w:val="center"/>
          </w:tcPr>
          <w:p w14:paraId="5C5FD6D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武清杨村施工路边</w:t>
            </w:r>
          </w:p>
        </w:tc>
        <w:tc>
          <w:tcPr>
            <w:tcW w:w="2132" w:type="dxa"/>
            <w:vMerge w:val="restart"/>
            <w:tcBorders>
              <w:top w:val="single" w:color="auto" w:sz="4" w:space="0"/>
              <w:left w:val="single" w:color="auto" w:sz="4" w:space="0"/>
              <w:bottom w:val="single" w:color="auto" w:sz="4" w:space="0"/>
              <w:right w:val="single" w:color="auto" w:sz="4" w:space="0"/>
            </w:tcBorders>
            <w:vAlign w:val="center"/>
          </w:tcPr>
          <w:p w14:paraId="58D5865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铺设水泥稳定类路顶基层时运输车辆扬尘</w:t>
            </w:r>
          </w:p>
        </w:tc>
        <w:tc>
          <w:tcPr>
            <w:tcW w:w="2132" w:type="dxa"/>
            <w:tcBorders>
              <w:top w:val="single" w:color="auto" w:sz="4" w:space="0"/>
              <w:left w:val="single" w:color="auto" w:sz="4" w:space="0"/>
              <w:bottom w:val="single" w:color="auto" w:sz="4" w:space="0"/>
              <w:right w:val="single" w:color="auto" w:sz="4" w:space="0"/>
            </w:tcBorders>
            <w:vAlign w:val="center"/>
          </w:tcPr>
          <w:p w14:paraId="4307C97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50</w:t>
            </w:r>
          </w:p>
        </w:tc>
        <w:tc>
          <w:tcPr>
            <w:tcW w:w="2132" w:type="dxa"/>
            <w:tcBorders>
              <w:top w:val="single" w:color="auto" w:sz="4" w:space="0"/>
              <w:left w:val="single" w:color="auto" w:sz="4" w:space="0"/>
              <w:bottom w:val="single" w:color="auto" w:sz="4" w:space="0"/>
              <w:right w:val="nil"/>
            </w:tcBorders>
            <w:vAlign w:val="center"/>
          </w:tcPr>
          <w:p w14:paraId="776C88A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11.652</w:t>
            </w:r>
          </w:p>
        </w:tc>
      </w:tr>
      <w:tr w14:paraId="23F97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32" w:type="dxa"/>
            <w:vMerge w:val="continue"/>
            <w:tcBorders>
              <w:top w:val="single" w:color="auto" w:sz="4" w:space="0"/>
              <w:left w:val="nil"/>
              <w:bottom w:val="single" w:color="auto" w:sz="4" w:space="0"/>
              <w:right w:val="single" w:color="auto" w:sz="4" w:space="0"/>
            </w:tcBorders>
            <w:vAlign w:val="center"/>
          </w:tcPr>
          <w:p w14:paraId="2683E059">
            <w:pPr>
              <w:pageBreakBefore w:val="0"/>
              <w:wordWrap/>
              <w:topLinePunct w:val="0"/>
              <w:bidi w:val="0"/>
              <w:spacing w:line="240" w:lineRule="auto"/>
              <w:ind w:firstLine="0" w:firstLineChars="0"/>
              <w:jc w:val="center"/>
              <w:rPr>
                <w:color w:val="000000" w:themeColor="text1"/>
                <w:sz w:val="21"/>
                <w:szCs w:val="21"/>
                <w:highlight w:val="none"/>
              </w:rPr>
            </w:pPr>
          </w:p>
        </w:tc>
        <w:tc>
          <w:tcPr>
            <w:tcW w:w="2132" w:type="dxa"/>
            <w:vMerge w:val="continue"/>
            <w:tcBorders>
              <w:top w:val="single" w:color="auto" w:sz="4" w:space="0"/>
              <w:left w:val="single" w:color="auto" w:sz="4" w:space="0"/>
              <w:bottom w:val="single" w:color="auto" w:sz="4" w:space="0"/>
              <w:right w:val="single" w:color="auto" w:sz="4" w:space="0"/>
            </w:tcBorders>
            <w:vAlign w:val="center"/>
          </w:tcPr>
          <w:p w14:paraId="29BBAC83">
            <w:pPr>
              <w:pageBreakBefore w:val="0"/>
              <w:wordWrap/>
              <w:topLinePunct w:val="0"/>
              <w:bidi w:val="0"/>
              <w:spacing w:line="240" w:lineRule="auto"/>
              <w:ind w:firstLine="0" w:firstLineChars="0"/>
              <w:jc w:val="center"/>
              <w:rPr>
                <w:color w:val="000000" w:themeColor="text1"/>
                <w:sz w:val="21"/>
                <w:szCs w:val="21"/>
                <w:highlight w:val="none"/>
              </w:rPr>
            </w:pPr>
          </w:p>
        </w:tc>
        <w:tc>
          <w:tcPr>
            <w:tcW w:w="2132" w:type="dxa"/>
            <w:tcBorders>
              <w:top w:val="single" w:color="auto" w:sz="4" w:space="0"/>
              <w:left w:val="single" w:color="auto" w:sz="4" w:space="0"/>
              <w:bottom w:val="single" w:color="auto" w:sz="4" w:space="0"/>
              <w:right w:val="single" w:color="auto" w:sz="4" w:space="0"/>
            </w:tcBorders>
            <w:vAlign w:val="center"/>
          </w:tcPr>
          <w:p w14:paraId="077AA91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100</w:t>
            </w:r>
          </w:p>
        </w:tc>
        <w:tc>
          <w:tcPr>
            <w:tcW w:w="2132" w:type="dxa"/>
            <w:tcBorders>
              <w:top w:val="single" w:color="auto" w:sz="4" w:space="0"/>
              <w:left w:val="single" w:color="auto" w:sz="4" w:space="0"/>
              <w:bottom w:val="single" w:color="auto" w:sz="4" w:space="0"/>
              <w:right w:val="nil"/>
            </w:tcBorders>
            <w:vAlign w:val="center"/>
          </w:tcPr>
          <w:p w14:paraId="14984A8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9.694</w:t>
            </w:r>
          </w:p>
        </w:tc>
      </w:tr>
      <w:tr w14:paraId="26855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132" w:type="dxa"/>
            <w:vMerge w:val="continue"/>
            <w:tcBorders>
              <w:top w:val="single" w:color="auto" w:sz="4" w:space="0"/>
              <w:left w:val="nil"/>
              <w:bottom w:val="single" w:color="auto" w:sz="12" w:space="0"/>
              <w:right w:val="single" w:color="auto" w:sz="4" w:space="0"/>
            </w:tcBorders>
            <w:vAlign w:val="center"/>
          </w:tcPr>
          <w:p w14:paraId="4A7FED15">
            <w:pPr>
              <w:pageBreakBefore w:val="0"/>
              <w:wordWrap/>
              <w:topLinePunct w:val="0"/>
              <w:bidi w:val="0"/>
              <w:spacing w:line="240" w:lineRule="auto"/>
              <w:ind w:firstLine="0" w:firstLineChars="0"/>
              <w:jc w:val="center"/>
              <w:rPr>
                <w:color w:val="000000" w:themeColor="text1"/>
                <w:sz w:val="21"/>
                <w:szCs w:val="21"/>
                <w:highlight w:val="none"/>
              </w:rPr>
            </w:pPr>
          </w:p>
        </w:tc>
        <w:tc>
          <w:tcPr>
            <w:tcW w:w="2132" w:type="dxa"/>
            <w:vMerge w:val="continue"/>
            <w:tcBorders>
              <w:top w:val="single" w:color="auto" w:sz="4" w:space="0"/>
              <w:left w:val="single" w:color="auto" w:sz="4" w:space="0"/>
              <w:bottom w:val="single" w:color="auto" w:sz="12" w:space="0"/>
              <w:right w:val="single" w:color="auto" w:sz="4" w:space="0"/>
            </w:tcBorders>
            <w:vAlign w:val="center"/>
          </w:tcPr>
          <w:p w14:paraId="1C0B1E20">
            <w:pPr>
              <w:pageBreakBefore w:val="0"/>
              <w:wordWrap/>
              <w:topLinePunct w:val="0"/>
              <w:bidi w:val="0"/>
              <w:spacing w:line="240" w:lineRule="auto"/>
              <w:ind w:firstLine="0" w:firstLineChars="0"/>
              <w:jc w:val="center"/>
              <w:rPr>
                <w:color w:val="000000" w:themeColor="text1"/>
                <w:sz w:val="21"/>
                <w:szCs w:val="21"/>
                <w:highlight w:val="none"/>
              </w:rPr>
            </w:pPr>
          </w:p>
        </w:tc>
        <w:tc>
          <w:tcPr>
            <w:tcW w:w="2132" w:type="dxa"/>
            <w:tcBorders>
              <w:top w:val="single" w:color="auto" w:sz="4" w:space="0"/>
              <w:left w:val="single" w:color="auto" w:sz="4" w:space="0"/>
              <w:bottom w:val="single" w:color="auto" w:sz="12" w:space="0"/>
              <w:right w:val="single" w:color="auto" w:sz="4" w:space="0"/>
            </w:tcBorders>
            <w:vAlign w:val="center"/>
          </w:tcPr>
          <w:p w14:paraId="1FE4618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150</w:t>
            </w:r>
          </w:p>
        </w:tc>
        <w:tc>
          <w:tcPr>
            <w:tcW w:w="2132" w:type="dxa"/>
            <w:tcBorders>
              <w:top w:val="single" w:color="auto" w:sz="4" w:space="0"/>
              <w:left w:val="single" w:color="auto" w:sz="4" w:space="0"/>
              <w:bottom w:val="single" w:color="auto" w:sz="12" w:space="0"/>
              <w:right w:val="nil"/>
            </w:tcBorders>
            <w:vAlign w:val="center"/>
          </w:tcPr>
          <w:p w14:paraId="4886033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5.093</w:t>
            </w:r>
          </w:p>
        </w:tc>
      </w:tr>
    </w:tbl>
    <w:p w14:paraId="107BC30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根据京津塘高速公路施工期监测结果</w:t>
      </w:r>
      <w:r>
        <w:rPr>
          <w:rFonts w:hint="eastAsia"/>
          <w:color w:val="000000" w:themeColor="text1"/>
          <w:highlight w:val="none"/>
          <w:lang w:eastAsia="zh-CN"/>
        </w:rPr>
        <w:t>（</w:t>
      </w:r>
      <w:r>
        <w:rPr>
          <w:rFonts w:hint="eastAsia"/>
          <w:color w:val="000000" w:themeColor="text1"/>
          <w:highlight w:val="none"/>
        </w:rPr>
        <w:t>见表3.</w:t>
      </w:r>
      <w:r>
        <w:rPr>
          <w:rFonts w:hint="eastAsia"/>
          <w:color w:val="000000" w:themeColor="text1"/>
          <w:highlight w:val="none"/>
          <w:lang w:val="en-US" w:eastAsia="zh-CN"/>
        </w:rPr>
        <w:t>3</w:t>
      </w:r>
      <w:r>
        <w:rPr>
          <w:rFonts w:hint="eastAsia"/>
          <w:color w:val="000000" w:themeColor="text1"/>
          <w:highlight w:val="none"/>
        </w:rPr>
        <w:t>-3</w:t>
      </w:r>
      <w:r>
        <w:rPr>
          <w:rFonts w:hint="eastAsia"/>
          <w:color w:val="000000" w:themeColor="text1"/>
          <w:highlight w:val="none"/>
          <w:lang w:eastAsia="zh-CN"/>
        </w:rPr>
        <w:t>），</w:t>
      </w:r>
      <w:r>
        <w:rPr>
          <w:rFonts w:hint="eastAsia"/>
          <w:color w:val="000000" w:themeColor="text1"/>
          <w:highlight w:val="none"/>
        </w:rPr>
        <w:t>拌和站下风向50m处TSP浓度可达8.849mg/m</w:t>
      </w:r>
      <w:r>
        <w:rPr>
          <w:rFonts w:hint="eastAsia"/>
          <w:color w:val="000000" w:themeColor="text1"/>
          <w:highlight w:val="none"/>
          <w:vertAlign w:val="superscript"/>
        </w:rPr>
        <w:t>3</w:t>
      </w:r>
      <w:r>
        <w:rPr>
          <w:rFonts w:hint="eastAsia"/>
          <w:color w:val="000000" w:themeColor="text1"/>
          <w:highlight w:val="none"/>
        </w:rPr>
        <w:t>、100m处浓度为1.703mg/m</w:t>
      </w:r>
      <w:r>
        <w:rPr>
          <w:rFonts w:hint="eastAsia"/>
          <w:color w:val="000000" w:themeColor="text1"/>
          <w:highlight w:val="none"/>
          <w:vertAlign w:val="superscript"/>
        </w:rPr>
        <w:t>3</w:t>
      </w:r>
      <w:r>
        <w:rPr>
          <w:rFonts w:hint="eastAsia"/>
          <w:color w:val="000000" w:themeColor="text1"/>
          <w:highlight w:val="none"/>
        </w:rPr>
        <w:t>。本项目为新建高速公路项目，类比分析数据有效。</w:t>
      </w:r>
    </w:p>
    <w:p w14:paraId="634C84FC">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表3.3-3  京津塘高速公路施工期拌合场扬尘监测结果</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474"/>
        <w:gridCol w:w="1559"/>
        <w:gridCol w:w="1134"/>
        <w:gridCol w:w="1559"/>
        <w:gridCol w:w="1702"/>
        <w:gridCol w:w="998"/>
      </w:tblGrid>
      <w:tr w14:paraId="5C24C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tcBorders>
              <w:top w:val="single" w:color="auto" w:sz="12" w:space="0"/>
              <w:left w:val="nil"/>
              <w:bottom w:val="single" w:color="auto" w:sz="4" w:space="0"/>
              <w:right w:val="single" w:color="auto" w:sz="4" w:space="0"/>
            </w:tcBorders>
            <w:vAlign w:val="center"/>
          </w:tcPr>
          <w:p w14:paraId="1489A82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监测地点</w:t>
            </w:r>
          </w:p>
        </w:tc>
        <w:tc>
          <w:tcPr>
            <w:tcW w:w="1559" w:type="dxa"/>
            <w:tcBorders>
              <w:top w:val="single" w:color="auto" w:sz="12" w:space="0"/>
              <w:left w:val="single" w:color="auto" w:sz="4" w:space="0"/>
              <w:bottom w:val="single" w:color="auto" w:sz="4" w:space="0"/>
              <w:right w:val="single" w:color="auto" w:sz="4" w:space="0"/>
            </w:tcBorders>
            <w:vAlign w:val="center"/>
          </w:tcPr>
          <w:p w14:paraId="04DD6CD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灰土</w:t>
            </w:r>
            <w:r>
              <w:rPr>
                <w:color w:val="000000" w:themeColor="text1"/>
                <w:sz w:val="21"/>
                <w:szCs w:val="21"/>
                <w:highlight w:val="none"/>
              </w:rPr>
              <w:t>拌合方式</w:t>
            </w:r>
          </w:p>
        </w:tc>
        <w:tc>
          <w:tcPr>
            <w:tcW w:w="1134" w:type="dxa"/>
            <w:tcBorders>
              <w:top w:val="single" w:color="auto" w:sz="12" w:space="0"/>
              <w:left w:val="single" w:color="auto" w:sz="4" w:space="0"/>
              <w:bottom w:val="single" w:color="auto" w:sz="4" w:space="0"/>
              <w:right w:val="single" w:color="auto" w:sz="4" w:space="0"/>
            </w:tcBorders>
            <w:vAlign w:val="center"/>
          </w:tcPr>
          <w:p w14:paraId="6270B93E">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风速</w:t>
            </w:r>
            <w:r>
              <w:rPr>
                <w:rFonts w:hint="eastAsia"/>
                <w:color w:val="000000" w:themeColor="text1"/>
                <w:sz w:val="21"/>
                <w:szCs w:val="21"/>
                <w:highlight w:val="none"/>
                <w:lang w:eastAsia="zh-CN"/>
              </w:rPr>
              <w:t>（</w:t>
            </w:r>
            <w:r>
              <w:rPr>
                <w:color w:val="000000" w:themeColor="text1"/>
                <w:sz w:val="21"/>
                <w:szCs w:val="21"/>
                <w:highlight w:val="none"/>
              </w:rPr>
              <w:t>m/s</w:t>
            </w:r>
            <w:r>
              <w:rPr>
                <w:rFonts w:hint="eastAsia"/>
                <w:color w:val="000000" w:themeColor="text1"/>
                <w:sz w:val="21"/>
                <w:szCs w:val="21"/>
                <w:highlight w:val="none"/>
                <w:lang w:eastAsia="zh-CN"/>
              </w:rPr>
              <w:t>）</w:t>
            </w:r>
          </w:p>
        </w:tc>
        <w:tc>
          <w:tcPr>
            <w:tcW w:w="1559" w:type="dxa"/>
            <w:tcBorders>
              <w:top w:val="single" w:color="auto" w:sz="12" w:space="0"/>
              <w:left w:val="single" w:color="auto" w:sz="4" w:space="0"/>
              <w:bottom w:val="single" w:color="auto" w:sz="4" w:space="0"/>
              <w:right w:val="single" w:color="auto" w:sz="4" w:space="0"/>
            </w:tcBorders>
            <w:vAlign w:val="center"/>
          </w:tcPr>
          <w:p w14:paraId="40FBB77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下风向距离（m）</w:t>
            </w:r>
          </w:p>
        </w:tc>
        <w:tc>
          <w:tcPr>
            <w:tcW w:w="1702" w:type="dxa"/>
            <w:tcBorders>
              <w:top w:val="single" w:color="auto" w:sz="12" w:space="0"/>
              <w:left w:val="single" w:color="auto" w:sz="4" w:space="0"/>
              <w:bottom w:val="single" w:color="auto" w:sz="4" w:space="0"/>
              <w:right w:val="single" w:color="auto" w:sz="4" w:space="0"/>
            </w:tcBorders>
            <w:vAlign w:val="center"/>
          </w:tcPr>
          <w:p w14:paraId="227B0E0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TSP浓度（mg/m</w:t>
            </w:r>
            <w:r>
              <w:rPr>
                <w:color w:val="000000" w:themeColor="text1"/>
                <w:sz w:val="21"/>
                <w:szCs w:val="21"/>
                <w:highlight w:val="none"/>
                <w:vertAlign w:val="superscript"/>
              </w:rPr>
              <w:t>3</w:t>
            </w:r>
            <w:r>
              <w:rPr>
                <w:color w:val="000000" w:themeColor="text1"/>
                <w:sz w:val="21"/>
                <w:szCs w:val="21"/>
                <w:highlight w:val="none"/>
              </w:rPr>
              <w:t>）</w:t>
            </w:r>
          </w:p>
        </w:tc>
        <w:tc>
          <w:tcPr>
            <w:tcW w:w="998" w:type="dxa"/>
            <w:tcBorders>
              <w:top w:val="single" w:color="auto" w:sz="12" w:space="0"/>
              <w:left w:val="single" w:color="auto" w:sz="4" w:space="0"/>
              <w:bottom w:val="single" w:color="auto" w:sz="4" w:space="0"/>
              <w:right w:val="nil"/>
            </w:tcBorders>
            <w:vAlign w:val="center"/>
          </w:tcPr>
          <w:p w14:paraId="60901FB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超标倍数</w:t>
            </w:r>
          </w:p>
        </w:tc>
      </w:tr>
      <w:tr w14:paraId="6366A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restart"/>
            <w:tcBorders>
              <w:top w:val="single" w:color="auto" w:sz="4" w:space="0"/>
              <w:left w:val="nil"/>
              <w:bottom w:val="single" w:color="auto" w:sz="4" w:space="0"/>
              <w:right w:val="single" w:color="auto" w:sz="4" w:space="0"/>
            </w:tcBorders>
            <w:vAlign w:val="center"/>
          </w:tcPr>
          <w:p w14:paraId="55C830E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某立交匝道上</w:t>
            </w:r>
          </w:p>
        </w:tc>
        <w:tc>
          <w:tcPr>
            <w:tcW w:w="1559" w:type="dxa"/>
            <w:vMerge w:val="restart"/>
            <w:tcBorders>
              <w:top w:val="single" w:color="auto" w:sz="4" w:space="0"/>
              <w:left w:val="single" w:color="auto" w:sz="4" w:space="0"/>
              <w:bottom w:val="single" w:color="auto" w:sz="4" w:space="0"/>
              <w:right w:val="single" w:color="auto" w:sz="4" w:space="0"/>
            </w:tcBorders>
            <w:vAlign w:val="center"/>
          </w:tcPr>
          <w:p w14:paraId="3D744BE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路拌</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14:paraId="11BA4AC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0.9</w:t>
            </w:r>
          </w:p>
        </w:tc>
        <w:tc>
          <w:tcPr>
            <w:tcW w:w="1559" w:type="dxa"/>
            <w:tcBorders>
              <w:top w:val="single" w:color="auto" w:sz="4" w:space="0"/>
              <w:left w:val="single" w:color="auto" w:sz="4" w:space="0"/>
              <w:bottom w:val="single" w:color="auto" w:sz="4" w:space="0"/>
              <w:right w:val="single" w:color="auto" w:sz="4" w:space="0"/>
            </w:tcBorders>
            <w:vAlign w:val="center"/>
          </w:tcPr>
          <w:p w14:paraId="416E056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50</w:t>
            </w:r>
          </w:p>
        </w:tc>
        <w:tc>
          <w:tcPr>
            <w:tcW w:w="1702" w:type="dxa"/>
            <w:tcBorders>
              <w:top w:val="single" w:color="auto" w:sz="4" w:space="0"/>
              <w:left w:val="single" w:color="auto" w:sz="4" w:space="0"/>
              <w:bottom w:val="single" w:color="auto" w:sz="4" w:space="0"/>
              <w:right w:val="single" w:color="auto" w:sz="4" w:space="0"/>
            </w:tcBorders>
            <w:vAlign w:val="center"/>
          </w:tcPr>
          <w:p w14:paraId="066C4A4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0.389</w:t>
            </w:r>
          </w:p>
        </w:tc>
        <w:tc>
          <w:tcPr>
            <w:tcW w:w="998" w:type="dxa"/>
            <w:tcBorders>
              <w:top w:val="single" w:color="auto" w:sz="4" w:space="0"/>
              <w:left w:val="single" w:color="auto" w:sz="4" w:space="0"/>
              <w:bottom w:val="single" w:color="auto" w:sz="4" w:space="0"/>
              <w:right w:val="nil"/>
            </w:tcBorders>
            <w:vAlign w:val="center"/>
          </w:tcPr>
          <w:p w14:paraId="6945502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0.3</w:t>
            </w:r>
          </w:p>
        </w:tc>
      </w:tr>
      <w:tr w14:paraId="43098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4" w:space="0"/>
              <w:right w:val="single" w:color="auto" w:sz="4" w:space="0"/>
            </w:tcBorders>
            <w:vAlign w:val="center"/>
          </w:tcPr>
          <w:p w14:paraId="04B99CF9">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11FB723C">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12353C54">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30EAD0B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100</w:t>
            </w:r>
          </w:p>
        </w:tc>
        <w:tc>
          <w:tcPr>
            <w:tcW w:w="1702" w:type="dxa"/>
            <w:tcBorders>
              <w:top w:val="single" w:color="auto" w:sz="4" w:space="0"/>
              <w:left w:val="single" w:color="auto" w:sz="4" w:space="0"/>
              <w:bottom w:val="single" w:color="auto" w:sz="4" w:space="0"/>
              <w:right w:val="single" w:color="auto" w:sz="4" w:space="0"/>
            </w:tcBorders>
            <w:vAlign w:val="center"/>
          </w:tcPr>
          <w:p w14:paraId="2C300F7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998" w:type="dxa"/>
            <w:tcBorders>
              <w:top w:val="single" w:color="auto" w:sz="4" w:space="0"/>
              <w:left w:val="single" w:color="auto" w:sz="4" w:space="0"/>
              <w:bottom w:val="single" w:color="auto" w:sz="4" w:space="0"/>
              <w:right w:val="nil"/>
            </w:tcBorders>
            <w:vAlign w:val="center"/>
          </w:tcPr>
          <w:p w14:paraId="35A4629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r>
      <w:tr w14:paraId="41487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4" w:space="0"/>
              <w:right w:val="single" w:color="auto" w:sz="4" w:space="0"/>
            </w:tcBorders>
            <w:vAlign w:val="center"/>
          </w:tcPr>
          <w:p w14:paraId="26ED5C69">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5BD84134">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40588601">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7D35B58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150</w:t>
            </w:r>
          </w:p>
        </w:tc>
        <w:tc>
          <w:tcPr>
            <w:tcW w:w="1702" w:type="dxa"/>
            <w:tcBorders>
              <w:top w:val="single" w:color="auto" w:sz="4" w:space="0"/>
              <w:left w:val="single" w:color="auto" w:sz="4" w:space="0"/>
              <w:bottom w:val="single" w:color="auto" w:sz="4" w:space="0"/>
              <w:right w:val="single" w:color="auto" w:sz="4" w:space="0"/>
            </w:tcBorders>
            <w:vAlign w:val="center"/>
          </w:tcPr>
          <w:p w14:paraId="45FEDE6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0.271</w:t>
            </w:r>
          </w:p>
        </w:tc>
        <w:tc>
          <w:tcPr>
            <w:tcW w:w="998" w:type="dxa"/>
            <w:tcBorders>
              <w:top w:val="single" w:color="auto" w:sz="4" w:space="0"/>
              <w:left w:val="single" w:color="auto" w:sz="4" w:space="0"/>
              <w:bottom w:val="single" w:color="auto" w:sz="4" w:space="0"/>
              <w:right w:val="nil"/>
            </w:tcBorders>
            <w:vAlign w:val="center"/>
          </w:tcPr>
          <w:p w14:paraId="3479164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达标</w:t>
            </w:r>
          </w:p>
        </w:tc>
      </w:tr>
      <w:tr w14:paraId="10640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restart"/>
            <w:tcBorders>
              <w:top w:val="single" w:color="auto" w:sz="4" w:space="0"/>
              <w:left w:val="nil"/>
              <w:bottom w:val="single" w:color="auto" w:sz="4" w:space="0"/>
              <w:right w:val="single" w:color="auto" w:sz="4" w:space="0"/>
            </w:tcBorders>
            <w:vAlign w:val="center"/>
          </w:tcPr>
          <w:p w14:paraId="68148FD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某灰土拌合站</w:t>
            </w:r>
          </w:p>
        </w:tc>
        <w:tc>
          <w:tcPr>
            <w:tcW w:w="1559" w:type="dxa"/>
            <w:vMerge w:val="restart"/>
            <w:tcBorders>
              <w:top w:val="single" w:color="auto" w:sz="4" w:space="0"/>
              <w:left w:val="single" w:color="auto" w:sz="4" w:space="0"/>
              <w:bottom w:val="single" w:color="auto" w:sz="4" w:space="0"/>
              <w:right w:val="single" w:color="auto" w:sz="4" w:space="0"/>
            </w:tcBorders>
            <w:vAlign w:val="center"/>
          </w:tcPr>
          <w:p w14:paraId="37C424D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集中拌合</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14:paraId="01C8B24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1.2</w:t>
            </w:r>
          </w:p>
        </w:tc>
        <w:tc>
          <w:tcPr>
            <w:tcW w:w="1559" w:type="dxa"/>
            <w:tcBorders>
              <w:top w:val="single" w:color="auto" w:sz="4" w:space="0"/>
              <w:left w:val="single" w:color="auto" w:sz="4" w:space="0"/>
              <w:bottom w:val="single" w:color="auto" w:sz="4" w:space="0"/>
              <w:right w:val="single" w:color="auto" w:sz="4" w:space="0"/>
            </w:tcBorders>
            <w:vAlign w:val="center"/>
          </w:tcPr>
          <w:p w14:paraId="7F27494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50</w:t>
            </w:r>
          </w:p>
        </w:tc>
        <w:tc>
          <w:tcPr>
            <w:tcW w:w="1702" w:type="dxa"/>
            <w:tcBorders>
              <w:top w:val="single" w:color="auto" w:sz="4" w:space="0"/>
              <w:left w:val="single" w:color="auto" w:sz="4" w:space="0"/>
              <w:bottom w:val="single" w:color="auto" w:sz="4" w:space="0"/>
              <w:right w:val="single" w:color="auto" w:sz="4" w:space="0"/>
            </w:tcBorders>
            <w:vAlign w:val="center"/>
          </w:tcPr>
          <w:p w14:paraId="67CDD0F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8.849</w:t>
            </w:r>
          </w:p>
        </w:tc>
        <w:tc>
          <w:tcPr>
            <w:tcW w:w="998" w:type="dxa"/>
            <w:tcBorders>
              <w:top w:val="single" w:color="auto" w:sz="4" w:space="0"/>
              <w:left w:val="single" w:color="auto" w:sz="4" w:space="0"/>
              <w:bottom w:val="single" w:color="auto" w:sz="4" w:space="0"/>
              <w:right w:val="nil"/>
            </w:tcBorders>
            <w:vAlign w:val="center"/>
          </w:tcPr>
          <w:p w14:paraId="6E0D295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28.5</w:t>
            </w:r>
          </w:p>
        </w:tc>
      </w:tr>
      <w:tr w14:paraId="128E8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4" w:space="0"/>
              <w:right w:val="single" w:color="auto" w:sz="4" w:space="0"/>
            </w:tcBorders>
            <w:vAlign w:val="center"/>
          </w:tcPr>
          <w:p w14:paraId="0D8C979A">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20316098">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188E59B9">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00027B1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100</w:t>
            </w:r>
          </w:p>
        </w:tc>
        <w:tc>
          <w:tcPr>
            <w:tcW w:w="1702" w:type="dxa"/>
            <w:tcBorders>
              <w:top w:val="single" w:color="auto" w:sz="4" w:space="0"/>
              <w:left w:val="single" w:color="auto" w:sz="4" w:space="0"/>
              <w:bottom w:val="single" w:color="auto" w:sz="4" w:space="0"/>
              <w:right w:val="single" w:color="auto" w:sz="4" w:space="0"/>
            </w:tcBorders>
            <w:vAlign w:val="center"/>
          </w:tcPr>
          <w:p w14:paraId="5D3CD91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1.703</w:t>
            </w:r>
          </w:p>
        </w:tc>
        <w:tc>
          <w:tcPr>
            <w:tcW w:w="998" w:type="dxa"/>
            <w:tcBorders>
              <w:top w:val="single" w:color="auto" w:sz="4" w:space="0"/>
              <w:left w:val="single" w:color="auto" w:sz="4" w:space="0"/>
              <w:bottom w:val="single" w:color="auto" w:sz="4" w:space="0"/>
              <w:right w:val="nil"/>
            </w:tcBorders>
            <w:vAlign w:val="center"/>
          </w:tcPr>
          <w:p w14:paraId="2307D64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4.7</w:t>
            </w:r>
          </w:p>
        </w:tc>
      </w:tr>
      <w:tr w14:paraId="6F442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4" w:space="0"/>
              <w:right w:val="single" w:color="auto" w:sz="4" w:space="0"/>
            </w:tcBorders>
            <w:vAlign w:val="center"/>
          </w:tcPr>
          <w:p w14:paraId="5D4C2612">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6EA97A0B">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5014E9CD">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1920AF5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150</w:t>
            </w:r>
          </w:p>
        </w:tc>
        <w:tc>
          <w:tcPr>
            <w:tcW w:w="1702" w:type="dxa"/>
            <w:tcBorders>
              <w:top w:val="single" w:color="auto" w:sz="4" w:space="0"/>
              <w:left w:val="single" w:color="auto" w:sz="4" w:space="0"/>
              <w:bottom w:val="single" w:color="auto" w:sz="4" w:space="0"/>
              <w:right w:val="single" w:color="auto" w:sz="4" w:space="0"/>
            </w:tcBorders>
            <w:vAlign w:val="center"/>
          </w:tcPr>
          <w:p w14:paraId="0792D8A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0.483</w:t>
            </w:r>
          </w:p>
        </w:tc>
        <w:tc>
          <w:tcPr>
            <w:tcW w:w="998" w:type="dxa"/>
            <w:tcBorders>
              <w:top w:val="single" w:color="auto" w:sz="4" w:space="0"/>
              <w:left w:val="single" w:color="auto" w:sz="4" w:space="0"/>
              <w:bottom w:val="single" w:color="auto" w:sz="4" w:space="0"/>
              <w:right w:val="nil"/>
            </w:tcBorders>
            <w:vAlign w:val="center"/>
          </w:tcPr>
          <w:p w14:paraId="71B8ED4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0.6</w:t>
            </w:r>
          </w:p>
        </w:tc>
      </w:tr>
      <w:tr w14:paraId="6791A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0" w:hRule="atLeast"/>
        </w:trPr>
        <w:tc>
          <w:tcPr>
            <w:tcW w:w="1474" w:type="dxa"/>
            <w:vMerge w:val="restart"/>
            <w:tcBorders>
              <w:top w:val="single" w:color="auto" w:sz="4" w:space="0"/>
              <w:left w:val="nil"/>
              <w:bottom w:val="single" w:color="auto" w:sz="4" w:space="0"/>
              <w:right w:val="single" w:color="auto" w:sz="4" w:space="0"/>
            </w:tcBorders>
            <w:vAlign w:val="center"/>
          </w:tcPr>
          <w:p w14:paraId="72DB950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某灰土拌合站</w:t>
            </w:r>
          </w:p>
        </w:tc>
        <w:tc>
          <w:tcPr>
            <w:tcW w:w="1559" w:type="dxa"/>
            <w:vMerge w:val="restart"/>
            <w:tcBorders>
              <w:top w:val="single" w:color="auto" w:sz="4" w:space="0"/>
              <w:left w:val="single" w:color="auto" w:sz="4" w:space="0"/>
              <w:bottom w:val="single" w:color="auto" w:sz="4" w:space="0"/>
              <w:right w:val="single" w:color="auto" w:sz="4" w:space="0"/>
            </w:tcBorders>
            <w:vAlign w:val="center"/>
          </w:tcPr>
          <w:p w14:paraId="44EDA5F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集中拌合</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14:paraId="2A5297C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1559" w:type="dxa"/>
            <w:tcBorders>
              <w:top w:val="single" w:color="auto" w:sz="4" w:space="0"/>
              <w:left w:val="single" w:color="auto" w:sz="4" w:space="0"/>
              <w:bottom w:val="single" w:color="auto" w:sz="4" w:space="0"/>
              <w:right w:val="single" w:color="auto" w:sz="4" w:space="0"/>
            </w:tcBorders>
            <w:vAlign w:val="center"/>
          </w:tcPr>
          <w:p w14:paraId="2F4CC5B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中心</w:t>
            </w:r>
          </w:p>
        </w:tc>
        <w:tc>
          <w:tcPr>
            <w:tcW w:w="1702" w:type="dxa"/>
            <w:tcBorders>
              <w:top w:val="single" w:color="auto" w:sz="4" w:space="0"/>
              <w:left w:val="single" w:color="auto" w:sz="4" w:space="0"/>
              <w:bottom w:val="single" w:color="auto" w:sz="4" w:space="0"/>
              <w:right w:val="single" w:color="auto" w:sz="4" w:space="0"/>
            </w:tcBorders>
            <w:vAlign w:val="center"/>
          </w:tcPr>
          <w:p w14:paraId="205E212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9.840</w:t>
            </w:r>
          </w:p>
        </w:tc>
        <w:tc>
          <w:tcPr>
            <w:tcW w:w="998" w:type="dxa"/>
            <w:tcBorders>
              <w:top w:val="single" w:color="auto" w:sz="4" w:space="0"/>
              <w:left w:val="single" w:color="auto" w:sz="4" w:space="0"/>
              <w:bottom w:val="single" w:color="auto" w:sz="4" w:space="0"/>
              <w:right w:val="nil"/>
            </w:tcBorders>
            <w:vAlign w:val="center"/>
          </w:tcPr>
          <w:p w14:paraId="24F0BF26">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31.8</w:t>
            </w:r>
          </w:p>
        </w:tc>
      </w:tr>
      <w:tr w14:paraId="58B43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4" w:space="0"/>
              <w:right w:val="single" w:color="auto" w:sz="4" w:space="0"/>
            </w:tcBorders>
            <w:vAlign w:val="center"/>
          </w:tcPr>
          <w:p w14:paraId="6BC8AE0E">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448CC8EA">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25B89848">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B49687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100</w:t>
            </w:r>
          </w:p>
        </w:tc>
        <w:tc>
          <w:tcPr>
            <w:tcW w:w="1702" w:type="dxa"/>
            <w:tcBorders>
              <w:top w:val="single" w:color="auto" w:sz="4" w:space="0"/>
              <w:left w:val="single" w:color="auto" w:sz="4" w:space="0"/>
              <w:bottom w:val="single" w:color="auto" w:sz="4" w:space="0"/>
              <w:right w:val="single" w:color="auto" w:sz="4" w:space="0"/>
            </w:tcBorders>
            <w:vAlign w:val="center"/>
          </w:tcPr>
          <w:p w14:paraId="1A18134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1.970</w:t>
            </w:r>
          </w:p>
        </w:tc>
        <w:tc>
          <w:tcPr>
            <w:tcW w:w="998" w:type="dxa"/>
            <w:tcBorders>
              <w:top w:val="single" w:color="auto" w:sz="4" w:space="0"/>
              <w:left w:val="single" w:color="auto" w:sz="4" w:space="0"/>
              <w:bottom w:val="single" w:color="auto" w:sz="4" w:space="0"/>
              <w:right w:val="nil"/>
            </w:tcBorders>
            <w:vAlign w:val="center"/>
          </w:tcPr>
          <w:p w14:paraId="7C8B66D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5.6</w:t>
            </w:r>
          </w:p>
        </w:tc>
      </w:tr>
      <w:tr w14:paraId="69499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4" w:space="0"/>
              <w:right w:val="single" w:color="auto" w:sz="4" w:space="0"/>
            </w:tcBorders>
            <w:vAlign w:val="center"/>
          </w:tcPr>
          <w:p w14:paraId="4639C58F">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16D16EED">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4351E6CD">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6F9A573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150</w:t>
            </w:r>
          </w:p>
        </w:tc>
        <w:tc>
          <w:tcPr>
            <w:tcW w:w="1702" w:type="dxa"/>
            <w:tcBorders>
              <w:top w:val="single" w:color="auto" w:sz="4" w:space="0"/>
              <w:left w:val="single" w:color="auto" w:sz="4" w:space="0"/>
              <w:bottom w:val="single" w:color="auto" w:sz="4" w:space="0"/>
              <w:right w:val="single" w:color="auto" w:sz="4" w:space="0"/>
            </w:tcBorders>
            <w:vAlign w:val="center"/>
          </w:tcPr>
          <w:p w14:paraId="29E2864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0.540</w:t>
            </w:r>
          </w:p>
        </w:tc>
        <w:tc>
          <w:tcPr>
            <w:tcW w:w="998" w:type="dxa"/>
            <w:tcBorders>
              <w:top w:val="single" w:color="auto" w:sz="4" w:space="0"/>
              <w:left w:val="single" w:color="auto" w:sz="4" w:space="0"/>
              <w:bottom w:val="single" w:color="auto" w:sz="4" w:space="0"/>
              <w:right w:val="nil"/>
            </w:tcBorders>
            <w:vAlign w:val="center"/>
          </w:tcPr>
          <w:p w14:paraId="590B57D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0.8</w:t>
            </w:r>
          </w:p>
        </w:tc>
      </w:tr>
      <w:tr w14:paraId="0F16D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474" w:type="dxa"/>
            <w:vMerge w:val="continue"/>
            <w:tcBorders>
              <w:top w:val="single" w:color="auto" w:sz="4" w:space="0"/>
              <w:left w:val="nil"/>
              <w:bottom w:val="single" w:color="auto" w:sz="12" w:space="0"/>
              <w:right w:val="single" w:color="auto" w:sz="4" w:space="0"/>
            </w:tcBorders>
            <w:vAlign w:val="center"/>
          </w:tcPr>
          <w:p w14:paraId="2501BF89">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vMerge w:val="continue"/>
            <w:tcBorders>
              <w:top w:val="single" w:color="auto" w:sz="4" w:space="0"/>
              <w:left w:val="single" w:color="auto" w:sz="4" w:space="0"/>
              <w:bottom w:val="single" w:color="auto" w:sz="12" w:space="0"/>
              <w:right w:val="single" w:color="auto" w:sz="4" w:space="0"/>
            </w:tcBorders>
            <w:vAlign w:val="center"/>
          </w:tcPr>
          <w:p w14:paraId="09D2D98A">
            <w:pPr>
              <w:pageBreakBefore w:val="0"/>
              <w:wordWrap/>
              <w:topLinePunct w:val="0"/>
              <w:bidi w:val="0"/>
              <w:spacing w:line="240" w:lineRule="auto"/>
              <w:ind w:firstLine="0" w:firstLineChars="0"/>
              <w:jc w:val="center"/>
              <w:rPr>
                <w:color w:val="000000" w:themeColor="text1"/>
                <w:sz w:val="21"/>
                <w:szCs w:val="21"/>
                <w:highlight w:val="none"/>
              </w:rPr>
            </w:pPr>
          </w:p>
        </w:tc>
        <w:tc>
          <w:tcPr>
            <w:tcW w:w="1134" w:type="dxa"/>
            <w:vMerge w:val="continue"/>
            <w:tcBorders>
              <w:top w:val="single" w:color="auto" w:sz="4" w:space="0"/>
              <w:left w:val="single" w:color="auto" w:sz="4" w:space="0"/>
              <w:bottom w:val="single" w:color="auto" w:sz="12" w:space="0"/>
              <w:right w:val="single" w:color="auto" w:sz="4" w:space="0"/>
            </w:tcBorders>
            <w:vAlign w:val="center"/>
          </w:tcPr>
          <w:p w14:paraId="661FFF0A">
            <w:pPr>
              <w:pageBreakBefore w:val="0"/>
              <w:wordWrap/>
              <w:topLinePunct w:val="0"/>
              <w:bidi w:val="0"/>
              <w:spacing w:line="240" w:lineRule="auto"/>
              <w:ind w:firstLine="0" w:firstLineChars="0"/>
              <w:jc w:val="center"/>
              <w:rPr>
                <w:color w:val="000000" w:themeColor="text1"/>
                <w:sz w:val="21"/>
                <w:szCs w:val="21"/>
                <w:highlight w:val="none"/>
              </w:rPr>
            </w:pPr>
          </w:p>
        </w:tc>
        <w:tc>
          <w:tcPr>
            <w:tcW w:w="1559" w:type="dxa"/>
            <w:tcBorders>
              <w:top w:val="single" w:color="auto" w:sz="4" w:space="0"/>
              <w:left w:val="single" w:color="auto" w:sz="4" w:space="0"/>
              <w:bottom w:val="single" w:color="auto" w:sz="12" w:space="0"/>
              <w:right w:val="single" w:color="auto" w:sz="4" w:space="0"/>
            </w:tcBorders>
            <w:vAlign w:val="center"/>
          </w:tcPr>
          <w:p w14:paraId="4C331FA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对照点</w:t>
            </w:r>
          </w:p>
        </w:tc>
        <w:tc>
          <w:tcPr>
            <w:tcW w:w="1702" w:type="dxa"/>
            <w:tcBorders>
              <w:top w:val="single" w:color="auto" w:sz="4" w:space="0"/>
              <w:left w:val="single" w:color="auto" w:sz="4" w:space="0"/>
              <w:bottom w:val="single" w:color="auto" w:sz="12" w:space="0"/>
              <w:right w:val="single" w:color="auto" w:sz="4" w:space="0"/>
            </w:tcBorders>
            <w:vAlign w:val="center"/>
          </w:tcPr>
          <w:p w14:paraId="735A69A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0.400</w:t>
            </w:r>
          </w:p>
        </w:tc>
        <w:tc>
          <w:tcPr>
            <w:tcW w:w="998" w:type="dxa"/>
            <w:tcBorders>
              <w:top w:val="single" w:color="auto" w:sz="4" w:space="0"/>
              <w:left w:val="single" w:color="auto" w:sz="4" w:space="0"/>
              <w:bottom w:val="single" w:color="auto" w:sz="12" w:space="0"/>
              <w:right w:val="nil"/>
            </w:tcBorders>
            <w:vAlign w:val="center"/>
          </w:tcPr>
          <w:p w14:paraId="74AB509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0.3</w:t>
            </w:r>
          </w:p>
        </w:tc>
      </w:tr>
    </w:tbl>
    <w:p w14:paraId="113AE27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rPr>
        <w:t>（2）</w:t>
      </w:r>
      <w:r>
        <w:rPr>
          <w:rFonts w:hint="eastAsia"/>
          <w:color w:val="000000" w:themeColor="text1"/>
          <w:highlight w:val="none"/>
          <w:lang w:val="en-US" w:eastAsia="zh-CN"/>
        </w:rPr>
        <w:t>基层（水稳、混凝土）拌和站及预制梁场扬尘</w:t>
      </w:r>
    </w:p>
    <w:p w14:paraId="098572EB">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本项目拌合站粉尘排放源强类比“安徽开源路桥有限责任公司渑淅高速渑池至洛宁段MLTJ-3标1#混凝土拌合站及预制梁场项目”，该项目拌合站年产商品混凝土10万m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，拌合站共设置2台JS2000混凝土搅拌机，6个容积为110m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的水泥筒仓和2个110m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的粉煤灰筒仓，粉状物料通过管道密闭进入搅拌机，骨料储存于钢结构密闭车间内，通过皮带密闭输送至搅拌机，混凝土生产过程中骨料仓进料粉尘、骨料仓出口处和皮带转运处落料粉尘、筒仓及搅拌机处均设置高效袋式除尘器，处理后达标后粉尘通过15m高排气筒排放。</w:t>
      </w:r>
    </w:p>
    <w:p w14:paraId="233B789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根据《安徽开源路桥有限责任公司渑淅高速渑池至洛宁段MLTJ-3标1#混凝土拌合站及预制梁场项目验收检测报告（2021.5）》（验收检测期间企业生产负荷为95.3%~96.2%），粉尘有组织和无组织排放检测数据见表3.2-4和表3.2-5，有组织粉尘检测位置分别为原料库除尘器进出口、筒仓除尘器出口和搅拌机除尘器出口，无组织粉尘分别在拌合站厂界外上风向（1个）、下风向（3个）布点。</w:t>
      </w:r>
    </w:p>
    <w:p w14:paraId="75B2CA0E">
      <w:pPr>
        <w:pageBreakBefore w:val="0"/>
        <w:wordWrap/>
        <w:topLinePunct w:val="0"/>
        <w:bidi w:val="0"/>
        <w:spacing w:line="360" w:lineRule="auto"/>
        <w:ind w:firstLine="0" w:firstLineChars="0"/>
        <w:jc w:val="center"/>
        <w:rPr>
          <w:rFonts w:hint="default" w:eastAsia="宋体"/>
          <w:b/>
          <w:color w:val="000000" w:themeColor="text1"/>
          <w:highlight w:val="none"/>
          <w:lang w:val="en-US" w:eastAsia="zh-CN"/>
        </w:rPr>
      </w:pPr>
      <w:r>
        <w:rPr>
          <w:b/>
          <w:color w:val="000000" w:themeColor="text1"/>
          <w:highlight w:val="none"/>
        </w:rPr>
        <w:t>表3.3-</w:t>
      </w:r>
      <w:r>
        <w:rPr>
          <w:rFonts w:hint="eastAsia"/>
          <w:b/>
          <w:color w:val="000000" w:themeColor="text1"/>
          <w:highlight w:val="none"/>
          <w:lang w:val="en-US" w:eastAsia="zh-CN"/>
        </w:rPr>
        <w:t>4</w:t>
      </w:r>
      <w:r>
        <w:rPr>
          <w:b/>
          <w:color w:val="000000" w:themeColor="text1"/>
          <w:highlight w:val="none"/>
        </w:rPr>
        <w:t xml:space="preserve"> </w:t>
      </w:r>
      <w:r>
        <w:rPr>
          <w:rFonts w:hint="eastAsia"/>
          <w:b/>
          <w:color w:val="000000" w:themeColor="text1"/>
          <w:highlight w:val="none"/>
          <w:lang w:val="en-US" w:eastAsia="zh-CN"/>
        </w:rPr>
        <w:t xml:space="preserve"> 有组织废气检测结果一览表</w:t>
      </w:r>
    </w:p>
    <w:tbl>
      <w:tblPr>
        <w:tblStyle w:val="34"/>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817"/>
        <w:gridCol w:w="2010"/>
        <w:gridCol w:w="1519"/>
        <w:gridCol w:w="1368"/>
        <w:gridCol w:w="1695"/>
      </w:tblGrid>
      <w:tr w14:paraId="298539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26" w:type="dxa"/>
            <w:gridSpan w:val="2"/>
            <w:tcBorders>
              <w:tl2br w:val="nil"/>
              <w:tr2bl w:val="nil"/>
            </w:tcBorders>
            <w:vAlign w:val="center"/>
          </w:tcPr>
          <w:p w14:paraId="5786FA98">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设备名称（检测位置）</w:t>
            </w:r>
          </w:p>
        </w:tc>
        <w:tc>
          <w:tcPr>
            <w:tcW w:w="2010" w:type="dxa"/>
            <w:tcBorders>
              <w:tl2br w:val="nil"/>
              <w:tr2bl w:val="nil"/>
            </w:tcBorders>
            <w:vAlign w:val="center"/>
          </w:tcPr>
          <w:p w14:paraId="36D56A5B">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检测时间</w:t>
            </w:r>
          </w:p>
        </w:tc>
        <w:tc>
          <w:tcPr>
            <w:tcW w:w="1519" w:type="dxa"/>
            <w:tcBorders>
              <w:tl2br w:val="nil"/>
              <w:tr2bl w:val="nil"/>
            </w:tcBorders>
            <w:vAlign w:val="center"/>
          </w:tcPr>
          <w:p w14:paraId="32A28824">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废气量（×10</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/h）</w:t>
            </w:r>
          </w:p>
        </w:tc>
        <w:tc>
          <w:tcPr>
            <w:tcW w:w="1394" w:type="dxa"/>
            <w:tcBorders>
              <w:tl2br w:val="nil"/>
              <w:tr2bl w:val="nil"/>
            </w:tcBorders>
            <w:vAlign w:val="center"/>
          </w:tcPr>
          <w:p w14:paraId="4967E50A">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排放浓度（mg/m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w:t>
            </w:r>
          </w:p>
        </w:tc>
        <w:tc>
          <w:tcPr>
            <w:tcW w:w="1373" w:type="dxa"/>
            <w:tcBorders>
              <w:tl2br w:val="nil"/>
              <w:tr2bl w:val="nil"/>
            </w:tcBorders>
            <w:vAlign w:val="center"/>
          </w:tcPr>
          <w:p w14:paraId="39BD0AAC">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排放速率（kg/h）</w:t>
            </w:r>
          </w:p>
        </w:tc>
      </w:tr>
      <w:tr w14:paraId="5A1F6E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vMerge w:val="restart"/>
            <w:tcBorders>
              <w:tl2br w:val="nil"/>
              <w:tr2bl w:val="nil"/>
            </w:tcBorders>
            <w:vAlign w:val="center"/>
          </w:tcPr>
          <w:p w14:paraId="46421702">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原料库1#除尘器</w:t>
            </w:r>
          </w:p>
        </w:tc>
        <w:tc>
          <w:tcPr>
            <w:tcW w:w="924" w:type="dxa"/>
            <w:tcBorders>
              <w:tl2br w:val="nil"/>
              <w:tr2bl w:val="nil"/>
            </w:tcBorders>
            <w:vAlign w:val="center"/>
          </w:tcPr>
          <w:p w14:paraId="7921FFFB">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进口</w:t>
            </w:r>
          </w:p>
        </w:tc>
        <w:tc>
          <w:tcPr>
            <w:tcW w:w="2010" w:type="dxa"/>
            <w:tcBorders>
              <w:tl2br w:val="nil"/>
              <w:tr2bl w:val="nil"/>
            </w:tcBorders>
            <w:vAlign w:val="center"/>
          </w:tcPr>
          <w:p w14:paraId="61E3A333">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2021.3.27~2021.3.28</w:t>
            </w:r>
          </w:p>
        </w:tc>
        <w:tc>
          <w:tcPr>
            <w:tcW w:w="1519" w:type="dxa"/>
            <w:tcBorders>
              <w:tl2br w:val="nil"/>
              <w:tr2bl w:val="nil"/>
            </w:tcBorders>
            <w:vAlign w:val="center"/>
          </w:tcPr>
          <w:p w14:paraId="41448619">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5.06~5.09</w:t>
            </w:r>
          </w:p>
        </w:tc>
        <w:tc>
          <w:tcPr>
            <w:tcW w:w="1394" w:type="dxa"/>
            <w:tcBorders>
              <w:tl2br w:val="nil"/>
              <w:tr2bl w:val="nil"/>
            </w:tcBorders>
            <w:shd w:val="clear" w:color="auto" w:fill="auto"/>
            <w:vAlign w:val="center"/>
          </w:tcPr>
          <w:p w14:paraId="501B9C8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256.5~329.0</w:t>
            </w:r>
          </w:p>
        </w:tc>
        <w:tc>
          <w:tcPr>
            <w:tcW w:w="1373" w:type="dxa"/>
            <w:tcBorders>
              <w:tl2br w:val="nil"/>
              <w:tr2bl w:val="nil"/>
            </w:tcBorders>
            <w:shd w:val="clear" w:color="auto" w:fill="auto"/>
            <w:vAlign w:val="center"/>
          </w:tcPr>
          <w:p w14:paraId="3D1E849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1.30~1.67</w:t>
            </w:r>
          </w:p>
        </w:tc>
      </w:tr>
      <w:tr w14:paraId="63B61B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vMerge w:val="continue"/>
            <w:tcBorders>
              <w:tl2br w:val="nil"/>
              <w:tr2bl w:val="nil"/>
            </w:tcBorders>
            <w:vAlign w:val="center"/>
          </w:tcPr>
          <w:p w14:paraId="28E55FCD">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p>
        </w:tc>
        <w:tc>
          <w:tcPr>
            <w:tcW w:w="924" w:type="dxa"/>
            <w:tcBorders>
              <w:tl2br w:val="nil"/>
              <w:tr2bl w:val="nil"/>
            </w:tcBorders>
            <w:vAlign w:val="center"/>
          </w:tcPr>
          <w:p w14:paraId="0BD2645B">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vAlign w:val="center"/>
          </w:tcPr>
          <w:p w14:paraId="4145D773">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2021.3.27~2021.3.28</w:t>
            </w:r>
          </w:p>
        </w:tc>
        <w:tc>
          <w:tcPr>
            <w:tcW w:w="1519" w:type="dxa"/>
            <w:tcBorders>
              <w:tl2br w:val="nil"/>
              <w:tr2bl w:val="nil"/>
            </w:tcBorders>
            <w:vAlign w:val="center"/>
          </w:tcPr>
          <w:p w14:paraId="467DCC03">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6.00~6.09</w:t>
            </w:r>
          </w:p>
        </w:tc>
        <w:tc>
          <w:tcPr>
            <w:tcW w:w="1394" w:type="dxa"/>
            <w:tcBorders>
              <w:tl2br w:val="nil"/>
              <w:tr2bl w:val="nil"/>
            </w:tcBorders>
            <w:shd w:val="clear" w:color="auto" w:fill="auto"/>
            <w:vAlign w:val="center"/>
          </w:tcPr>
          <w:p w14:paraId="6575356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3.8~6.1</w:t>
            </w:r>
          </w:p>
        </w:tc>
        <w:tc>
          <w:tcPr>
            <w:tcW w:w="1373" w:type="dxa"/>
            <w:tcBorders>
              <w:tl2br w:val="nil"/>
              <w:tr2bl w:val="nil"/>
            </w:tcBorders>
            <w:shd w:val="clear" w:color="auto" w:fill="auto"/>
            <w:vAlign w:val="center"/>
          </w:tcPr>
          <w:p w14:paraId="58D34F6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0.0231~0.0367</w:t>
            </w:r>
          </w:p>
        </w:tc>
      </w:tr>
      <w:tr w14:paraId="79F6BE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vMerge w:val="restart"/>
            <w:tcBorders>
              <w:tl2br w:val="nil"/>
              <w:tr2bl w:val="nil"/>
            </w:tcBorders>
            <w:vAlign w:val="center"/>
          </w:tcPr>
          <w:p w14:paraId="0EF98A2C">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原料库2#除尘器</w:t>
            </w:r>
          </w:p>
        </w:tc>
        <w:tc>
          <w:tcPr>
            <w:tcW w:w="924" w:type="dxa"/>
            <w:tcBorders>
              <w:tl2br w:val="nil"/>
              <w:tr2bl w:val="nil"/>
            </w:tcBorders>
            <w:shd w:val="clear" w:color="auto" w:fill="auto"/>
            <w:vAlign w:val="center"/>
          </w:tcPr>
          <w:p w14:paraId="3D4A18F9">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进口</w:t>
            </w:r>
          </w:p>
        </w:tc>
        <w:tc>
          <w:tcPr>
            <w:tcW w:w="2010" w:type="dxa"/>
            <w:tcBorders>
              <w:tl2br w:val="nil"/>
              <w:tr2bl w:val="nil"/>
            </w:tcBorders>
            <w:vAlign w:val="center"/>
          </w:tcPr>
          <w:p w14:paraId="741D133B">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2021.3.27~2021.3.28</w:t>
            </w:r>
          </w:p>
        </w:tc>
        <w:tc>
          <w:tcPr>
            <w:tcW w:w="1519" w:type="dxa"/>
            <w:tcBorders>
              <w:tl2br w:val="nil"/>
              <w:tr2bl w:val="nil"/>
            </w:tcBorders>
            <w:vAlign w:val="center"/>
          </w:tcPr>
          <w:p w14:paraId="4AE1A89D">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5.02~5.09</w:t>
            </w:r>
          </w:p>
        </w:tc>
        <w:tc>
          <w:tcPr>
            <w:tcW w:w="1394" w:type="dxa"/>
            <w:tcBorders>
              <w:tl2br w:val="nil"/>
              <w:tr2bl w:val="nil"/>
            </w:tcBorders>
            <w:shd w:val="clear" w:color="auto" w:fill="auto"/>
            <w:vAlign w:val="center"/>
          </w:tcPr>
          <w:p w14:paraId="024C128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286.1~323.9</w:t>
            </w:r>
          </w:p>
        </w:tc>
        <w:tc>
          <w:tcPr>
            <w:tcW w:w="1373" w:type="dxa"/>
            <w:tcBorders>
              <w:tl2br w:val="nil"/>
              <w:tr2bl w:val="nil"/>
            </w:tcBorders>
            <w:shd w:val="clear" w:color="auto" w:fill="auto"/>
            <w:vAlign w:val="center"/>
          </w:tcPr>
          <w:p w14:paraId="540E696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1.44~1.62</w:t>
            </w:r>
          </w:p>
        </w:tc>
      </w:tr>
      <w:tr w14:paraId="535AC6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vMerge w:val="continue"/>
            <w:tcBorders>
              <w:tl2br w:val="nil"/>
              <w:tr2bl w:val="nil"/>
            </w:tcBorders>
            <w:vAlign w:val="center"/>
          </w:tcPr>
          <w:p w14:paraId="291FF2A0">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p>
        </w:tc>
        <w:tc>
          <w:tcPr>
            <w:tcW w:w="924" w:type="dxa"/>
            <w:tcBorders>
              <w:tl2br w:val="nil"/>
              <w:tr2bl w:val="nil"/>
            </w:tcBorders>
            <w:shd w:val="clear" w:color="auto" w:fill="auto"/>
            <w:vAlign w:val="center"/>
          </w:tcPr>
          <w:p w14:paraId="0775D724">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出口</w:t>
            </w:r>
          </w:p>
        </w:tc>
        <w:tc>
          <w:tcPr>
            <w:tcW w:w="2010" w:type="dxa"/>
            <w:tcBorders>
              <w:tl2br w:val="nil"/>
              <w:tr2bl w:val="nil"/>
            </w:tcBorders>
            <w:shd w:val="clear" w:color="auto" w:fill="auto"/>
            <w:vAlign w:val="center"/>
          </w:tcPr>
          <w:p w14:paraId="0322A055">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2021.3.27~2021.3.28</w:t>
            </w:r>
          </w:p>
        </w:tc>
        <w:tc>
          <w:tcPr>
            <w:tcW w:w="1519" w:type="dxa"/>
            <w:tcBorders>
              <w:tl2br w:val="nil"/>
              <w:tr2bl w:val="nil"/>
            </w:tcBorders>
            <w:shd w:val="clear" w:color="auto" w:fill="auto"/>
            <w:vAlign w:val="center"/>
          </w:tcPr>
          <w:p w14:paraId="010114E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5.61~6.91</w:t>
            </w:r>
          </w:p>
        </w:tc>
        <w:tc>
          <w:tcPr>
            <w:tcW w:w="1394" w:type="dxa"/>
            <w:tcBorders>
              <w:tl2br w:val="nil"/>
              <w:tr2bl w:val="nil"/>
            </w:tcBorders>
            <w:shd w:val="clear" w:color="auto" w:fill="auto"/>
            <w:vAlign w:val="center"/>
          </w:tcPr>
          <w:p w14:paraId="1F1C917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4.5~6.2</w:t>
            </w:r>
          </w:p>
        </w:tc>
        <w:tc>
          <w:tcPr>
            <w:tcW w:w="1373" w:type="dxa"/>
            <w:tcBorders>
              <w:tl2br w:val="nil"/>
              <w:tr2bl w:val="nil"/>
            </w:tcBorders>
            <w:shd w:val="clear" w:color="auto" w:fill="auto"/>
            <w:vAlign w:val="center"/>
          </w:tcPr>
          <w:p w14:paraId="61B32D52">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0.0252~0.0355</w:t>
            </w:r>
          </w:p>
        </w:tc>
      </w:tr>
      <w:tr w14:paraId="61DB18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tcBorders>
              <w:tl2br w:val="nil"/>
              <w:tr2bl w:val="nil"/>
            </w:tcBorders>
            <w:vAlign w:val="center"/>
          </w:tcPr>
          <w:p w14:paraId="3DC0AD72">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*筒仓3#除尘器</w:t>
            </w:r>
          </w:p>
        </w:tc>
        <w:tc>
          <w:tcPr>
            <w:tcW w:w="924" w:type="dxa"/>
            <w:tcBorders>
              <w:tl2br w:val="nil"/>
              <w:tr2bl w:val="nil"/>
            </w:tcBorders>
            <w:vAlign w:val="center"/>
          </w:tcPr>
          <w:p w14:paraId="7F74B7F7">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shd w:val="clear" w:color="auto" w:fill="auto"/>
            <w:vAlign w:val="center"/>
          </w:tcPr>
          <w:p w14:paraId="2D86A289">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2021.3.27~2021.3.28</w:t>
            </w:r>
          </w:p>
        </w:tc>
        <w:tc>
          <w:tcPr>
            <w:tcW w:w="1519" w:type="dxa"/>
            <w:tcBorders>
              <w:tl2br w:val="nil"/>
              <w:tr2bl w:val="nil"/>
            </w:tcBorders>
            <w:shd w:val="clear" w:color="auto" w:fill="auto"/>
            <w:vAlign w:val="center"/>
          </w:tcPr>
          <w:p w14:paraId="6B5CD24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1.61~1.69</w:t>
            </w:r>
          </w:p>
        </w:tc>
        <w:tc>
          <w:tcPr>
            <w:tcW w:w="1394" w:type="dxa"/>
            <w:tcBorders>
              <w:tl2br w:val="nil"/>
              <w:tr2bl w:val="nil"/>
            </w:tcBorders>
            <w:shd w:val="clear" w:color="auto" w:fill="auto"/>
            <w:vAlign w:val="center"/>
          </w:tcPr>
          <w:p w14:paraId="026ABE3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4.8~7.0</w:t>
            </w:r>
          </w:p>
        </w:tc>
        <w:tc>
          <w:tcPr>
            <w:tcW w:w="1373" w:type="dxa"/>
            <w:tcBorders>
              <w:tl2br w:val="nil"/>
              <w:tr2bl w:val="nil"/>
            </w:tcBorders>
            <w:shd w:val="clear" w:color="auto" w:fill="auto"/>
            <w:vAlign w:val="center"/>
          </w:tcPr>
          <w:p w14:paraId="4DBF8F1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0.00787~0.0116</w:t>
            </w:r>
          </w:p>
        </w:tc>
      </w:tr>
      <w:tr w14:paraId="51A30D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tcBorders>
              <w:tl2br w:val="nil"/>
              <w:tr2bl w:val="nil"/>
            </w:tcBorders>
            <w:vAlign w:val="center"/>
          </w:tcPr>
          <w:p w14:paraId="4C6D6019">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*筒仓4#除尘器</w:t>
            </w:r>
          </w:p>
        </w:tc>
        <w:tc>
          <w:tcPr>
            <w:tcW w:w="924" w:type="dxa"/>
            <w:tcBorders>
              <w:tl2br w:val="nil"/>
              <w:tr2bl w:val="nil"/>
            </w:tcBorders>
            <w:vAlign w:val="center"/>
          </w:tcPr>
          <w:p w14:paraId="1CADE6C1">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shd w:val="clear" w:color="auto" w:fill="auto"/>
            <w:vAlign w:val="center"/>
          </w:tcPr>
          <w:p w14:paraId="4B6DFB40">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2021.3.27~2021.3.28</w:t>
            </w:r>
          </w:p>
        </w:tc>
        <w:tc>
          <w:tcPr>
            <w:tcW w:w="1519" w:type="dxa"/>
            <w:tcBorders>
              <w:tl2br w:val="nil"/>
              <w:tr2bl w:val="nil"/>
            </w:tcBorders>
            <w:shd w:val="clear" w:color="auto" w:fill="auto"/>
            <w:vAlign w:val="center"/>
          </w:tcPr>
          <w:p w14:paraId="4EF9A3F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1.81~1.90</w:t>
            </w:r>
          </w:p>
        </w:tc>
        <w:tc>
          <w:tcPr>
            <w:tcW w:w="1394" w:type="dxa"/>
            <w:tcBorders>
              <w:tl2br w:val="nil"/>
              <w:tr2bl w:val="nil"/>
            </w:tcBorders>
            <w:shd w:val="clear" w:color="auto" w:fill="auto"/>
            <w:vAlign w:val="center"/>
          </w:tcPr>
          <w:p w14:paraId="311A34A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4.2~6.9</w:t>
            </w:r>
          </w:p>
        </w:tc>
        <w:tc>
          <w:tcPr>
            <w:tcW w:w="1373" w:type="dxa"/>
            <w:tcBorders>
              <w:tl2br w:val="nil"/>
              <w:tr2bl w:val="nil"/>
            </w:tcBorders>
            <w:shd w:val="clear" w:color="auto" w:fill="auto"/>
            <w:vAlign w:val="center"/>
          </w:tcPr>
          <w:p w14:paraId="09FB95D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0.00764~0.0128</w:t>
            </w:r>
          </w:p>
        </w:tc>
      </w:tr>
      <w:tr w14:paraId="77E80C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tcBorders>
              <w:tl2br w:val="nil"/>
              <w:tr2bl w:val="nil"/>
            </w:tcBorders>
            <w:vAlign w:val="center"/>
          </w:tcPr>
          <w:p w14:paraId="2206E7D8">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*筒仓5#除尘器</w:t>
            </w:r>
          </w:p>
        </w:tc>
        <w:tc>
          <w:tcPr>
            <w:tcW w:w="924" w:type="dxa"/>
            <w:tcBorders>
              <w:tl2br w:val="nil"/>
              <w:tr2bl w:val="nil"/>
            </w:tcBorders>
            <w:vAlign w:val="center"/>
          </w:tcPr>
          <w:p w14:paraId="4A5B4EB8">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shd w:val="clear" w:color="auto" w:fill="auto"/>
            <w:vAlign w:val="center"/>
          </w:tcPr>
          <w:p w14:paraId="6C61413B">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2021.3.27~2021.3.28</w:t>
            </w:r>
          </w:p>
        </w:tc>
        <w:tc>
          <w:tcPr>
            <w:tcW w:w="1519" w:type="dxa"/>
            <w:tcBorders>
              <w:tl2br w:val="nil"/>
              <w:tr2bl w:val="nil"/>
            </w:tcBorders>
            <w:shd w:val="clear" w:color="auto" w:fill="auto"/>
            <w:vAlign w:val="center"/>
          </w:tcPr>
          <w:p w14:paraId="0B41833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1.49~1.61</w:t>
            </w:r>
          </w:p>
        </w:tc>
        <w:tc>
          <w:tcPr>
            <w:tcW w:w="1394" w:type="dxa"/>
            <w:tcBorders>
              <w:tl2br w:val="nil"/>
              <w:tr2bl w:val="nil"/>
            </w:tcBorders>
            <w:shd w:val="clear" w:color="auto" w:fill="auto"/>
            <w:vAlign w:val="center"/>
          </w:tcPr>
          <w:p w14:paraId="00DBE9B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4.7~6.3</w:t>
            </w:r>
          </w:p>
        </w:tc>
        <w:tc>
          <w:tcPr>
            <w:tcW w:w="1373" w:type="dxa"/>
            <w:tcBorders>
              <w:tl2br w:val="nil"/>
              <w:tr2bl w:val="nil"/>
            </w:tcBorders>
            <w:shd w:val="clear" w:color="auto" w:fill="auto"/>
            <w:vAlign w:val="center"/>
          </w:tcPr>
          <w:p w14:paraId="6A918FD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0.00733~0.00939</w:t>
            </w:r>
          </w:p>
        </w:tc>
      </w:tr>
      <w:tr w14:paraId="78BB77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tcBorders>
              <w:tl2br w:val="nil"/>
              <w:tr2bl w:val="nil"/>
            </w:tcBorders>
            <w:vAlign w:val="center"/>
          </w:tcPr>
          <w:p w14:paraId="363B2D81">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*筒仓7#除尘器</w:t>
            </w:r>
          </w:p>
        </w:tc>
        <w:tc>
          <w:tcPr>
            <w:tcW w:w="924" w:type="dxa"/>
            <w:tcBorders>
              <w:tl2br w:val="nil"/>
              <w:tr2bl w:val="nil"/>
            </w:tcBorders>
            <w:vAlign w:val="center"/>
          </w:tcPr>
          <w:p w14:paraId="5CA0A00C">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shd w:val="clear" w:color="auto" w:fill="auto"/>
            <w:vAlign w:val="center"/>
          </w:tcPr>
          <w:p w14:paraId="0B6117F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2021.3.27~2021.3.28</w:t>
            </w:r>
          </w:p>
        </w:tc>
        <w:tc>
          <w:tcPr>
            <w:tcW w:w="1519" w:type="dxa"/>
            <w:tcBorders>
              <w:tl2br w:val="nil"/>
              <w:tr2bl w:val="nil"/>
            </w:tcBorders>
            <w:shd w:val="clear" w:color="auto" w:fill="auto"/>
            <w:vAlign w:val="center"/>
          </w:tcPr>
          <w:p w14:paraId="21414A8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1.58~1.68</w:t>
            </w:r>
          </w:p>
        </w:tc>
        <w:tc>
          <w:tcPr>
            <w:tcW w:w="1394" w:type="dxa"/>
            <w:tcBorders>
              <w:tl2br w:val="nil"/>
              <w:tr2bl w:val="nil"/>
            </w:tcBorders>
            <w:shd w:val="clear" w:color="auto" w:fill="auto"/>
            <w:vAlign w:val="center"/>
          </w:tcPr>
          <w:p w14:paraId="67949F6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4.8~7.1</w:t>
            </w:r>
          </w:p>
        </w:tc>
        <w:tc>
          <w:tcPr>
            <w:tcW w:w="1373" w:type="dxa"/>
            <w:tcBorders>
              <w:tl2br w:val="nil"/>
              <w:tr2bl w:val="nil"/>
            </w:tcBorders>
            <w:shd w:val="clear" w:color="auto" w:fill="auto"/>
            <w:vAlign w:val="center"/>
          </w:tcPr>
          <w:p w14:paraId="5853770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0.00768~0.0114</w:t>
            </w:r>
          </w:p>
        </w:tc>
      </w:tr>
      <w:tr w14:paraId="400596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tcBorders>
              <w:tl2br w:val="nil"/>
              <w:tr2bl w:val="nil"/>
            </w:tcBorders>
            <w:vAlign w:val="center"/>
          </w:tcPr>
          <w:p w14:paraId="279E52FE">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*搅拌机7#除尘器</w:t>
            </w:r>
          </w:p>
        </w:tc>
        <w:tc>
          <w:tcPr>
            <w:tcW w:w="924" w:type="dxa"/>
            <w:tcBorders>
              <w:tl2br w:val="nil"/>
              <w:tr2bl w:val="nil"/>
            </w:tcBorders>
            <w:vAlign w:val="center"/>
          </w:tcPr>
          <w:p w14:paraId="7E0D214D">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shd w:val="clear" w:color="auto" w:fill="auto"/>
            <w:vAlign w:val="center"/>
          </w:tcPr>
          <w:p w14:paraId="2BAA12B7">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2021.3.27~2021.3.28</w:t>
            </w:r>
          </w:p>
        </w:tc>
        <w:tc>
          <w:tcPr>
            <w:tcW w:w="1519" w:type="dxa"/>
            <w:tcBorders>
              <w:tl2br w:val="nil"/>
              <w:tr2bl w:val="nil"/>
            </w:tcBorders>
            <w:shd w:val="clear" w:color="auto" w:fill="auto"/>
            <w:vAlign w:val="center"/>
          </w:tcPr>
          <w:p w14:paraId="3233C77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3.22~3.42</w:t>
            </w:r>
          </w:p>
        </w:tc>
        <w:tc>
          <w:tcPr>
            <w:tcW w:w="1394" w:type="dxa"/>
            <w:tcBorders>
              <w:tl2br w:val="nil"/>
              <w:tr2bl w:val="nil"/>
            </w:tcBorders>
            <w:shd w:val="clear" w:color="auto" w:fill="auto"/>
            <w:vAlign w:val="center"/>
          </w:tcPr>
          <w:p w14:paraId="28A6E23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4.6~6.4</w:t>
            </w:r>
          </w:p>
        </w:tc>
        <w:tc>
          <w:tcPr>
            <w:tcW w:w="1373" w:type="dxa"/>
            <w:tcBorders>
              <w:tl2br w:val="nil"/>
              <w:tr2bl w:val="nil"/>
            </w:tcBorders>
            <w:shd w:val="clear" w:color="auto" w:fill="auto"/>
            <w:vAlign w:val="center"/>
          </w:tcPr>
          <w:p w14:paraId="4B26F93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0.0139~0.0219</w:t>
            </w:r>
          </w:p>
        </w:tc>
      </w:tr>
      <w:tr w14:paraId="740F28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2" w:type="dxa"/>
            <w:tcBorders>
              <w:tl2br w:val="nil"/>
              <w:tr2bl w:val="nil"/>
            </w:tcBorders>
            <w:vAlign w:val="center"/>
          </w:tcPr>
          <w:p w14:paraId="7FB2D485">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*搅拌机8#除尘器</w:t>
            </w:r>
          </w:p>
        </w:tc>
        <w:tc>
          <w:tcPr>
            <w:tcW w:w="924" w:type="dxa"/>
            <w:tcBorders>
              <w:tl2br w:val="nil"/>
              <w:tr2bl w:val="nil"/>
            </w:tcBorders>
            <w:vAlign w:val="center"/>
          </w:tcPr>
          <w:p w14:paraId="25EAFF8E">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出口</w:t>
            </w:r>
          </w:p>
        </w:tc>
        <w:tc>
          <w:tcPr>
            <w:tcW w:w="2010" w:type="dxa"/>
            <w:tcBorders>
              <w:tl2br w:val="nil"/>
              <w:tr2bl w:val="nil"/>
            </w:tcBorders>
            <w:vAlign w:val="center"/>
          </w:tcPr>
          <w:p w14:paraId="515E4FE6">
            <w:pPr>
              <w:pageBreakBefore w:val="0"/>
              <w:wordWrap/>
              <w:topLinePunct w:val="0"/>
              <w:bidi w:val="0"/>
              <w:spacing w:line="240" w:lineRule="auto"/>
              <w:ind w:firstLine="0" w:firstLineChars="0"/>
              <w:jc w:val="center"/>
              <w:rPr>
                <w:rFonts w:hint="eastAsia"/>
                <w:color w:val="000000" w:themeColor="text1"/>
                <w:sz w:val="21"/>
                <w:szCs w:val="21"/>
                <w:highlight w:val="none"/>
                <w:lang w:val="en-US" w:eastAsia="zh-CN"/>
              </w:rPr>
            </w:pPr>
            <w:r>
              <w:rPr>
                <w:rFonts w:hint="eastAsia"/>
                <w:color w:val="000000" w:themeColor="text1"/>
                <w:sz w:val="21"/>
                <w:szCs w:val="21"/>
                <w:highlight w:val="none"/>
                <w:lang w:val="en-US" w:eastAsia="zh-CN"/>
              </w:rPr>
              <w:t>2021.3.27~2021.3.28</w:t>
            </w:r>
          </w:p>
        </w:tc>
        <w:tc>
          <w:tcPr>
            <w:tcW w:w="1519" w:type="dxa"/>
            <w:tcBorders>
              <w:tl2br w:val="nil"/>
              <w:tr2bl w:val="nil"/>
            </w:tcBorders>
            <w:vAlign w:val="center"/>
          </w:tcPr>
          <w:p w14:paraId="1E3F5809">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3.24~3.38</w:t>
            </w:r>
          </w:p>
        </w:tc>
        <w:tc>
          <w:tcPr>
            <w:tcW w:w="1394" w:type="dxa"/>
            <w:tcBorders>
              <w:tl2br w:val="nil"/>
              <w:tr2bl w:val="nil"/>
            </w:tcBorders>
            <w:shd w:val="clear" w:color="auto" w:fill="auto"/>
            <w:vAlign w:val="center"/>
          </w:tcPr>
          <w:p w14:paraId="78D1FCB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3.8~6.1</w:t>
            </w:r>
          </w:p>
        </w:tc>
        <w:tc>
          <w:tcPr>
            <w:tcW w:w="1373" w:type="dxa"/>
            <w:tcBorders>
              <w:tl2br w:val="nil"/>
              <w:tr2bl w:val="nil"/>
            </w:tcBorders>
            <w:shd w:val="clear" w:color="auto" w:fill="auto"/>
            <w:vAlign w:val="center"/>
          </w:tcPr>
          <w:p w14:paraId="14EC7A3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0.0124~0.0204</w:t>
            </w:r>
          </w:p>
        </w:tc>
      </w:tr>
      <w:tr w14:paraId="03F4CA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522" w:type="dxa"/>
            <w:gridSpan w:val="6"/>
            <w:tcBorders>
              <w:tl2br w:val="nil"/>
              <w:tr2bl w:val="nil"/>
            </w:tcBorders>
            <w:vAlign w:val="center"/>
          </w:tcPr>
          <w:p w14:paraId="30EBE60E">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注：*排气筒进口不具备检测条件，生产负荷为95.3%~96.2%</w:t>
            </w:r>
          </w:p>
        </w:tc>
      </w:tr>
    </w:tbl>
    <w:p w14:paraId="2DD7CD83">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表3.3-</w:t>
      </w:r>
      <w:r>
        <w:rPr>
          <w:rFonts w:hint="eastAsia"/>
          <w:b/>
          <w:color w:val="000000" w:themeColor="text1"/>
          <w:highlight w:val="none"/>
          <w:lang w:val="en-US" w:eastAsia="zh-CN"/>
        </w:rPr>
        <w:t>5</w:t>
      </w:r>
      <w:r>
        <w:rPr>
          <w:b/>
          <w:color w:val="000000" w:themeColor="text1"/>
          <w:highlight w:val="none"/>
        </w:rPr>
        <w:t xml:space="preserve">  </w:t>
      </w:r>
      <w:r>
        <w:rPr>
          <w:rFonts w:hint="eastAsia"/>
          <w:b/>
          <w:color w:val="000000" w:themeColor="text1"/>
          <w:highlight w:val="none"/>
          <w:lang w:val="en-US" w:eastAsia="zh-CN"/>
        </w:rPr>
        <w:t>无组织废气检测结果一览表</w:t>
      </w:r>
    </w:p>
    <w:tbl>
      <w:tblPr>
        <w:tblStyle w:val="33"/>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2172"/>
        <w:gridCol w:w="2987"/>
        <w:gridCol w:w="3258"/>
      </w:tblGrid>
      <w:tr w14:paraId="6A225A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tcBorders>
              <w:tl2br w:val="nil"/>
              <w:tr2bl w:val="nil"/>
            </w:tcBorders>
            <w:vAlign w:val="center"/>
          </w:tcPr>
          <w:p w14:paraId="78E467C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检测时间</w:t>
            </w:r>
          </w:p>
        </w:tc>
        <w:tc>
          <w:tcPr>
            <w:tcW w:w="1774" w:type="pct"/>
            <w:tcBorders>
              <w:tl2br w:val="nil"/>
              <w:tr2bl w:val="nil"/>
            </w:tcBorders>
            <w:vAlign w:val="center"/>
          </w:tcPr>
          <w:p w14:paraId="6B9BABCA">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检测位置</w:t>
            </w:r>
          </w:p>
        </w:tc>
        <w:tc>
          <w:tcPr>
            <w:tcW w:w="1935" w:type="pct"/>
            <w:tcBorders>
              <w:tl2br w:val="nil"/>
              <w:tr2bl w:val="nil"/>
            </w:tcBorders>
            <w:vAlign w:val="center"/>
          </w:tcPr>
          <w:p w14:paraId="08B6314B">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颗粒物浓度（mg</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w:t>
            </w:r>
          </w:p>
        </w:tc>
      </w:tr>
      <w:tr w14:paraId="5192F0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restart"/>
            <w:tcBorders>
              <w:tl2br w:val="nil"/>
              <w:tr2bl w:val="nil"/>
            </w:tcBorders>
            <w:vAlign w:val="center"/>
          </w:tcPr>
          <w:p w14:paraId="47E35445">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2021.3.27</w:t>
            </w:r>
          </w:p>
        </w:tc>
        <w:tc>
          <w:tcPr>
            <w:tcW w:w="1774" w:type="pct"/>
            <w:tcBorders>
              <w:tl2br w:val="nil"/>
              <w:tr2bl w:val="nil"/>
            </w:tcBorders>
            <w:vAlign w:val="center"/>
          </w:tcPr>
          <w:p w14:paraId="3A49B3B2">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上风向</w:t>
            </w:r>
          </w:p>
        </w:tc>
        <w:tc>
          <w:tcPr>
            <w:tcW w:w="1935" w:type="pct"/>
            <w:tcBorders>
              <w:tl2br w:val="nil"/>
              <w:tr2bl w:val="nil"/>
            </w:tcBorders>
            <w:vAlign w:val="center"/>
          </w:tcPr>
          <w:p w14:paraId="2EE95EF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0.296~0.462</w:t>
            </w:r>
          </w:p>
        </w:tc>
      </w:tr>
      <w:tr w14:paraId="0C1D3B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continue"/>
            <w:tcBorders>
              <w:tl2br w:val="nil"/>
              <w:tr2bl w:val="nil"/>
            </w:tcBorders>
            <w:vAlign w:val="center"/>
          </w:tcPr>
          <w:p w14:paraId="244F028C">
            <w:pPr>
              <w:pageBreakBefore w:val="0"/>
              <w:wordWrap/>
              <w:topLinePunct w:val="0"/>
              <w:bidi w:val="0"/>
              <w:spacing w:line="240" w:lineRule="auto"/>
              <w:ind w:firstLine="0" w:firstLineChars="0"/>
              <w:jc w:val="center"/>
              <w:rPr>
                <w:color w:val="000000" w:themeColor="text1"/>
                <w:sz w:val="21"/>
                <w:szCs w:val="21"/>
                <w:highlight w:val="none"/>
              </w:rPr>
            </w:pPr>
          </w:p>
        </w:tc>
        <w:tc>
          <w:tcPr>
            <w:tcW w:w="1774" w:type="pct"/>
            <w:tcBorders>
              <w:tl2br w:val="nil"/>
              <w:tr2bl w:val="nil"/>
            </w:tcBorders>
            <w:vAlign w:val="center"/>
          </w:tcPr>
          <w:p w14:paraId="5B0D7BD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下风向1#</w:t>
            </w:r>
          </w:p>
        </w:tc>
        <w:tc>
          <w:tcPr>
            <w:tcW w:w="1935" w:type="pct"/>
            <w:tcBorders>
              <w:tl2br w:val="nil"/>
              <w:tr2bl w:val="nil"/>
            </w:tcBorders>
            <w:vAlign w:val="center"/>
          </w:tcPr>
          <w:p w14:paraId="65C450EC">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0.312~0.387</w:t>
            </w:r>
          </w:p>
        </w:tc>
      </w:tr>
      <w:tr w14:paraId="09B0CD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continue"/>
            <w:tcBorders>
              <w:tl2br w:val="nil"/>
              <w:tr2bl w:val="nil"/>
            </w:tcBorders>
            <w:vAlign w:val="center"/>
          </w:tcPr>
          <w:p w14:paraId="2EA560C3">
            <w:pPr>
              <w:pageBreakBefore w:val="0"/>
              <w:wordWrap/>
              <w:topLinePunct w:val="0"/>
              <w:bidi w:val="0"/>
              <w:spacing w:line="240" w:lineRule="auto"/>
              <w:ind w:firstLine="0" w:firstLineChars="0"/>
              <w:jc w:val="center"/>
              <w:rPr>
                <w:color w:val="000000" w:themeColor="text1"/>
                <w:sz w:val="21"/>
                <w:szCs w:val="21"/>
                <w:highlight w:val="none"/>
              </w:rPr>
            </w:pPr>
          </w:p>
        </w:tc>
        <w:tc>
          <w:tcPr>
            <w:tcW w:w="1774" w:type="pct"/>
            <w:tcBorders>
              <w:tl2br w:val="nil"/>
              <w:tr2bl w:val="nil"/>
            </w:tcBorders>
            <w:vAlign w:val="center"/>
          </w:tcPr>
          <w:p w14:paraId="757D65E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下风向2#</w:t>
            </w:r>
          </w:p>
        </w:tc>
        <w:tc>
          <w:tcPr>
            <w:tcW w:w="1935" w:type="pct"/>
            <w:tcBorders>
              <w:tl2br w:val="nil"/>
              <w:tr2bl w:val="nil"/>
            </w:tcBorders>
            <w:vAlign w:val="center"/>
          </w:tcPr>
          <w:p w14:paraId="15A9D50D">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0.319~0.399</w:t>
            </w:r>
          </w:p>
        </w:tc>
      </w:tr>
      <w:tr w14:paraId="24AD0D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continue"/>
            <w:tcBorders>
              <w:tl2br w:val="nil"/>
              <w:tr2bl w:val="nil"/>
            </w:tcBorders>
            <w:vAlign w:val="center"/>
          </w:tcPr>
          <w:p w14:paraId="1EBCAAE6">
            <w:pPr>
              <w:pageBreakBefore w:val="0"/>
              <w:wordWrap/>
              <w:topLinePunct w:val="0"/>
              <w:bidi w:val="0"/>
              <w:spacing w:line="240" w:lineRule="auto"/>
              <w:ind w:firstLine="0" w:firstLineChars="0"/>
              <w:jc w:val="center"/>
              <w:rPr>
                <w:color w:val="000000" w:themeColor="text1"/>
                <w:sz w:val="21"/>
                <w:szCs w:val="21"/>
                <w:highlight w:val="none"/>
              </w:rPr>
            </w:pPr>
          </w:p>
        </w:tc>
        <w:tc>
          <w:tcPr>
            <w:tcW w:w="1774" w:type="pct"/>
            <w:tcBorders>
              <w:tl2br w:val="nil"/>
              <w:tr2bl w:val="nil"/>
            </w:tcBorders>
            <w:vAlign w:val="center"/>
          </w:tcPr>
          <w:p w14:paraId="5369C8B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下风向3#</w:t>
            </w:r>
          </w:p>
        </w:tc>
        <w:tc>
          <w:tcPr>
            <w:tcW w:w="1935" w:type="pct"/>
            <w:tcBorders>
              <w:tl2br w:val="nil"/>
              <w:tr2bl w:val="nil"/>
            </w:tcBorders>
            <w:vAlign w:val="center"/>
          </w:tcPr>
          <w:p w14:paraId="2639B1C1">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0.248~0.406</w:t>
            </w:r>
          </w:p>
        </w:tc>
      </w:tr>
      <w:tr w14:paraId="761B1F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restart"/>
            <w:tcBorders>
              <w:tl2br w:val="nil"/>
              <w:tr2bl w:val="nil"/>
            </w:tcBorders>
            <w:vAlign w:val="center"/>
          </w:tcPr>
          <w:p w14:paraId="01A876D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2021.3.28</w:t>
            </w:r>
          </w:p>
        </w:tc>
        <w:tc>
          <w:tcPr>
            <w:tcW w:w="1774" w:type="pct"/>
            <w:tcBorders>
              <w:tl2br w:val="nil"/>
              <w:tr2bl w:val="nil"/>
            </w:tcBorders>
            <w:shd w:val="clear" w:color="auto" w:fill="auto"/>
            <w:vAlign w:val="center"/>
          </w:tcPr>
          <w:p w14:paraId="1BCFE3BA">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上风向</w:t>
            </w:r>
          </w:p>
        </w:tc>
        <w:tc>
          <w:tcPr>
            <w:tcW w:w="1935" w:type="pct"/>
            <w:tcBorders>
              <w:tl2br w:val="nil"/>
              <w:tr2bl w:val="nil"/>
            </w:tcBorders>
            <w:vAlign w:val="center"/>
          </w:tcPr>
          <w:p w14:paraId="1EFE61E9">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0.279~0.404</w:t>
            </w:r>
          </w:p>
        </w:tc>
      </w:tr>
      <w:tr w14:paraId="1E7F91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continue"/>
            <w:tcBorders>
              <w:tl2br w:val="nil"/>
              <w:tr2bl w:val="nil"/>
            </w:tcBorders>
            <w:vAlign w:val="center"/>
          </w:tcPr>
          <w:p w14:paraId="297261F5">
            <w:pPr>
              <w:pageBreakBefore w:val="0"/>
              <w:wordWrap/>
              <w:topLinePunct w:val="0"/>
              <w:bidi w:val="0"/>
              <w:spacing w:line="240" w:lineRule="auto"/>
              <w:ind w:firstLine="0" w:firstLineChars="0"/>
              <w:jc w:val="center"/>
              <w:rPr>
                <w:color w:val="000000" w:themeColor="text1"/>
                <w:sz w:val="21"/>
                <w:szCs w:val="21"/>
                <w:highlight w:val="none"/>
              </w:rPr>
            </w:pPr>
          </w:p>
        </w:tc>
        <w:tc>
          <w:tcPr>
            <w:tcW w:w="1774" w:type="pct"/>
            <w:tcBorders>
              <w:tl2br w:val="nil"/>
              <w:tr2bl w:val="nil"/>
            </w:tcBorders>
            <w:shd w:val="clear" w:color="auto" w:fill="auto"/>
            <w:vAlign w:val="center"/>
          </w:tcPr>
          <w:p w14:paraId="0CA717B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下风向1#</w:t>
            </w:r>
          </w:p>
        </w:tc>
        <w:tc>
          <w:tcPr>
            <w:tcW w:w="1935" w:type="pct"/>
            <w:tcBorders>
              <w:tl2br w:val="nil"/>
              <w:tr2bl w:val="nil"/>
            </w:tcBorders>
            <w:vAlign w:val="center"/>
          </w:tcPr>
          <w:p w14:paraId="4526D92A">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0.216~0.412</w:t>
            </w:r>
          </w:p>
        </w:tc>
      </w:tr>
      <w:tr w14:paraId="59CE9D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continue"/>
            <w:tcBorders>
              <w:tl2br w:val="nil"/>
              <w:tr2bl w:val="nil"/>
            </w:tcBorders>
            <w:vAlign w:val="center"/>
          </w:tcPr>
          <w:p w14:paraId="1B3E91FA">
            <w:pPr>
              <w:pageBreakBefore w:val="0"/>
              <w:wordWrap/>
              <w:topLinePunct w:val="0"/>
              <w:bidi w:val="0"/>
              <w:spacing w:line="240" w:lineRule="auto"/>
              <w:ind w:firstLine="0" w:firstLineChars="0"/>
              <w:jc w:val="center"/>
              <w:rPr>
                <w:color w:val="000000" w:themeColor="text1"/>
                <w:sz w:val="21"/>
                <w:szCs w:val="21"/>
                <w:highlight w:val="none"/>
              </w:rPr>
            </w:pPr>
          </w:p>
        </w:tc>
        <w:tc>
          <w:tcPr>
            <w:tcW w:w="1774" w:type="pct"/>
            <w:tcBorders>
              <w:tl2br w:val="nil"/>
              <w:tr2bl w:val="nil"/>
            </w:tcBorders>
            <w:shd w:val="clear" w:color="auto" w:fill="auto"/>
            <w:vAlign w:val="center"/>
          </w:tcPr>
          <w:p w14:paraId="79DB1F8D">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下风向2#</w:t>
            </w:r>
          </w:p>
        </w:tc>
        <w:tc>
          <w:tcPr>
            <w:tcW w:w="1935" w:type="pct"/>
            <w:tcBorders>
              <w:tl2br w:val="nil"/>
              <w:tr2bl w:val="nil"/>
            </w:tcBorders>
            <w:vAlign w:val="center"/>
          </w:tcPr>
          <w:p w14:paraId="5ED3220A">
            <w:pPr>
              <w:pageBreakBefore w:val="0"/>
              <w:wordWrap/>
              <w:topLinePunct w:val="0"/>
              <w:bidi w:val="0"/>
              <w:spacing w:line="240" w:lineRule="auto"/>
              <w:ind w:firstLine="0" w:firstLineChars="0"/>
              <w:jc w:val="center"/>
              <w:rPr>
                <w:rFonts w:hint="default"/>
                <w:color w:val="000000" w:themeColor="text1"/>
                <w:sz w:val="21"/>
                <w:szCs w:val="21"/>
                <w:highlight w:val="none"/>
                <w:lang w:val="en-US"/>
              </w:rPr>
            </w:pPr>
            <w:r>
              <w:rPr>
                <w:rFonts w:hint="eastAsia"/>
                <w:color w:val="000000" w:themeColor="text1"/>
                <w:sz w:val="21"/>
                <w:szCs w:val="21"/>
                <w:highlight w:val="none"/>
                <w:lang w:val="en-US" w:eastAsia="zh-CN"/>
              </w:rPr>
              <w:t>0.300~0.349</w:t>
            </w:r>
          </w:p>
        </w:tc>
      </w:tr>
      <w:tr w14:paraId="207B86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290" w:type="pct"/>
            <w:vMerge w:val="continue"/>
            <w:tcBorders>
              <w:tl2br w:val="nil"/>
              <w:tr2bl w:val="nil"/>
            </w:tcBorders>
            <w:vAlign w:val="center"/>
          </w:tcPr>
          <w:p w14:paraId="29801919">
            <w:pPr>
              <w:pageBreakBefore w:val="0"/>
              <w:wordWrap/>
              <w:topLinePunct w:val="0"/>
              <w:bidi w:val="0"/>
              <w:spacing w:line="240" w:lineRule="auto"/>
              <w:ind w:firstLine="0" w:firstLineChars="0"/>
              <w:jc w:val="center"/>
              <w:rPr>
                <w:color w:val="000000" w:themeColor="text1"/>
                <w:sz w:val="21"/>
                <w:szCs w:val="21"/>
                <w:highlight w:val="none"/>
              </w:rPr>
            </w:pPr>
          </w:p>
        </w:tc>
        <w:tc>
          <w:tcPr>
            <w:tcW w:w="1774" w:type="pct"/>
            <w:tcBorders>
              <w:tl2br w:val="nil"/>
              <w:tr2bl w:val="nil"/>
            </w:tcBorders>
            <w:shd w:val="clear" w:color="auto" w:fill="auto"/>
            <w:vAlign w:val="center"/>
          </w:tcPr>
          <w:p w14:paraId="581DA49B">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下风向3#</w:t>
            </w:r>
          </w:p>
        </w:tc>
        <w:tc>
          <w:tcPr>
            <w:tcW w:w="1935" w:type="pct"/>
            <w:tcBorders>
              <w:tl2br w:val="nil"/>
              <w:tr2bl w:val="nil"/>
            </w:tcBorders>
            <w:vAlign w:val="center"/>
          </w:tcPr>
          <w:p w14:paraId="07380DC6">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0.296~0.369</w:t>
            </w:r>
          </w:p>
        </w:tc>
      </w:tr>
    </w:tbl>
    <w:p w14:paraId="6EE8241B">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由上表可知，“渑淅高速渑池至洛宁段MLTJ-3标1#混凝土拌合站及预制梁场项目”原料库、筒仓和搅拌机排气筒出口颗粒物有组织排放最大浓度值为7.1mg/m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，颗粒物无组织排放浓度最大浓度值为0.462mg/m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，均满足《水泥工业大气污染物排放标准》（GB4915-2013）中的颗粒物排放标准限值（有组织排放限值20mg/m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；无组织排放限值0.5mg/m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w:t>
      </w:r>
    </w:p>
    <w:p w14:paraId="252B2C2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为高速公路项目，混凝土拌合站原料库、筒仓和搅拌机设置以及采取的除尘措施与“渑淅高速渑池至洛宁段MLTJ-3标”基本类同，因此本项目各标段施工单位在采取严格的密闭和除尘措施的情况下，颗粒物排放浓度可以满足《水泥工业大气污染物排放标准》（GB4915-2013）中的颗粒物排放标准限值（有组织排放限值20mg/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；无组织排放限值0.5mg/m</w:t>
      </w:r>
      <w:r>
        <w:rPr>
          <w:rFonts w:hint="eastAsia"/>
          <w:color w:val="000000" w:themeColor="text1"/>
          <w:highlight w:val="none"/>
          <w:vertAlign w:val="superscript"/>
          <w:lang w:val="en-US" w:eastAsia="zh-CN"/>
        </w:rPr>
        <w:t>3</w:t>
      </w:r>
      <w:r>
        <w:rPr>
          <w:rFonts w:hint="eastAsia"/>
          <w:color w:val="000000" w:themeColor="text1"/>
          <w:highlight w:val="none"/>
          <w:lang w:val="en-US" w:eastAsia="zh-CN"/>
        </w:rPr>
        <w:t>）。</w:t>
      </w:r>
    </w:p>
    <w:p w14:paraId="25101905">
      <w:pPr>
        <w:pageBreakBefore w:val="0"/>
        <w:wordWrap/>
        <w:topLinePunct w:val="0"/>
        <w:bidi w:val="0"/>
        <w:spacing w:line="360" w:lineRule="auto"/>
        <w:rPr>
          <w:color w:val="000000" w:themeColor="text1"/>
          <w:kern w:val="2"/>
          <w:sz w:val="24"/>
          <w:highlight w:val="none"/>
        </w:rPr>
      </w:pPr>
      <w:r>
        <w:rPr>
          <w:color w:val="000000" w:themeColor="text1"/>
          <w:kern w:val="2"/>
          <w:sz w:val="24"/>
          <w:highlight w:val="none"/>
        </w:rPr>
        <w:t>（</w:t>
      </w:r>
      <w:r>
        <w:rPr>
          <w:rFonts w:hint="eastAsia"/>
          <w:color w:val="000000" w:themeColor="text1"/>
          <w:kern w:val="2"/>
          <w:sz w:val="24"/>
          <w:highlight w:val="none"/>
        </w:rPr>
        <w:t>3</w:t>
      </w:r>
      <w:r>
        <w:rPr>
          <w:color w:val="000000" w:themeColor="text1"/>
          <w:kern w:val="2"/>
          <w:sz w:val="24"/>
          <w:highlight w:val="none"/>
        </w:rPr>
        <w:t>）</w:t>
      </w:r>
      <w:r>
        <w:rPr>
          <w:rFonts w:hint="eastAsia"/>
          <w:color w:val="000000" w:themeColor="text1"/>
          <w:kern w:val="2"/>
          <w:sz w:val="24"/>
          <w:highlight w:val="none"/>
        </w:rPr>
        <w:t>沥青拌合站</w:t>
      </w:r>
      <w:r>
        <w:rPr>
          <w:color w:val="000000" w:themeColor="text1"/>
          <w:kern w:val="2"/>
          <w:sz w:val="24"/>
          <w:highlight w:val="none"/>
        </w:rPr>
        <w:t>沥青烟</w:t>
      </w:r>
    </w:p>
    <w:p w14:paraId="62EDB0AA">
      <w:pPr>
        <w:pageBreakBefore w:val="0"/>
        <w:wordWrap/>
        <w:topLinePunct w:val="0"/>
        <w:bidi w:val="0"/>
        <w:spacing w:line="360" w:lineRule="auto"/>
        <w:rPr>
          <w:color w:val="000000" w:themeColor="text1"/>
          <w:kern w:val="2"/>
          <w:sz w:val="24"/>
          <w:highlight w:val="none"/>
        </w:rPr>
      </w:pPr>
      <w:r>
        <w:rPr>
          <w:color w:val="000000" w:themeColor="text1"/>
          <w:kern w:val="2"/>
          <w:sz w:val="24"/>
          <w:highlight w:val="none"/>
        </w:rPr>
        <w:t>本项目施工期间沥青熬制和搅拌过程中将有沥青烟排出，沥青烟气中主要的有毒有害物质是THC和3，4-苯并芘</w:t>
      </w:r>
      <w:r>
        <w:rPr>
          <w:rFonts w:hint="eastAsia"/>
          <w:color w:val="000000" w:themeColor="text1"/>
          <w:kern w:val="2"/>
          <w:sz w:val="24"/>
          <w:highlight w:val="none"/>
        </w:rPr>
        <w:t>等，本项目设置</w:t>
      </w:r>
      <w:r>
        <w:rPr>
          <w:rFonts w:hint="eastAsia"/>
          <w:color w:val="000000" w:themeColor="text1"/>
          <w:kern w:val="2"/>
          <w:sz w:val="24"/>
          <w:highlight w:val="none"/>
          <w:lang w:val="en-US" w:eastAsia="zh-CN"/>
        </w:rPr>
        <w:t>1</w:t>
      </w:r>
      <w:r>
        <w:rPr>
          <w:rFonts w:hint="eastAsia"/>
          <w:color w:val="000000" w:themeColor="text1"/>
          <w:kern w:val="2"/>
          <w:sz w:val="24"/>
          <w:highlight w:val="none"/>
        </w:rPr>
        <w:t>处沥青面层拌合站，沥青拌合站搅拌机楼采用全封闭设计，并设有沥青烟回收装置，采用风机将产生的沥青烟导入沥青拌合站的柴油燃烧器中燃烧，沥青烟处理效率可达99.5%以上，项目烘干滚筒产生的颗粒物与燃烧器产生废气通入搅拌楼里与搅拌楼废气一同引入除尘效率为99%的布袋除尘后净化沥青烟颗粒、苯并[a]芘等，处理后的混合气体通过引风机（总风量为10000m</w:t>
      </w:r>
      <w:r>
        <w:rPr>
          <w:rFonts w:hint="eastAsia"/>
          <w:color w:val="000000" w:themeColor="text1"/>
          <w:kern w:val="2"/>
          <w:sz w:val="24"/>
          <w:highlight w:val="none"/>
          <w:vertAlign w:val="superscript"/>
        </w:rPr>
        <w:t>3</w:t>
      </w:r>
      <w:r>
        <w:rPr>
          <w:rFonts w:hint="eastAsia"/>
          <w:color w:val="000000" w:themeColor="text1"/>
          <w:kern w:val="2"/>
          <w:sz w:val="24"/>
          <w:highlight w:val="none"/>
        </w:rPr>
        <w:t>/h）引至15m高排气筒（DA001）排放。治理后满足《大气污染物综合排放标准》表2</w:t>
      </w:r>
      <w:r>
        <w:rPr>
          <w:rFonts w:hint="eastAsia"/>
          <w:color w:val="000000" w:themeColor="text1"/>
          <w:kern w:val="2"/>
          <w:sz w:val="24"/>
          <w:highlight w:val="none"/>
          <w:lang w:val="en-US" w:eastAsia="zh-CN"/>
        </w:rPr>
        <w:t>中的二级</w:t>
      </w:r>
      <w:r>
        <w:rPr>
          <w:rFonts w:hint="eastAsia"/>
          <w:color w:val="000000" w:themeColor="text1"/>
          <w:kern w:val="2"/>
          <w:sz w:val="24"/>
          <w:highlight w:val="none"/>
        </w:rPr>
        <w:t>标准。</w:t>
      </w:r>
    </w:p>
    <w:p w14:paraId="2B599003">
      <w:pPr>
        <w:pageBreakBefore w:val="0"/>
        <w:wordWrap/>
        <w:topLinePunct w:val="0"/>
        <w:bidi w:val="0"/>
        <w:spacing w:line="360" w:lineRule="auto"/>
        <w:rPr>
          <w:color w:val="000000" w:themeColor="text1"/>
          <w:highlight w:val="none"/>
        </w:rPr>
      </w:pPr>
      <w:r>
        <w:rPr>
          <w:rFonts w:hint="eastAsia"/>
          <w:color w:val="000000" w:themeColor="text1"/>
          <w:highlight w:val="none"/>
        </w:rPr>
        <w:t>沥青烟</w:t>
      </w:r>
      <w:r>
        <w:rPr>
          <w:color w:val="000000" w:themeColor="text1"/>
          <w:highlight w:val="none"/>
        </w:rPr>
        <w:t>污染源强</w:t>
      </w:r>
      <w:r>
        <w:rPr>
          <w:rFonts w:hint="eastAsia"/>
          <w:color w:val="000000" w:themeColor="text1"/>
          <w:highlight w:val="none"/>
        </w:rPr>
        <w:t>类比《双河市鑫文华沥青拌合站建设项目竣工环境保护验收监测报告表》（</w:t>
      </w:r>
      <w:r>
        <w:rPr>
          <w:color w:val="000000" w:themeColor="text1"/>
          <w:highlight w:val="none"/>
        </w:rPr>
        <w:t>该项目生产规模为</w:t>
      </w:r>
      <w:r>
        <w:rPr>
          <w:rFonts w:hint="eastAsia"/>
          <w:color w:val="000000" w:themeColor="text1"/>
          <w:highlight w:val="none"/>
        </w:rPr>
        <w:t>90t/h，</w:t>
      </w:r>
      <w:r>
        <w:rPr>
          <w:color w:val="000000" w:themeColor="text1"/>
          <w:highlight w:val="none"/>
        </w:rPr>
        <w:t>生产工艺、设备、原料、产品、废气治理措施、污染物排放种类与本项目完全一致，该</w:t>
      </w:r>
      <w:r>
        <w:rPr>
          <w:color w:val="000000" w:themeColor="text1"/>
          <w:szCs w:val="22"/>
          <w:highlight w:val="none"/>
        </w:rPr>
        <w:t>项目于20</w:t>
      </w:r>
      <w:r>
        <w:rPr>
          <w:rFonts w:hint="eastAsia"/>
          <w:color w:val="000000" w:themeColor="text1"/>
          <w:szCs w:val="22"/>
          <w:highlight w:val="none"/>
        </w:rPr>
        <w:t>21</w:t>
      </w:r>
      <w:r>
        <w:rPr>
          <w:color w:val="000000" w:themeColor="text1"/>
          <w:szCs w:val="22"/>
          <w:highlight w:val="none"/>
        </w:rPr>
        <w:t>年</w:t>
      </w:r>
      <w:r>
        <w:rPr>
          <w:rFonts w:hint="eastAsia"/>
          <w:color w:val="000000" w:themeColor="text1"/>
          <w:szCs w:val="22"/>
          <w:highlight w:val="none"/>
        </w:rPr>
        <w:t>12</w:t>
      </w:r>
      <w:r>
        <w:rPr>
          <w:color w:val="000000" w:themeColor="text1"/>
          <w:szCs w:val="22"/>
          <w:highlight w:val="none"/>
        </w:rPr>
        <w:t>月11日通过环保工程竣工验收</w:t>
      </w:r>
      <w:r>
        <w:rPr>
          <w:rFonts w:hint="eastAsia"/>
          <w:color w:val="000000" w:themeColor="text1"/>
          <w:highlight w:val="none"/>
        </w:rPr>
        <w:t>）及《瑞欣（陕西）沥青材料有限公司公路工程环保建材生产项目暨沥青拌合站配套的建筑用石料研磨修型项目竣工环境保护验收监测报告表》（</w:t>
      </w:r>
      <w:r>
        <w:rPr>
          <w:color w:val="000000" w:themeColor="text1"/>
          <w:highlight w:val="none"/>
        </w:rPr>
        <w:t>该项目生产规模为</w:t>
      </w:r>
      <w:r>
        <w:rPr>
          <w:rFonts w:hint="eastAsia"/>
          <w:color w:val="000000" w:themeColor="text1"/>
          <w:highlight w:val="none"/>
        </w:rPr>
        <w:t>200t/h，</w:t>
      </w:r>
      <w:r>
        <w:rPr>
          <w:color w:val="000000" w:themeColor="text1"/>
          <w:highlight w:val="none"/>
        </w:rPr>
        <w:t>生产工艺、设备、原料、产品、废气治理措施、污染物排放种类与本项目完全一致，该</w:t>
      </w:r>
      <w:r>
        <w:rPr>
          <w:color w:val="000000" w:themeColor="text1"/>
          <w:szCs w:val="22"/>
          <w:highlight w:val="none"/>
        </w:rPr>
        <w:t>项目于20</w:t>
      </w:r>
      <w:r>
        <w:rPr>
          <w:rFonts w:hint="eastAsia"/>
          <w:color w:val="000000" w:themeColor="text1"/>
          <w:szCs w:val="22"/>
          <w:highlight w:val="none"/>
        </w:rPr>
        <w:t>21</w:t>
      </w:r>
      <w:r>
        <w:rPr>
          <w:color w:val="000000" w:themeColor="text1"/>
          <w:szCs w:val="22"/>
          <w:highlight w:val="none"/>
        </w:rPr>
        <w:t>年</w:t>
      </w:r>
      <w:r>
        <w:rPr>
          <w:rFonts w:hint="eastAsia"/>
          <w:color w:val="000000" w:themeColor="text1"/>
          <w:szCs w:val="22"/>
          <w:highlight w:val="none"/>
        </w:rPr>
        <w:t>12</w:t>
      </w:r>
      <w:r>
        <w:rPr>
          <w:color w:val="000000" w:themeColor="text1"/>
          <w:szCs w:val="22"/>
          <w:highlight w:val="none"/>
        </w:rPr>
        <w:t>月通过环保工程竣工验收</w:t>
      </w:r>
      <w:r>
        <w:rPr>
          <w:rFonts w:hint="eastAsia"/>
          <w:color w:val="000000" w:themeColor="text1"/>
          <w:highlight w:val="none"/>
        </w:rPr>
        <w:t>）监测结果</w:t>
      </w:r>
      <w:r>
        <w:rPr>
          <w:color w:val="000000" w:themeColor="text1"/>
          <w:szCs w:val="22"/>
          <w:highlight w:val="none"/>
        </w:rPr>
        <w:t>，根据竣工验收监测结果</w:t>
      </w:r>
      <w:r>
        <w:rPr>
          <w:rFonts w:hint="eastAsia"/>
          <w:color w:val="000000" w:themeColor="text1"/>
          <w:highlight w:val="none"/>
        </w:rPr>
        <w:t>，沥青拌合楼废气苯并（a）芘排放浓度为0.02~0.0756ug/m</w:t>
      </w:r>
      <w:r>
        <w:rPr>
          <w:rFonts w:hint="eastAsia"/>
          <w:color w:val="000000" w:themeColor="text1"/>
          <w:highlight w:val="none"/>
          <w:vertAlign w:val="superscript"/>
        </w:rPr>
        <w:t>3</w:t>
      </w:r>
      <w:r>
        <w:rPr>
          <w:rFonts w:hint="eastAsia"/>
          <w:color w:val="000000" w:themeColor="text1"/>
          <w:highlight w:val="none"/>
        </w:rPr>
        <w:t>、非甲烷总烃排放浓度为8.23m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、SO</w:t>
      </w:r>
      <w:r>
        <w:rPr>
          <w:rFonts w:hint="eastAsia"/>
          <w:color w:val="000000" w:themeColor="text1"/>
          <w:highlight w:val="none"/>
          <w:vertAlign w:val="subscript"/>
        </w:rPr>
        <w:t>2</w:t>
      </w:r>
      <w:r>
        <w:rPr>
          <w:rFonts w:hint="eastAsia"/>
          <w:color w:val="000000" w:themeColor="text1"/>
          <w:highlight w:val="none"/>
        </w:rPr>
        <w:t>排放浓度为26~52m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、颗粒物排放浓度为7.5~31.2m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、NO</w:t>
      </w:r>
      <w:r>
        <w:rPr>
          <w:rFonts w:hint="eastAsia"/>
          <w:color w:val="000000" w:themeColor="text1"/>
          <w:highlight w:val="none"/>
          <w:vertAlign w:val="subscript"/>
        </w:rPr>
        <w:t>X</w:t>
      </w:r>
      <w:r>
        <w:rPr>
          <w:rFonts w:hint="eastAsia"/>
          <w:color w:val="000000" w:themeColor="text1"/>
          <w:highlight w:val="none"/>
        </w:rPr>
        <w:t>排放浓度为27~209m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及沥青烟排放浓度为15.9~17.8m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均满足《大气污染物综合排放标准》（GB16297-1996）表2标准中要求。无组织监测结果表明</w:t>
      </w:r>
      <w:r>
        <w:rPr>
          <w:color w:val="000000" w:themeColor="text1"/>
          <w:highlight w:val="none"/>
        </w:rPr>
        <w:t>，</w:t>
      </w:r>
      <w:r>
        <w:rPr>
          <w:rFonts w:hint="eastAsia"/>
          <w:color w:val="000000" w:themeColor="text1"/>
          <w:highlight w:val="none"/>
        </w:rPr>
        <w:t>厂界上、下风向，厂界外</w:t>
      </w:r>
      <w:r>
        <w:rPr>
          <w:color w:val="000000" w:themeColor="text1"/>
          <w:highlight w:val="none"/>
        </w:rPr>
        <w:t>苯并[a]芘</w:t>
      </w:r>
      <w:r>
        <w:rPr>
          <w:rFonts w:hint="eastAsia"/>
          <w:color w:val="000000" w:themeColor="text1"/>
          <w:highlight w:val="none"/>
        </w:rPr>
        <w:t>最大</w:t>
      </w:r>
      <w:r>
        <w:rPr>
          <w:color w:val="000000" w:themeColor="text1"/>
          <w:highlight w:val="none"/>
        </w:rPr>
        <w:t>浓度</w:t>
      </w:r>
      <w:r>
        <w:rPr>
          <w:rFonts w:hint="eastAsia"/>
          <w:color w:val="000000" w:themeColor="text1"/>
          <w:highlight w:val="none"/>
        </w:rPr>
        <w:t>值小于1.3</w:t>
      </w:r>
      <w:r>
        <w:rPr>
          <w:color w:val="000000" w:themeColor="text1"/>
          <w:highlight w:val="none"/>
        </w:rPr>
        <w:t>ng/m</w:t>
      </w:r>
      <w:r>
        <w:rPr>
          <w:color w:val="000000" w:themeColor="text1"/>
          <w:highlight w:val="none"/>
          <w:vertAlign w:val="superscript"/>
        </w:rPr>
        <w:t>3</w:t>
      </w:r>
      <w:r>
        <w:rPr>
          <w:color w:val="000000" w:themeColor="text1"/>
          <w:highlight w:val="none"/>
        </w:rPr>
        <w:t>，</w:t>
      </w:r>
      <w:r>
        <w:rPr>
          <w:rFonts w:hint="eastAsia"/>
          <w:color w:val="000000" w:themeColor="text1"/>
          <w:highlight w:val="none"/>
        </w:rPr>
        <w:t>厂界外非甲烷总烃最大</w:t>
      </w:r>
      <w:r>
        <w:rPr>
          <w:color w:val="000000" w:themeColor="text1"/>
          <w:highlight w:val="none"/>
        </w:rPr>
        <w:t>浓度</w:t>
      </w:r>
      <w:r>
        <w:rPr>
          <w:rFonts w:hint="eastAsia"/>
          <w:color w:val="000000" w:themeColor="text1"/>
          <w:highlight w:val="none"/>
        </w:rPr>
        <w:t>值小于1.97m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，厂界外颗粒物最大</w:t>
      </w:r>
      <w:r>
        <w:rPr>
          <w:color w:val="000000" w:themeColor="text1"/>
          <w:highlight w:val="none"/>
        </w:rPr>
        <w:t>浓度</w:t>
      </w:r>
      <w:r>
        <w:rPr>
          <w:rFonts w:hint="eastAsia"/>
          <w:color w:val="000000" w:themeColor="text1"/>
          <w:highlight w:val="none"/>
        </w:rPr>
        <w:t>值0.166~0.300m</w:t>
      </w:r>
      <w:r>
        <w:rPr>
          <w:color w:val="000000" w:themeColor="text1"/>
          <w:highlight w:val="none"/>
        </w:rPr>
        <w:t>g/m</w:t>
      </w:r>
      <w:r>
        <w:rPr>
          <w:color w:val="000000" w:themeColor="text1"/>
          <w:highlight w:val="none"/>
          <w:vertAlign w:val="superscript"/>
        </w:rPr>
        <w:t>3</w:t>
      </w:r>
      <w:r>
        <w:rPr>
          <w:rFonts w:hint="eastAsia"/>
          <w:color w:val="000000" w:themeColor="text1"/>
          <w:highlight w:val="none"/>
        </w:rPr>
        <w:t>，</w:t>
      </w:r>
      <w:r>
        <w:rPr>
          <w:color w:val="000000" w:themeColor="text1"/>
          <w:highlight w:val="none"/>
        </w:rPr>
        <w:t>满足《大气污染物综合排放标准》（GB16297-2012）表2</w:t>
      </w:r>
      <w:r>
        <w:rPr>
          <w:rFonts w:hint="eastAsia"/>
          <w:color w:val="000000" w:themeColor="text1"/>
          <w:highlight w:val="none"/>
        </w:rPr>
        <w:t>中的二级</w:t>
      </w:r>
      <w:r>
        <w:rPr>
          <w:color w:val="000000" w:themeColor="text1"/>
          <w:highlight w:val="none"/>
        </w:rPr>
        <w:t>标准。</w:t>
      </w:r>
    </w:p>
    <w:p w14:paraId="041EFE98">
      <w:pPr>
        <w:pageBreakBefore w:val="0"/>
        <w:wordWrap/>
        <w:topLinePunct w:val="0"/>
        <w:bidi w:val="0"/>
        <w:spacing w:line="360" w:lineRule="auto"/>
        <w:rPr>
          <w:color w:val="000000" w:themeColor="text1"/>
          <w:highlight w:val="none"/>
        </w:rPr>
      </w:pPr>
      <w:r>
        <w:rPr>
          <w:color w:val="000000" w:themeColor="text1"/>
          <w:highlight w:val="none"/>
        </w:rPr>
        <w:t>拌合后的沥青混凝土采用带有无热源或高温容器的全封闭沥青运输车辆将沥青运至铺浇工地进行摊铺，沿途基本无沥青烟气逸散。沥青混凝土摊铺过程中，会有少量沥青烟气产生。</w:t>
      </w:r>
    </w:p>
    <w:p w14:paraId="23D84A0A">
      <w:pPr>
        <w:pageBreakBefore w:val="0"/>
        <w:wordWrap/>
        <w:topLinePunct w:val="0"/>
        <w:bidi w:val="0"/>
        <w:spacing w:line="360" w:lineRule="auto"/>
        <w:ind w:firstLine="482"/>
        <w:jc w:val="center"/>
        <w:rPr>
          <w:b/>
          <w:bCs/>
          <w:color w:val="000000" w:themeColor="text1"/>
          <w:highlight w:val="none"/>
        </w:rPr>
      </w:pPr>
      <w:r>
        <w:rPr>
          <w:b/>
          <w:bCs/>
          <w:color w:val="000000" w:themeColor="text1"/>
          <w:highlight w:val="none"/>
        </w:rPr>
        <w:t>表</w:t>
      </w:r>
      <w:r>
        <w:rPr>
          <w:rFonts w:hint="eastAsia"/>
          <w:b/>
          <w:bCs/>
          <w:color w:val="000000" w:themeColor="text1"/>
          <w:highlight w:val="none"/>
        </w:rPr>
        <w:t>3.3-</w:t>
      </w:r>
      <w:r>
        <w:rPr>
          <w:rFonts w:hint="eastAsia"/>
          <w:b/>
          <w:bCs/>
          <w:color w:val="000000" w:themeColor="text1"/>
          <w:highlight w:val="none"/>
          <w:lang w:val="en-US" w:eastAsia="zh-CN"/>
        </w:rPr>
        <w:t xml:space="preserve">6  </w:t>
      </w:r>
      <w:r>
        <w:rPr>
          <w:b/>
          <w:bCs/>
          <w:color w:val="000000" w:themeColor="text1"/>
          <w:highlight w:val="none"/>
        </w:rPr>
        <w:t>本项目废气污染源源强核算结果及相关参数一览表</w:t>
      </w:r>
    </w:p>
    <w:tbl>
      <w:tblPr>
        <w:tblStyle w:val="33"/>
        <w:tblW w:w="4998" w:type="pct"/>
        <w:jc w:val="center"/>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55"/>
        <w:gridCol w:w="572"/>
        <w:gridCol w:w="400"/>
        <w:gridCol w:w="910"/>
        <w:gridCol w:w="913"/>
        <w:gridCol w:w="478"/>
        <w:gridCol w:w="734"/>
        <w:gridCol w:w="698"/>
        <w:gridCol w:w="1673"/>
        <w:gridCol w:w="858"/>
        <w:gridCol w:w="768"/>
      </w:tblGrid>
      <w:tr w14:paraId="0756B537">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12" w:type="pct"/>
            <w:vMerge w:val="restart"/>
            <w:tcBorders>
              <w:left w:val="nil"/>
            </w:tcBorders>
            <w:vAlign w:val="center"/>
          </w:tcPr>
          <w:p w14:paraId="06A8D8B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工序/生产线</w:t>
            </w:r>
          </w:p>
        </w:tc>
        <w:tc>
          <w:tcPr>
            <w:tcW w:w="342" w:type="pct"/>
            <w:vMerge w:val="restart"/>
            <w:vAlign w:val="center"/>
          </w:tcPr>
          <w:p w14:paraId="1DD6757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装置</w:t>
            </w:r>
          </w:p>
        </w:tc>
        <w:tc>
          <w:tcPr>
            <w:tcW w:w="239" w:type="pct"/>
            <w:vMerge w:val="restart"/>
            <w:vAlign w:val="center"/>
          </w:tcPr>
          <w:p w14:paraId="385AC19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污染源</w:t>
            </w:r>
          </w:p>
        </w:tc>
        <w:tc>
          <w:tcPr>
            <w:tcW w:w="544" w:type="pct"/>
            <w:vMerge w:val="restart"/>
            <w:vAlign w:val="center"/>
          </w:tcPr>
          <w:p w14:paraId="2D6A650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污染物</w:t>
            </w:r>
          </w:p>
        </w:tc>
        <w:tc>
          <w:tcPr>
            <w:tcW w:w="832" w:type="pct"/>
            <w:gridSpan w:val="2"/>
            <w:vAlign w:val="center"/>
          </w:tcPr>
          <w:p w14:paraId="7B40B95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治理措施</w:t>
            </w:r>
          </w:p>
        </w:tc>
        <w:tc>
          <w:tcPr>
            <w:tcW w:w="2369" w:type="pct"/>
            <w:gridSpan w:val="4"/>
            <w:vAlign w:val="center"/>
          </w:tcPr>
          <w:p w14:paraId="27181B8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污染物排放</w:t>
            </w:r>
          </w:p>
        </w:tc>
        <w:tc>
          <w:tcPr>
            <w:tcW w:w="459" w:type="pct"/>
            <w:tcBorders>
              <w:right w:val="nil"/>
            </w:tcBorders>
            <w:vAlign w:val="center"/>
          </w:tcPr>
          <w:p w14:paraId="2E6E52CF">
            <w:pPr>
              <w:pageBreakBefore w:val="0"/>
              <w:wordWrap/>
              <w:topLinePunct w:val="0"/>
              <w:bidi w:val="0"/>
              <w:spacing w:line="240" w:lineRule="auto"/>
              <w:ind w:firstLine="0" w:firstLineChars="0"/>
              <w:jc w:val="center"/>
              <w:rPr>
                <w:color w:val="000000" w:themeColor="text1"/>
                <w:sz w:val="21"/>
                <w:szCs w:val="21"/>
                <w:highlight w:val="none"/>
              </w:rPr>
            </w:pPr>
          </w:p>
        </w:tc>
      </w:tr>
      <w:tr w14:paraId="3E66134C">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12" w:type="pct"/>
            <w:vMerge w:val="continue"/>
            <w:tcBorders>
              <w:left w:val="nil"/>
            </w:tcBorders>
            <w:vAlign w:val="center"/>
          </w:tcPr>
          <w:p w14:paraId="30BB4DF1">
            <w:pPr>
              <w:pageBreakBefore w:val="0"/>
              <w:wordWrap/>
              <w:topLinePunct w:val="0"/>
              <w:bidi w:val="0"/>
              <w:spacing w:line="240" w:lineRule="auto"/>
              <w:ind w:firstLine="0" w:firstLineChars="0"/>
              <w:rPr>
                <w:color w:val="000000" w:themeColor="text1"/>
                <w:sz w:val="21"/>
                <w:szCs w:val="22"/>
                <w:highlight w:val="none"/>
              </w:rPr>
            </w:pPr>
          </w:p>
        </w:tc>
        <w:tc>
          <w:tcPr>
            <w:tcW w:w="342" w:type="pct"/>
            <w:vMerge w:val="continue"/>
            <w:vAlign w:val="center"/>
          </w:tcPr>
          <w:p w14:paraId="0F764F66">
            <w:pPr>
              <w:pageBreakBefore w:val="0"/>
              <w:wordWrap/>
              <w:topLinePunct w:val="0"/>
              <w:bidi w:val="0"/>
              <w:spacing w:line="240" w:lineRule="auto"/>
              <w:ind w:firstLine="0" w:firstLineChars="0"/>
              <w:rPr>
                <w:color w:val="000000" w:themeColor="text1"/>
                <w:sz w:val="21"/>
                <w:szCs w:val="22"/>
                <w:highlight w:val="none"/>
              </w:rPr>
            </w:pPr>
          </w:p>
        </w:tc>
        <w:tc>
          <w:tcPr>
            <w:tcW w:w="239" w:type="pct"/>
            <w:vMerge w:val="continue"/>
            <w:vAlign w:val="center"/>
          </w:tcPr>
          <w:p w14:paraId="450742A5">
            <w:pPr>
              <w:pageBreakBefore w:val="0"/>
              <w:wordWrap/>
              <w:topLinePunct w:val="0"/>
              <w:bidi w:val="0"/>
              <w:spacing w:line="240" w:lineRule="auto"/>
              <w:ind w:firstLine="0" w:firstLineChars="0"/>
              <w:rPr>
                <w:color w:val="000000" w:themeColor="text1"/>
                <w:sz w:val="21"/>
                <w:szCs w:val="22"/>
                <w:highlight w:val="none"/>
              </w:rPr>
            </w:pPr>
          </w:p>
        </w:tc>
        <w:tc>
          <w:tcPr>
            <w:tcW w:w="544" w:type="pct"/>
            <w:vMerge w:val="continue"/>
            <w:vAlign w:val="center"/>
          </w:tcPr>
          <w:p w14:paraId="71F69F32">
            <w:pPr>
              <w:pageBreakBefore w:val="0"/>
              <w:wordWrap/>
              <w:topLinePunct w:val="0"/>
              <w:bidi w:val="0"/>
              <w:spacing w:line="240" w:lineRule="auto"/>
              <w:ind w:firstLine="0" w:firstLineChars="0"/>
              <w:rPr>
                <w:color w:val="000000" w:themeColor="text1"/>
                <w:sz w:val="21"/>
                <w:szCs w:val="22"/>
                <w:highlight w:val="none"/>
              </w:rPr>
            </w:pPr>
          </w:p>
        </w:tc>
        <w:tc>
          <w:tcPr>
            <w:tcW w:w="546" w:type="pct"/>
            <w:vAlign w:val="center"/>
          </w:tcPr>
          <w:p w14:paraId="0E1F2CF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工艺</w:t>
            </w:r>
          </w:p>
        </w:tc>
        <w:tc>
          <w:tcPr>
            <w:tcW w:w="285" w:type="pct"/>
            <w:vAlign w:val="center"/>
          </w:tcPr>
          <w:p w14:paraId="4BFB2EE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效率%</w:t>
            </w:r>
          </w:p>
        </w:tc>
        <w:tc>
          <w:tcPr>
            <w:tcW w:w="439" w:type="pct"/>
            <w:vAlign w:val="center"/>
          </w:tcPr>
          <w:p w14:paraId="1E3CDC4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核算</w:t>
            </w:r>
          </w:p>
          <w:p w14:paraId="3691FD4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方法</w:t>
            </w:r>
          </w:p>
        </w:tc>
        <w:tc>
          <w:tcPr>
            <w:tcW w:w="417" w:type="pct"/>
            <w:vAlign w:val="center"/>
          </w:tcPr>
          <w:p w14:paraId="72A14AC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废气排放量m</w:t>
            </w:r>
            <w:r>
              <w:rPr>
                <w:color w:val="000000" w:themeColor="text1"/>
                <w:sz w:val="21"/>
                <w:szCs w:val="21"/>
                <w:highlight w:val="none"/>
                <w:vertAlign w:val="superscript"/>
              </w:rPr>
              <w:t>3</w:t>
            </w:r>
            <w:r>
              <w:rPr>
                <w:color w:val="000000" w:themeColor="text1"/>
                <w:sz w:val="21"/>
                <w:szCs w:val="21"/>
                <w:highlight w:val="none"/>
              </w:rPr>
              <w:t>/h</w:t>
            </w:r>
          </w:p>
        </w:tc>
        <w:tc>
          <w:tcPr>
            <w:tcW w:w="1000" w:type="pct"/>
            <w:vAlign w:val="center"/>
          </w:tcPr>
          <w:p w14:paraId="3676E931">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排放浓度/（mg/m</w:t>
            </w:r>
            <w:r>
              <w:rPr>
                <w:color w:val="000000" w:themeColor="text1"/>
                <w:sz w:val="21"/>
                <w:szCs w:val="21"/>
                <w:highlight w:val="none"/>
                <w:vertAlign w:val="superscript"/>
              </w:rPr>
              <w:t>3</w:t>
            </w:r>
            <w:r>
              <w:rPr>
                <w:color w:val="000000" w:themeColor="text1"/>
                <w:sz w:val="21"/>
                <w:szCs w:val="21"/>
                <w:highlight w:val="none"/>
              </w:rPr>
              <w:t>）</w:t>
            </w:r>
          </w:p>
        </w:tc>
        <w:tc>
          <w:tcPr>
            <w:tcW w:w="512" w:type="pct"/>
            <w:vAlign w:val="center"/>
          </w:tcPr>
          <w:p w14:paraId="7358CCF0">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排放量/</w:t>
            </w:r>
            <w:r>
              <w:rPr>
                <w:rFonts w:hint="eastAsia"/>
                <w:color w:val="000000" w:themeColor="text1"/>
                <w:sz w:val="21"/>
                <w:szCs w:val="21"/>
                <w:highlight w:val="none"/>
                <w:lang w:eastAsia="zh-CN"/>
              </w:rPr>
              <w:t>（</w:t>
            </w:r>
            <w:r>
              <w:rPr>
                <w:color w:val="000000" w:themeColor="text1"/>
                <w:sz w:val="21"/>
                <w:szCs w:val="21"/>
                <w:highlight w:val="none"/>
              </w:rPr>
              <w:t>kg/h</w:t>
            </w:r>
            <w:r>
              <w:rPr>
                <w:rFonts w:hint="eastAsia"/>
                <w:color w:val="000000" w:themeColor="text1"/>
                <w:sz w:val="21"/>
                <w:szCs w:val="21"/>
                <w:highlight w:val="none"/>
                <w:lang w:eastAsia="zh-CN"/>
              </w:rPr>
              <w:t>）</w:t>
            </w:r>
          </w:p>
        </w:tc>
        <w:tc>
          <w:tcPr>
            <w:tcW w:w="459" w:type="pct"/>
            <w:tcBorders>
              <w:right w:val="nil"/>
            </w:tcBorders>
            <w:vAlign w:val="center"/>
          </w:tcPr>
          <w:p w14:paraId="013AF33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排放时间（h）</w:t>
            </w:r>
          </w:p>
        </w:tc>
      </w:tr>
      <w:tr w14:paraId="400855D7">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12" w:type="pct"/>
            <w:tcBorders>
              <w:left w:val="nil"/>
            </w:tcBorders>
            <w:vAlign w:val="center"/>
          </w:tcPr>
          <w:p w14:paraId="636AF7D6">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施工扬尘</w:t>
            </w:r>
          </w:p>
        </w:tc>
        <w:tc>
          <w:tcPr>
            <w:tcW w:w="342" w:type="pct"/>
            <w:vAlign w:val="center"/>
          </w:tcPr>
          <w:p w14:paraId="41F6F68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运输车辆</w:t>
            </w:r>
          </w:p>
        </w:tc>
        <w:tc>
          <w:tcPr>
            <w:tcW w:w="239" w:type="pct"/>
            <w:vAlign w:val="center"/>
          </w:tcPr>
          <w:p w14:paraId="104595B2">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运输</w:t>
            </w:r>
          </w:p>
          <w:p w14:paraId="5B93DAED">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车辆</w:t>
            </w:r>
          </w:p>
        </w:tc>
        <w:tc>
          <w:tcPr>
            <w:tcW w:w="544" w:type="pct"/>
            <w:vAlign w:val="center"/>
          </w:tcPr>
          <w:p w14:paraId="3239CA13">
            <w:pPr>
              <w:pageBreakBefore w:val="0"/>
              <w:wordWrap/>
              <w:topLinePunct w:val="0"/>
              <w:bidi w:val="0"/>
              <w:spacing w:line="240" w:lineRule="auto"/>
              <w:ind w:firstLine="0" w:firstLineChars="0"/>
              <w:jc w:val="center"/>
              <w:rPr>
                <w:color w:val="000000" w:themeColor="text1"/>
                <w:spacing w:val="12"/>
                <w:sz w:val="21"/>
                <w:szCs w:val="21"/>
                <w:highlight w:val="none"/>
              </w:rPr>
            </w:pPr>
            <w:r>
              <w:rPr>
                <w:rFonts w:hint="eastAsia"/>
                <w:color w:val="000000" w:themeColor="text1"/>
                <w:spacing w:val="12"/>
                <w:sz w:val="21"/>
                <w:szCs w:val="21"/>
                <w:highlight w:val="none"/>
              </w:rPr>
              <w:t>TSP</w:t>
            </w:r>
          </w:p>
        </w:tc>
        <w:tc>
          <w:tcPr>
            <w:tcW w:w="546" w:type="pct"/>
            <w:vAlign w:val="center"/>
          </w:tcPr>
          <w:p w14:paraId="4356316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苫盖、防遗撒</w:t>
            </w:r>
          </w:p>
        </w:tc>
        <w:tc>
          <w:tcPr>
            <w:tcW w:w="285" w:type="pct"/>
            <w:vAlign w:val="center"/>
          </w:tcPr>
          <w:p w14:paraId="3572B78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439" w:type="pct"/>
            <w:vAlign w:val="center"/>
          </w:tcPr>
          <w:p w14:paraId="42815299">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类比法</w:t>
            </w:r>
          </w:p>
        </w:tc>
        <w:tc>
          <w:tcPr>
            <w:tcW w:w="417" w:type="pct"/>
            <w:vAlign w:val="center"/>
          </w:tcPr>
          <w:p w14:paraId="4C0CBFA5">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w:t>
            </w:r>
          </w:p>
        </w:tc>
        <w:tc>
          <w:tcPr>
            <w:tcW w:w="1000" w:type="pct"/>
            <w:vAlign w:val="center"/>
          </w:tcPr>
          <w:p w14:paraId="3659F16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kern w:val="0"/>
                <w:sz w:val="21"/>
                <w:szCs w:val="21"/>
                <w:highlight w:val="none"/>
              </w:rPr>
              <w:t>11.65</w:t>
            </w:r>
            <w:r>
              <w:rPr>
                <w:rFonts w:hint="eastAsia"/>
                <w:color w:val="000000" w:themeColor="text1"/>
                <w:kern w:val="0"/>
                <w:sz w:val="21"/>
                <w:szCs w:val="21"/>
                <w:highlight w:val="none"/>
              </w:rPr>
              <w:t>2</w:t>
            </w:r>
          </w:p>
        </w:tc>
        <w:tc>
          <w:tcPr>
            <w:tcW w:w="512" w:type="pct"/>
            <w:vAlign w:val="center"/>
          </w:tcPr>
          <w:p w14:paraId="27C9A55C">
            <w:pPr>
              <w:pageBreakBefore w:val="0"/>
              <w:widowControl/>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459" w:type="pct"/>
            <w:tcBorders>
              <w:right w:val="nil"/>
            </w:tcBorders>
            <w:vAlign w:val="center"/>
          </w:tcPr>
          <w:p w14:paraId="52D50CA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7B551E2D">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807" w:hRule="atLeast"/>
          <w:jc w:val="center"/>
        </w:trPr>
        <w:tc>
          <w:tcPr>
            <w:tcW w:w="212" w:type="pct"/>
            <w:vMerge w:val="restart"/>
            <w:tcBorders>
              <w:left w:val="nil"/>
            </w:tcBorders>
            <w:vAlign w:val="center"/>
          </w:tcPr>
          <w:p w14:paraId="297A66F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沥青拌合站</w:t>
            </w:r>
          </w:p>
          <w:p w14:paraId="572E4832">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restart"/>
            <w:vAlign w:val="center"/>
          </w:tcPr>
          <w:p w14:paraId="462A4FA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沥青拌合</w:t>
            </w:r>
          </w:p>
        </w:tc>
        <w:tc>
          <w:tcPr>
            <w:tcW w:w="239" w:type="pct"/>
            <w:vMerge w:val="restart"/>
            <w:vAlign w:val="center"/>
          </w:tcPr>
          <w:p w14:paraId="1000B55D">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拌合楼</w:t>
            </w:r>
          </w:p>
        </w:tc>
        <w:tc>
          <w:tcPr>
            <w:tcW w:w="544" w:type="pct"/>
            <w:vAlign w:val="center"/>
          </w:tcPr>
          <w:p w14:paraId="3B0B433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苯并芘</w:t>
            </w:r>
          </w:p>
        </w:tc>
        <w:tc>
          <w:tcPr>
            <w:tcW w:w="546" w:type="pct"/>
            <w:vMerge w:val="restart"/>
            <w:vAlign w:val="center"/>
          </w:tcPr>
          <w:p w14:paraId="0C54D8F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kern w:val="0"/>
                <w:sz w:val="21"/>
                <w:szCs w:val="21"/>
                <w:highlight w:val="none"/>
              </w:rPr>
              <w:t>集气罩+管道+燃烧器燃烧+布袋除尘器+15m排气筒</w:t>
            </w:r>
          </w:p>
        </w:tc>
        <w:tc>
          <w:tcPr>
            <w:tcW w:w="285" w:type="pct"/>
            <w:vMerge w:val="restart"/>
            <w:vAlign w:val="center"/>
          </w:tcPr>
          <w:p w14:paraId="200C3FD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99.5</w:t>
            </w:r>
          </w:p>
        </w:tc>
        <w:tc>
          <w:tcPr>
            <w:tcW w:w="439" w:type="pct"/>
            <w:vMerge w:val="restart"/>
            <w:vAlign w:val="center"/>
          </w:tcPr>
          <w:p w14:paraId="4CFB25A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类比法</w:t>
            </w:r>
          </w:p>
        </w:tc>
        <w:tc>
          <w:tcPr>
            <w:tcW w:w="417" w:type="pct"/>
            <w:vAlign w:val="center"/>
          </w:tcPr>
          <w:p w14:paraId="6A09116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7AE3EFF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0.02~0.0756ng/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743B6601">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45CD386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2875AC90">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514" w:hRule="atLeast"/>
          <w:jc w:val="center"/>
        </w:trPr>
        <w:tc>
          <w:tcPr>
            <w:tcW w:w="212" w:type="pct"/>
            <w:vMerge w:val="continue"/>
            <w:tcBorders>
              <w:left w:val="nil"/>
            </w:tcBorders>
            <w:vAlign w:val="center"/>
          </w:tcPr>
          <w:p w14:paraId="6B266C17">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484E82D5">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760260BF">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3D62404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沥青烟</w:t>
            </w:r>
          </w:p>
        </w:tc>
        <w:tc>
          <w:tcPr>
            <w:tcW w:w="546" w:type="pct"/>
            <w:vMerge w:val="continue"/>
            <w:vAlign w:val="center"/>
          </w:tcPr>
          <w:p w14:paraId="7DF74B59">
            <w:pPr>
              <w:pageBreakBefore w:val="0"/>
              <w:wordWrap/>
              <w:topLinePunct w:val="0"/>
              <w:bidi w:val="0"/>
              <w:spacing w:line="240" w:lineRule="auto"/>
              <w:ind w:firstLine="0" w:firstLineChars="0"/>
              <w:jc w:val="center"/>
              <w:rPr>
                <w:color w:val="000000" w:themeColor="text1"/>
                <w:kern w:val="0"/>
                <w:sz w:val="21"/>
                <w:szCs w:val="21"/>
                <w:highlight w:val="none"/>
              </w:rPr>
            </w:pPr>
          </w:p>
        </w:tc>
        <w:tc>
          <w:tcPr>
            <w:tcW w:w="285" w:type="pct"/>
            <w:vMerge w:val="continue"/>
            <w:vAlign w:val="center"/>
          </w:tcPr>
          <w:p w14:paraId="5E55FD64">
            <w:pPr>
              <w:pageBreakBefore w:val="0"/>
              <w:wordWrap/>
              <w:topLinePunct w:val="0"/>
              <w:bidi w:val="0"/>
              <w:spacing w:line="240" w:lineRule="auto"/>
              <w:ind w:firstLine="0" w:firstLineChars="0"/>
              <w:jc w:val="center"/>
              <w:rPr>
                <w:color w:val="000000" w:themeColor="text1"/>
                <w:sz w:val="21"/>
                <w:szCs w:val="21"/>
                <w:highlight w:val="none"/>
              </w:rPr>
            </w:pPr>
          </w:p>
        </w:tc>
        <w:tc>
          <w:tcPr>
            <w:tcW w:w="439" w:type="pct"/>
            <w:vMerge w:val="continue"/>
            <w:vAlign w:val="center"/>
          </w:tcPr>
          <w:p w14:paraId="34579487">
            <w:pPr>
              <w:pageBreakBefore w:val="0"/>
              <w:wordWrap/>
              <w:topLinePunct w:val="0"/>
              <w:bidi w:val="0"/>
              <w:spacing w:line="240" w:lineRule="auto"/>
              <w:ind w:firstLine="0" w:firstLineChars="0"/>
              <w:jc w:val="center"/>
              <w:rPr>
                <w:color w:val="000000" w:themeColor="text1"/>
                <w:sz w:val="21"/>
                <w:szCs w:val="21"/>
                <w:highlight w:val="none"/>
              </w:rPr>
            </w:pPr>
          </w:p>
        </w:tc>
        <w:tc>
          <w:tcPr>
            <w:tcW w:w="417" w:type="pct"/>
            <w:vAlign w:val="center"/>
          </w:tcPr>
          <w:p w14:paraId="0AC2CE4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1673E0E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15.9~17.8mg/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5D5035E6">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65F152E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102A2A94">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514" w:hRule="atLeast"/>
          <w:jc w:val="center"/>
        </w:trPr>
        <w:tc>
          <w:tcPr>
            <w:tcW w:w="212" w:type="pct"/>
            <w:vMerge w:val="continue"/>
            <w:tcBorders>
              <w:left w:val="nil"/>
            </w:tcBorders>
            <w:vAlign w:val="center"/>
          </w:tcPr>
          <w:p w14:paraId="0A84253B">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245E4276">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781C47E9">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7506672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非甲烷总烃</w:t>
            </w:r>
          </w:p>
        </w:tc>
        <w:tc>
          <w:tcPr>
            <w:tcW w:w="546" w:type="pct"/>
            <w:vMerge w:val="continue"/>
            <w:vAlign w:val="center"/>
          </w:tcPr>
          <w:p w14:paraId="63EFE5BE">
            <w:pPr>
              <w:pageBreakBefore w:val="0"/>
              <w:wordWrap/>
              <w:topLinePunct w:val="0"/>
              <w:bidi w:val="0"/>
              <w:spacing w:line="240" w:lineRule="auto"/>
              <w:ind w:firstLine="0" w:firstLineChars="0"/>
              <w:jc w:val="center"/>
              <w:rPr>
                <w:color w:val="000000" w:themeColor="text1"/>
                <w:kern w:val="0"/>
                <w:sz w:val="21"/>
                <w:szCs w:val="21"/>
                <w:highlight w:val="none"/>
              </w:rPr>
            </w:pPr>
          </w:p>
        </w:tc>
        <w:tc>
          <w:tcPr>
            <w:tcW w:w="285" w:type="pct"/>
            <w:vMerge w:val="continue"/>
            <w:vAlign w:val="center"/>
          </w:tcPr>
          <w:p w14:paraId="7C3C0635">
            <w:pPr>
              <w:pageBreakBefore w:val="0"/>
              <w:wordWrap/>
              <w:topLinePunct w:val="0"/>
              <w:bidi w:val="0"/>
              <w:spacing w:line="240" w:lineRule="auto"/>
              <w:ind w:firstLine="0" w:firstLineChars="0"/>
              <w:jc w:val="center"/>
              <w:rPr>
                <w:color w:val="000000" w:themeColor="text1"/>
                <w:sz w:val="21"/>
                <w:szCs w:val="21"/>
                <w:highlight w:val="none"/>
              </w:rPr>
            </w:pPr>
          </w:p>
        </w:tc>
        <w:tc>
          <w:tcPr>
            <w:tcW w:w="439" w:type="pct"/>
            <w:vMerge w:val="continue"/>
            <w:vAlign w:val="center"/>
          </w:tcPr>
          <w:p w14:paraId="193C1665">
            <w:pPr>
              <w:pageBreakBefore w:val="0"/>
              <w:wordWrap/>
              <w:topLinePunct w:val="0"/>
              <w:bidi w:val="0"/>
              <w:spacing w:line="240" w:lineRule="auto"/>
              <w:ind w:firstLine="0" w:firstLineChars="0"/>
              <w:jc w:val="center"/>
              <w:rPr>
                <w:color w:val="000000" w:themeColor="text1"/>
                <w:sz w:val="21"/>
                <w:szCs w:val="21"/>
                <w:highlight w:val="none"/>
              </w:rPr>
            </w:pPr>
          </w:p>
        </w:tc>
        <w:tc>
          <w:tcPr>
            <w:tcW w:w="417" w:type="pct"/>
            <w:vAlign w:val="center"/>
          </w:tcPr>
          <w:p w14:paraId="1F09012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2EBC47C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8.23mg/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1E01981F">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21D17DA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5C6B170D">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514" w:hRule="atLeast"/>
          <w:jc w:val="center"/>
        </w:trPr>
        <w:tc>
          <w:tcPr>
            <w:tcW w:w="212" w:type="pct"/>
            <w:vMerge w:val="continue"/>
            <w:tcBorders>
              <w:left w:val="nil"/>
            </w:tcBorders>
            <w:vAlign w:val="center"/>
          </w:tcPr>
          <w:p w14:paraId="7AEC81CB">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17CF8C04">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3CA6E7F0">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4613783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SO</w:t>
            </w:r>
            <w:r>
              <w:rPr>
                <w:rFonts w:hint="eastAsia"/>
                <w:color w:val="000000" w:themeColor="text1"/>
                <w:sz w:val="21"/>
                <w:szCs w:val="21"/>
                <w:highlight w:val="none"/>
                <w:vertAlign w:val="subscript"/>
              </w:rPr>
              <w:t>2</w:t>
            </w:r>
          </w:p>
        </w:tc>
        <w:tc>
          <w:tcPr>
            <w:tcW w:w="546" w:type="pct"/>
            <w:vMerge w:val="continue"/>
            <w:vAlign w:val="center"/>
          </w:tcPr>
          <w:p w14:paraId="54617BDA">
            <w:pPr>
              <w:pageBreakBefore w:val="0"/>
              <w:wordWrap/>
              <w:topLinePunct w:val="0"/>
              <w:bidi w:val="0"/>
              <w:spacing w:line="240" w:lineRule="auto"/>
              <w:ind w:firstLine="0" w:firstLineChars="0"/>
              <w:jc w:val="center"/>
              <w:rPr>
                <w:color w:val="000000" w:themeColor="text1"/>
                <w:kern w:val="0"/>
                <w:sz w:val="21"/>
                <w:szCs w:val="21"/>
                <w:highlight w:val="none"/>
              </w:rPr>
            </w:pPr>
          </w:p>
        </w:tc>
        <w:tc>
          <w:tcPr>
            <w:tcW w:w="285" w:type="pct"/>
            <w:vMerge w:val="continue"/>
            <w:vAlign w:val="center"/>
          </w:tcPr>
          <w:p w14:paraId="6E5708FB">
            <w:pPr>
              <w:pageBreakBefore w:val="0"/>
              <w:wordWrap/>
              <w:topLinePunct w:val="0"/>
              <w:bidi w:val="0"/>
              <w:spacing w:line="240" w:lineRule="auto"/>
              <w:ind w:firstLine="0" w:firstLineChars="0"/>
              <w:jc w:val="center"/>
              <w:rPr>
                <w:color w:val="000000" w:themeColor="text1"/>
                <w:sz w:val="21"/>
                <w:szCs w:val="21"/>
                <w:highlight w:val="none"/>
              </w:rPr>
            </w:pPr>
          </w:p>
        </w:tc>
        <w:tc>
          <w:tcPr>
            <w:tcW w:w="439" w:type="pct"/>
            <w:vMerge w:val="continue"/>
            <w:vAlign w:val="center"/>
          </w:tcPr>
          <w:p w14:paraId="3F0480C2">
            <w:pPr>
              <w:pageBreakBefore w:val="0"/>
              <w:wordWrap/>
              <w:topLinePunct w:val="0"/>
              <w:bidi w:val="0"/>
              <w:spacing w:line="240" w:lineRule="auto"/>
              <w:ind w:firstLine="0" w:firstLineChars="0"/>
              <w:jc w:val="center"/>
              <w:rPr>
                <w:color w:val="000000" w:themeColor="text1"/>
                <w:sz w:val="21"/>
                <w:szCs w:val="21"/>
                <w:highlight w:val="none"/>
              </w:rPr>
            </w:pPr>
          </w:p>
        </w:tc>
        <w:tc>
          <w:tcPr>
            <w:tcW w:w="417" w:type="pct"/>
            <w:vAlign w:val="center"/>
          </w:tcPr>
          <w:p w14:paraId="2B5E481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17114B4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26~52.0mg/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40DC3734">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432380A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307AC032">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514" w:hRule="atLeast"/>
          <w:jc w:val="center"/>
        </w:trPr>
        <w:tc>
          <w:tcPr>
            <w:tcW w:w="212" w:type="pct"/>
            <w:vMerge w:val="continue"/>
            <w:tcBorders>
              <w:left w:val="nil"/>
            </w:tcBorders>
            <w:vAlign w:val="center"/>
          </w:tcPr>
          <w:p w14:paraId="7A263BF5">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4F76AEBD">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70088BA2">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6D131A11">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NO</w:t>
            </w:r>
            <w:r>
              <w:rPr>
                <w:rFonts w:hint="eastAsia"/>
                <w:color w:val="000000" w:themeColor="text1"/>
                <w:sz w:val="21"/>
                <w:szCs w:val="21"/>
                <w:highlight w:val="none"/>
                <w:vertAlign w:val="subscript"/>
              </w:rPr>
              <w:t>X</w:t>
            </w:r>
          </w:p>
        </w:tc>
        <w:tc>
          <w:tcPr>
            <w:tcW w:w="546" w:type="pct"/>
            <w:vMerge w:val="continue"/>
            <w:vAlign w:val="center"/>
          </w:tcPr>
          <w:p w14:paraId="5DD13AD4">
            <w:pPr>
              <w:pageBreakBefore w:val="0"/>
              <w:wordWrap/>
              <w:topLinePunct w:val="0"/>
              <w:bidi w:val="0"/>
              <w:spacing w:line="240" w:lineRule="auto"/>
              <w:ind w:firstLine="0" w:firstLineChars="0"/>
              <w:jc w:val="center"/>
              <w:rPr>
                <w:color w:val="000000" w:themeColor="text1"/>
                <w:kern w:val="0"/>
                <w:sz w:val="21"/>
                <w:szCs w:val="21"/>
                <w:highlight w:val="none"/>
              </w:rPr>
            </w:pPr>
          </w:p>
        </w:tc>
        <w:tc>
          <w:tcPr>
            <w:tcW w:w="285" w:type="pct"/>
            <w:vMerge w:val="continue"/>
            <w:vAlign w:val="center"/>
          </w:tcPr>
          <w:p w14:paraId="0768D111">
            <w:pPr>
              <w:pageBreakBefore w:val="0"/>
              <w:wordWrap/>
              <w:topLinePunct w:val="0"/>
              <w:bidi w:val="0"/>
              <w:spacing w:line="240" w:lineRule="auto"/>
              <w:ind w:firstLine="0" w:firstLineChars="0"/>
              <w:jc w:val="center"/>
              <w:rPr>
                <w:color w:val="000000" w:themeColor="text1"/>
                <w:sz w:val="21"/>
                <w:szCs w:val="21"/>
                <w:highlight w:val="none"/>
              </w:rPr>
            </w:pPr>
          </w:p>
        </w:tc>
        <w:tc>
          <w:tcPr>
            <w:tcW w:w="439" w:type="pct"/>
            <w:vMerge w:val="continue"/>
            <w:vAlign w:val="center"/>
          </w:tcPr>
          <w:p w14:paraId="45C973B6">
            <w:pPr>
              <w:pageBreakBefore w:val="0"/>
              <w:wordWrap/>
              <w:topLinePunct w:val="0"/>
              <w:bidi w:val="0"/>
              <w:spacing w:line="240" w:lineRule="auto"/>
              <w:ind w:firstLine="0" w:firstLineChars="0"/>
              <w:jc w:val="center"/>
              <w:rPr>
                <w:color w:val="000000" w:themeColor="text1"/>
                <w:sz w:val="21"/>
                <w:szCs w:val="21"/>
                <w:highlight w:val="none"/>
              </w:rPr>
            </w:pPr>
          </w:p>
        </w:tc>
        <w:tc>
          <w:tcPr>
            <w:tcW w:w="417" w:type="pct"/>
            <w:vAlign w:val="center"/>
          </w:tcPr>
          <w:p w14:paraId="3B124AE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6F2ECAE4">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27~209mg/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1B99CAAB">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46CBD28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70528A0F">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514" w:hRule="atLeast"/>
          <w:jc w:val="center"/>
        </w:trPr>
        <w:tc>
          <w:tcPr>
            <w:tcW w:w="212" w:type="pct"/>
            <w:vMerge w:val="continue"/>
            <w:tcBorders>
              <w:left w:val="nil"/>
            </w:tcBorders>
            <w:vAlign w:val="center"/>
          </w:tcPr>
          <w:p w14:paraId="0618E9A6">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42475642">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68BEA66B">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30A0AD1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烟尘（颗粒物）</w:t>
            </w:r>
          </w:p>
        </w:tc>
        <w:tc>
          <w:tcPr>
            <w:tcW w:w="546" w:type="pct"/>
            <w:vMerge w:val="continue"/>
            <w:vAlign w:val="center"/>
          </w:tcPr>
          <w:p w14:paraId="04E862CF">
            <w:pPr>
              <w:pageBreakBefore w:val="0"/>
              <w:wordWrap/>
              <w:topLinePunct w:val="0"/>
              <w:bidi w:val="0"/>
              <w:spacing w:line="240" w:lineRule="auto"/>
              <w:ind w:firstLine="0" w:firstLineChars="0"/>
              <w:jc w:val="center"/>
              <w:rPr>
                <w:color w:val="000000" w:themeColor="text1"/>
                <w:kern w:val="0"/>
                <w:sz w:val="21"/>
                <w:szCs w:val="21"/>
                <w:highlight w:val="none"/>
              </w:rPr>
            </w:pPr>
          </w:p>
        </w:tc>
        <w:tc>
          <w:tcPr>
            <w:tcW w:w="285" w:type="pct"/>
            <w:vMerge w:val="continue"/>
            <w:vAlign w:val="center"/>
          </w:tcPr>
          <w:p w14:paraId="6E9AE422">
            <w:pPr>
              <w:pageBreakBefore w:val="0"/>
              <w:wordWrap/>
              <w:topLinePunct w:val="0"/>
              <w:bidi w:val="0"/>
              <w:spacing w:line="240" w:lineRule="auto"/>
              <w:ind w:firstLine="0" w:firstLineChars="0"/>
              <w:jc w:val="center"/>
              <w:rPr>
                <w:color w:val="000000" w:themeColor="text1"/>
                <w:sz w:val="21"/>
                <w:szCs w:val="21"/>
                <w:highlight w:val="none"/>
              </w:rPr>
            </w:pPr>
          </w:p>
        </w:tc>
        <w:tc>
          <w:tcPr>
            <w:tcW w:w="439" w:type="pct"/>
            <w:vMerge w:val="continue"/>
            <w:vAlign w:val="center"/>
          </w:tcPr>
          <w:p w14:paraId="025846FB">
            <w:pPr>
              <w:pageBreakBefore w:val="0"/>
              <w:wordWrap/>
              <w:topLinePunct w:val="0"/>
              <w:bidi w:val="0"/>
              <w:spacing w:line="240" w:lineRule="auto"/>
              <w:ind w:firstLine="0" w:firstLineChars="0"/>
              <w:jc w:val="center"/>
              <w:rPr>
                <w:color w:val="000000" w:themeColor="text1"/>
                <w:sz w:val="21"/>
                <w:szCs w:val="21"/>
                <w:highlight w:val="none"/>
              </w:rPr>
            </w:pPr>
          </w:p>
        </w:tc>
        <w:tc>
          <w:tcPr>
            <w:tcW w:w="417" w:type="pct"/>
            <w:vAlign w:val="center"/>
          </w:tcPr>
          <w:p w14:paraId="57A3CD21">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5EBA8AA5">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7.5~31.2mg/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2F56CC41">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38578E7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7E8AB9EE">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12" w:type="pct"/>
            <w:vMerge w:val="continue"/>
            <w:tcBorders>
              <w:left w:val="nil"/>
            </w:tcBorders>
            <w:vAlign w:val="center"/>
          </w:tcPr>
          <w:p w14:paraId="6C63EF58">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5AE61761">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11C53377">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4C2727D9">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苯并芘</w:t>
            </w:r>
          </w:p>
        </w:tc>
        <w:tc>
          <w:tcPr>
            <w:tcW w:w="546" w:type="pct"/>
            <w:vAlign w:val="center"/>
          </w:tcPr>
          <w:p w14:paraId="50D7F372">
            <w:pPr>
              <w:pageBreakBefore w:val="0"/>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无组织逸散</w:t>
            </w:r>
          </w:p>
        </w:tc>
        <w:tc>
          <w:tcPr>
            <w:tcW w:w="285" w:type="pct"/>
            <w:vAlign w:val="center"/>
          </w:tcPr>
          <w:p w14:paraId="1B77634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439" w:type="pct"/>
            <w:vAlign w:val="center"/>
          </w:tcPr>
          <w:p w14:paraId="08B32D12">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类比法</w:t>
            </w:r>
          </w:p>
        </w:tc>
        <w:tc>
          <w:tcPr>
            <w:tcW w:w="417" w:type="pct"/>
            <w:vAlign w:val="center"/>
          </w:tcPr>
          <w:p w14:paraId="0F492E85">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775856E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1.3ng/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2496AE52">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69B46AB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699241EB">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12" w:type="pct"/>
            <w:vMerge w:val="continue"/>
            <w:tcBorders>
              <w:left w:val="nil"/>
            </w:tcBorders>
            <w:vAlign w:val="center"/>
          </w:tcPr>
          <w:p w14:paraId="56BCE35F">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472D7823">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3458DB46">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298DA14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非甲烷总烃</w:t>
            </w:r>
          </w:p>
        </w:tc>
        <w:tc>
          <w:tcPr>
            <w:tcW w:w="546" w:type="pct"/>
            <w:vAlign w:val="center"/>
          </w:tcPr>
          <w:p w14:paraId="1449BCC5">
            <w:pPr>
              <w:pageBreakBefore w:val="0"/>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无组织逸散</w:t>
            </w:r>
          </w:p>
        </w:tc>
        <w:tc>
          <w:tcPr>
            <w:tcW w:w="285" w:type="pct"/>
            <w:vAlign w:val="center"/>
          </w:tcPr>
          <w:p w14:paraId="733186C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439" w:type="pct"/>
            <w:vAlign w:val="center"/>
          </w:tcPr>
          <w:p w14:paraId="6F1E78D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类比法</w:t>
            </w:r>
          </w:p>
        </w:tc>
        <w:tc>
          <w:tcPr>
            <w:tcW w:w="417" w:type="pct"/>
            <w:vAlign w:val="center"/>
          </w:tcPr>
          <w:p w14:paraId="771D7E3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10AD910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1.97mg/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5D02414B">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19A57E3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r w14:paraId="1F991E72">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28" w:type="dxa"/>
            <w:bottom w:w="0" w:type="dxa"/>
            <w:right w:w="28" w:type="dxa"/>
          </w:tblCellMar>
        </w:tblPrEx>
        <w:trPr>
          <w:trHeight w:val="23" w:hRule="atLeast"/>
          <w:jc w:val="center"/>
        </w:trPr>
        <w:tc>
          <w:tcPr>
            <w:tcW w:w="212" w:type="pct"/>
            <w:vMerge w:val="continue"/>
            <w:tcBorders>
              <w:left w:val="nil"/>
            </w:tcBorders>
            <w:vAlign w:val="center"/>
          </w:tcPr>
          <w:p w14:paraId="566BEFE3">
            <w:pPr>
              <w:pageBreakBefore w:val="0"/>
              <w:wordWrap/>
              <w:topLinePunct w:val="0"/>
              <w:bidi w:val="0"/>
              <w:spacing w:line="240" w:lineRule="auto"/>
              <w:ind w:firstLine="0" w:firstLineChars="0"/>
              <w:jc w:val="center"/>
              <w:rPr>
                <w:color w:val="000000" w:themeColor="text1"/>
                <w:sz w:val="21"/>
                <w:szCs w:val="21"/>
                <w:highlight w:val="none"/>
              </w:rPr>
            </w:pPr>
          </w:p>
        </w:tc>
        <w:tc>
          <w:tcPr>
            <w:tcW w:w="342" w:type="pct"/>
            <w:vMerge w:val="continue"/>
            <w:vAlign w:val="center"/>
          </w:tcPr>
          <w:p w14:paraId="76910849">
            <w:pPr>
              <w:pageBreakBefore w:val="0"/>
              <w:wordWrap/>
              <w:topLinePunct w:val="0"/>
              <w:bidi w:val="0"/>
              <w:spacing w:line="240" w:lineRule="auto"/>
              <w:ind w:firstLine="0" w:firstLineChars="0"/>
              <w:jc w:val="center"/>
              <w:rPr>
                <w:color w:val="000000" w:themeColor="text1"/>
                <w:sz w:val="21"/>
                <w:szCs w:val="21"/>
                <w:highlight w:val="none"/>
              </w:rPr>
            </w:pPr>
          </w:p>
        </w:tc>
        <w:tc>
          <w:tcPr>
            <w:tcW w:w="239" w:type="pct"/>
            <w:vMerge w:val="continue"/>
            <w:vAlign w:val="center"/>
          </w:tcPr>
          <w:p w14:paraId="59D1A58D">
            <w:pPr>
              <w:pageBreakBefore w:val="0"/>
              <w:wordWrap/>
              <w:topLinePunct w:val="0"/>
              <w:bidi w:val="0"/>
              <w:spacing w:line="240" w:lineRule="auto"/>
              <w:ind w:firstLine="0" w:firstLineChars="0"/>
              <w:jc w:val="center"/>
              <w:rPr>
                <w:color w:val="000000" w:themeColor="text1"/>
                <w:sz w:val="21"/>
                <w:szCs w:val="21"/>
                <w:highlight w:val="none"/>
              </w:rPr>
            </w:pPr>
          </w:p>
        </w:tc>
        <w:tc>
          <w:tcPr>
            <w:tcW w:w="544" w:type="pct"/>
            <w:vAlign w:val="center"/>
          </w:tcPr>
          <w:p w14:paraId="6ACBA28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颗粒物</w:t>
            </w:r>
          </w:p>
        </w:tc>
        <w:tc>
          <w:tcPr>
            <w:tcW w:w="546" w:type="pct"/>
            <w:vAlign w:val="center"/>
          </w:tcPr>
          <w:p w14:paraId="46578FD6">
            <w:pPr>
              <w:pageBreakBefore w:val="0"/>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无组织逸散</w:t>
            </w:r>
          </w:p>
        </w:tc>
        <w:tc>
          <w:tcPr>
            <w:tcW w:w="285" w:type="pct"/>
            <w:vAlign w:val="center"/>
          </w:tcPr>
          <w:p w14:paraId="0B7B582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439" w:type="pct"/>
            <w:vAlign w:val="center"/>
          </w:tcPr>
          <w:p w14:paraId="4E0E038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类比法</w:t>
            </w:r>
          </w:p>
        </w:tc>
        <w:tc>
          <w:tcPr>
            <w:tcW w:w="417" w:type="pct"/>
            <w:vAlign w:val="center"/>
          </w:tcPr>
          <w:p w14:paraId="2C778C3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w:t>
            </w:r>
          </w:p>
        </w:tc>
        <w:tc>
          <w:tcPr>
            <w:tcW w:w="1000" w:type="pct"/>
            <w:vAlign w:val="center"/>
          </w:tcPr>
          <w:p w14:paraId="6D8405D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0.166~0.300mg/</w:t>
            </w:r>
            <w:r>
              <w:rPr>
                <w:color w:val="000000" w:themeColor="text1"/>
                <w:sz w:val="21"/>
                <w:szCs w:val="21"/>
                <w:highlight w:val="none"/>
              </w:rPr>
              <w:t>m</w:t>
            </w:r>
            <w:r>
              <w:rPr>
                <w:color w:val="000000" w:themeColor="text1"/>
                <w:sz w:val="21"/>
                <w:szCs w:val="21"/>
                <w:highlight w:val="none"/>
                <w:vertAlign w:val="superscript"/>
              </w:rPr>
              <w:t>3</w:t>
            </w:r>
          </w:p>
        </w:tc>
        <w:tc>
          <w:tcPr>
            <w:tcW w:w="512" w:type="pct"/>
            <w:vAlign w:val="center"/>
          </w:tcPr>
          <w:p w14:paraId="4E64EE02">
            <w:pPr>
              <w:pageBreakBefore w:val="0"/>
              <w:widowControl/>
              <w:wordWrap/>
              <w:topLinePunct w:val="0"/>
              <w:bidi w:val="0"/>
              <w:spacing w:line="240" w:lineRule="auto"/>
              <w:ind w:firstLine="0" w:firstLineChars="0"/>
              <w:jc w:val="center"/>
              <w:rPr>
                <w:color w:val="000000" w:themeColor="text1"/>
                <w:kern w:val="0"/>
                <w:sz w:val="21"/>
                <w:szCs w:val="21"/>
                <w:highlight w:val="none"/>
              </w:rPr>
            </w:pPr>
            <w:r>
              <w:rPr>
                <w:rFonts w:hint="eastAsia"/>
                <w:color w:val="000000" w:themeColor="text1"/>
                <w:kern w:val="0"/>
                <w:sz w:val="21"/>
                <w:szCs w:val="21"/>
                <w:highlight w:val="none"/>
              </w:rPr>
              <w:t>/</w:t>
            </w:r>
          </w:p>
        </w:tc>
        <w:tc>
          <w:tcPr>
            <w:tcW w:w="459" w:type="pct"/>
            <w:tcBorders>
              <w:right w:val="nil"/>
            </w:tcBorders>
            <w:vAlign w:val="center"/>
          </w:tcPr>
          <w:p w14:paraId="3F4ED928">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间断</w:t>
            </w:r>
          </w:p>
        </w:tc>
      </w:tr>
    </w:tbl>
    <w:p w14:paraId="353401F8">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3.3.1.4</w:t>
      </w:r>
      <w:r>
        <w:rPr>
          <w:color w:val="000000" w:themeColor="text1"/>
          <w:highlight w:val="none"/>
        </w:rPr>
        <w:t>废水</w:t>
      </w:r>
    </w:p>
    <w:p w14:paraId="20920FCF">
      <w:pPr>
        <w:pageBreakBefore w:val="0"/>
        <w:wordWrap/>
        <w:topLinePunct w:val="0"/>
        <w:bidi w:val="0"/>
        <w:spacing w:line="360" w:lineRule="auto"/>
        <w:rPr>
          <w:color w:val="000000" w:themeColor="text1"/>
          <w:highlight w:val="none"/>
        </w:rPr>
      </w:pPr>
      <w:r>
        <w:rPr>
          <w:color w:val="000000" w:themeColor="text1"/>
          <w:highlight w:val="none"/>
        </w:rPr>
        <w:t>（1）生活污水</w:t>
      </w:r>
    </w:p>
    <w:p w14:paraId="33FE0198">
      <w:pPr>
        <w:pageBreakBefore w:val="0"/>
        <w:wordWrap/>
        <w:topLinePunct w:val="0"/>
        <w:bidi w:val="0"/>
        <w:spacing w:line="360" w:lineRule="auto"/>
        <w:rPr>
          <w:color w:val="000000" w:themeColor="text1"/>
          <w:highlight w:val="none"/>
        </w:rPr>
      </w:pPr>
      <w:r>
        <w:rPr>
          <w:color w:val="000000" w:themeColor="text1"/>
          <w:highlight w:val="none"/>
        </w:rPr>
        <w:t>本项目设置施工驻地</w:t>
      </w:r>
      <w:r>
        <w:rPr>
          <w:rFonts w:hint="eastAsia"/>
          <w:color w:val="000000" w:themeColor="text1"/>
          <w:highlight w:val="none"/>
          <w:lang w:val="en-US" w:eastAsia="zh-CN"/>
        </w:rPr>
        <w:t>1</w:t>
      </w:r>
      <w:r>
        <w:rPr>
          <w:color w:val="000000" w:themeColor="text1"/>
          <w:highlight w:val="none"/>
        </w:rPr>
        <w:t>处，施工人数约</w:t>
      </w:r>
      <w:r>
        <w:rPr>
          <w:rFonts w:hint="eastAsia"/>
          <w:color w:val="000000" w:themeColor="text1"/>
          <w:highlight w:val="none"/>
          <w:lang w:val="en-US" w:eastAsia="zh-CN"/>
        </w:rPr>
        <w:t>100</w:t>
      </w:r>
      <w:r>
        <w:rPr>
          <w:color w:val="000000" w:themeColor="text1"/>
          <w:highlight w:val="none"/>
        </w:rPr>
        <w:t>人，参照《黑龙江省用水定额》（DB23/T727-2021），施工人员生活用水按80L/d·人、废水排放系数按0.8计，拟建项目有效施工期为</w:t>
      </w:r>
      <w:r>
        <w:rPr>
          <w:rFonts w:hint="eastAsia"/>
          <w:color w:val="000000" w:themeColor="text1"/>
          <w:highlight w:val="none"/>
          <w:lang w:val="en-US" w:eastAsia="zh-CN"/>
        </w:rPr>
        <w:t>12</w:t>
      </w:r>
      <w:r>
        <w:rPr>
          <w:color w:val="000000" w:themeColor="text1"/>
          <w:highlight w:val="none"/>
        </w:rPr>
        <w:t>个月，则施工生活污水量为</w:t>
      </w:r>
      <w:r>
        <w:rPr>
          <w:rFonts w:hint="eastAsia"/>
          <w:color w:val="000000" w:themeColor="text1"/>
          <w:highlight w:val="none"/>
          <w:lang w:val="en-US" w:eastAsia="zh-CN"/>
        </w:rPr>
        <w:t>6.4</w:t>
      </w:r>
      <w:r>
        <w:rPr>
          <w:color w:val="000000" w:themeColor="text1"/>
          <w:highlight w:val="none"/>
        </w:rPr>
        <w:t>m</w:t>
      </w:r>
      <w:r>
        <w:rPr>
          <w:color w:val="000000" w:themeColor="text1"/>
          <w:highlight w:val="none"/>
          <w:vertAlign w:val="superscript"/>
        </w:rPr>
        <w:t>3</w:t>
      </w:r>
      <w:r>
        <w:rPr>
          <w:color w:val="000000" w:themeColor="text1"/>
          <w:highlight w:val="none"/>
        </w:rPr>
        <w:t>/d、</w:t>
      </w:r>
      <w:r>
        <w:rPr>
          <w:rFonts w:hint="eastAsia"/>
          <w:color w:val="000000" w:themeColor="text1"/>
          <w:highlight w:val="none"/>
          <w:lang w:val="en-US" w:eastAsia="zh-CN"/>
        </w:rPr>
        <w:t>2304</w:t>
      </w:r>
      <w:r>
        <w:rPr>
          <w:color w:val="000000" w:themeColor="text1"/>
          <w:highlight w:val="none"/>
        </w:rPr>
        <w:t>m</w:t>
      </w:r>
      <w:r>
        <w:rPr>
          <w:color w:val="000000" w:themeColor="text1"/>
          <w:highlight w:val="none"/>
          <w:vertAlign w:val="superscript"/>
        </w:rPr>
        <w:t>3</w:t>
      </w:r>
      <w:r>
        <w:rPr>
          <w:color w:val="000000" w:themeColor="text1"/>
          <w:highlight w:val="none"/>
        </w:rPr>
        <w:t>/施工期。</w:t>
      </w:r>
    </w:p>
    <w:p w14:paraId="3DAAD44A">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表3.3-</w:t>
      </w:r>
      <w:r>
        <w:rPr>
          <w:rFonts w:hint="eastAsia"/>
          <w:b/>
          <w:color w:val="000000" w:themeColor="text1"/>
          <w:highlight w:val="none"/>
          <w:lang w:val="en-US" w:eastAsia="zh-CN"/>
        </w:rPr>
        <w:t>7</w:t>
      </w:r>
      <w:r>
        <w:rPr>
          <w:b/>
          <w:color w:val="000000" w:themeColor="text1"/>
          <w:highlight w:val="none"/>
        </w:rPr>
        <w:t xml:space="preserve">  施工人员生活污水量排放估算表</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1559"/>
        <w:gridCol w:w="1700"/>
        <w:gridCol w:w="1845"/>
        <w:gridCol w:w="1897"/>
      </w:tblGrid>
      <w:tr w14:paraId="12ADB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27" w:type="dxa"/>
            <w:vMerge w:val="restart"/>
            <w:tcBorders>
              <w:top w:val="single" w:color="auto" w:sz="12" w:space="0"/>
              <w:left w:val="nil"/>
            </w:tcBorders>
            <w:vAlign w:val="center"/>
          </w:tcPr>
          <w:p w14:paraId="34FEE0BB">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污水排放量</w:t>
            </w:r>
          </w:p>
        </w:tc>
        <w:tc>
          <w:tcPr>
            <w:tcW w:w="1559" w:type="dxa"/>
            <w:vMerge w:val="restart"/>
            <w:tcBorders>
              <w:top w:val="single" w:color="auto" w:sz="12" w:space="0"/>
            </w:tcBorders>
            <w:vAlign w:val="center"/>
          </w:tcPr>
          <w:p w14:paraId="0A6E2C3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污染物</w:t>
            </w:r>
          </w:p>
        </w:tc>
        <w:tc>
          <w:tcPr>
            <w:tcW w:w="1700" w:type="dxa"/>
            <w:vMerge w:val="restart"/>
            <w:tcBorders>
              <w:top w:val="single" w:color="auto" w:sz="12" w:space="0"/>
            </w:tcBorders>
            <w:vAlign w:val="center"/>
          </w:tcPr>
          <w:p w14:paraId="655AA6E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污染物浓度</w:t>
            </w:r>
          </w:p>
          <w:p w14:paraId="08D74F7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（mg/L）</w:t>
            </w:r>
          </w:p>
        </w:tc>
        <w:tc>
          <w:tcPr>
            <w:tcW w:w="3742" w:type="dxa"/>
            <w:gridSpan w:val="2"/>
            <w:tcBorders>
              <w:top w:val="single" w:color="auto" w:sz="12" w:space="0"/>
              <w:right w:val="nil"/>
            </w:tcBorders>
            <w:vAlign w:val="center"/>
          </w:tcPr>
          <w:p w14:paraId="11DEA75A">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污染物排放量</w:t>
            </w:r>
          </w:p>
        </w:tc>
      </w:tr>
      <w:tr w14:paraId="767A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27" w:type="dxa"/>
            <w:vMerge w:val="continue"/>
            <w:tcBorders>
              <w:left w:val="nil"/>
            </w:tcBorders>
            <w:vAlign w:val="center"/>
          </w:tcPr>
          <w:p w14:paraId="6063C841">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559" w:type="dxa"/>
            <w:vMerge w:val="continue"/>
            <w:vAlign w:val="center"/>
          </w:tcPr>
          <w:p w14:paraId="5A3EED81">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700" w:type="dxa"/>
            <w:vMerge w:val="continue"/>
            <w:vAlign w:val="center"/>
          </w:tcPr>
          <w:p w14:paraId="2AFC3B59">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845" w:type="dxa"/>
            <w:vAlign w:val="center"/>
          </w:tcPr>
          <w:p w14:paraId="3B38D8B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t/d</w:t>
            </w:r>
          </w:p>
        </w:tc>
        <w:tc>
          <w:tcPr>
            <w:tcW w:w="1897" w:type="dxa"/>
            <w:tcBorders>
              <w:right w:val="nil"/>
            </w:tcBorders>
            <w:vAlign w:val="center"/>
          </w:tcPr>
          <w:p w14:paraId="797F2A0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t/施工期</w:t>
            </w:r>
          </w:p>
        </w:tc>
      </w:tr>
      <w:tr w14:paraId="3A372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27" w:type="dxa"/>
            <w:vMerge w:val="restart"/>
            <w:tcBorders>
              <w:left w:val="nil"/>
            </w:tcBorders>
            <w:vAlign w:val="center"/>
          </w:tcPr>
          <w:p w14:paraId="15F3AB0D">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6.4</w:t>
            </w:r>
            <w:r>
              <w:rPr>
                <w:snapToGrid w:val="0"/>
                <w:color w:val="000000" w:themeColor="text1"/>
                <w:sz w:val="21"/>
                <w:szCs w:val="21"/>
                <w:highlight w:val="none"/>
              </w:rPr>
              <w:t>m</w:t>
            </w:r>
            <w:r>
              <w:rPr>
                <w:snapToGrid w:val="0"/>
                <w:color w:val="000000" w:themeColor="text1"/>
                <w:sz w:val="21"/>
                <w:szCs w:val="21"/>
                <w:highlight w:val="none"/>
                <w:vertAlign w:val="superscript"/>
              </w:rPr>
              <w:t>3</w:t>
            </w:r>
            <w:r>
              <w:rPr>
                <w:snapToGrid w:val="0"/>
                <w:color w:val="000000" w:themeColor="text1"/>
                <w:sz w:val="21"/>
                <w:szCs w:val="21"/>
                <w:highlight w:val="none"/>
              </w:rPr>
              <w:t>/d</w:t>
            </w:r>
          </w:p>
          <w:p w14:paraId="0EF9363D">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2304</w:t>
            </w:r>
            <w:r>
              <w:rPr>
                <w:snapToGrid w:val="0"/>
                <w:color w:val="000000" w:themeColor="text1"/>
                <w:sz w:val="21"/>
                <w:szCs w:val="21"/>
                <w:highlight w:val="none"/>
              </w:rPr>
              <w:t>m</w:t>
            </w:r>
            <w:r>
              <w:rPr>
                <w:snapToGrid w:val="0"/>
                <w:color w:val="000000" w:themeColor="text1"/>
                <w:sz w:val="21"/>
                <w:szCs w:val="21"/>
                <w:highlight w:val="none"/>
                <w:vertAlign w:val="superscript"/>
              </w:rPr>
              <w:t>3</w:t>
            </w:r>
            <w:r>
              <w:rPr>
                <w:snapToGrid w:val="0"/>
                <w:color w:val="000000" w:themeColor="text1"/>
                <w:sz w:val="21"/>
                <w:szCs w:val="21"/>
                <w:highlight w:val="none"/>
              </w:rPr>
              <w:t>/施工期</w:t>
            </w:r>
          </w:p>
        </w:tc>
        <w:tc>
          <w:tcPr>
            <w:tcW w:w="1559" w:type="dxa"/>
            <w:vAlign w:val="center"/>
          </w:tcPr>
          <w:p w14:paraId="33B8865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COD</w:t>
            </w:r>
            <w:r>
              <w:rPr>
                <w:snapToGrid w:val="0"/>
                <w:color w:val="000000" w:themeColor="text1"/>
                <w:sz w:val="21"/>
                <w:szCs w:val="21"/>
                <w:highlight w:val="none"/>
                <w:vertAlign w:val="subscript"/>
              </w:rPr>
              <w:t>cr</w:t>
            </w:r>
          </w:p>
        </w:tc>
        <w:tc>
          <w:tcPr>
            <w:tcW w:w="1700" w:type="dxa"/>
            <w:vAlign w:val="center"/>
          </w:tcPr>
          <w:p w14:paraId="7110BF6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300</w:t>
            </w:r>
          </w:p>
        </w:tc>
        <w:tc>
          <w:tcPr>
            <w:tcW w:w="1845" w:type="dxa"/>
            <w:vAlign w:val="center"/>
          </w:tcPr>
          <w:p w14:paraId="7BE1BAFD">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color w:val="000000" w:themeColor="text1"/>
                <w:kern w:val="0"/>
                <w:sz w:val="21"/>
                <w:szCs w:val="21"/>
                <w:highlight w:val="none"/>
              </w:rPr>
              <w:t>0.00</w:t>
            </w:r>
            <w:r>
              <w:rPr>
                <w:rFonts w:hint="eastAsia"/>
                <w:color w:val="000000" w:themeColor="text1"/>
                <w:kern w:val="0"/>
                <w:sz w:val="21"/>
                <w:szCs w:val="21"/>
                <w:highlight w:val="none"/>
                <w:lang w:val="en-US" w:eastAsia="zh-CN"/>
              </w:rPr>
              <w:t>192</w:t>
            </w:r>
          </w:p>
        </w:tc>
        <w:tc>
          <w:tcPr>
            <w:tcW w:w="1897" w:type="dxa"/>
            <w:tcBorders>
              <w:right w:val="nil"/>
            </w:tcBorders>
            <w:vAlign w:val="center"/>
          </w:tcPr>
          <w:p w14:paraId="3B606CD6">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color w:val="000000" w:themeColor="text1"/>
                <w:kern w:val="0"/>
                <w:sz w:val="21"/>
                <w:szCs w:val="21"/>
                <w:highlight w:val="none"/>
                <w:lang w:val="en-US" w:eastAsia="zh-CN"/>
              </w:rPr>
              <w:t>0.691</w:t>
            </w:r>
          </w:p>
        </w:tc>
      </w:tr>
      <w:tr w14:paraId="6CACF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27" w:type="dxa"/>
            <w:vMerge w:val="continue"/>
            <w:tcBorders>
              <w:left w:val="nil"/>
            </w:tcBorders>
            <w:vAlign w:val="center"/>
          </w:tcPr>
          <w:p w14:paraId="33CE3755">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559" w:type="dxa"/>
            <w:vAlign w:val="center"/>
          </w:tcPr>
          <w:p w14:paraId="39E8421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BOD</w:t>
            </w:r>
            <w:r>
              <w:rPr>
                <w:snapToGrid w:val="0"/>
                <w:color w:val="000000" w:themeColor="text1"/>
                <w:sz w:val="21"/>
                <w:szCs w:val="21"/>
                <w:highlight w:val="none"/>
                <w:vertAlign w:val="subscript"/>
              </w:rPr>
              <w:t>5</w:t>
            </w:r>
          </w:p>
        </w:tc>
        <w:tc>
          <w:tcPr>
            <w:tcW w:w="1700" w:type="dxa"/>
            <w:vAlign w:val="center"/>
          </w:tcPr>
          <w:p w14:paraId="528A9D0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200</w:t>
            </w:r>
          </w:p>
        </w:tc>
        <w:tc>
          <w:tcPr>
            <w:tcW w:w="1845" w:type="dxa"/>
            <w:vAlign w:val="center"/>
          </w:tcPr>
          <w:p w14:paraId="7A504193">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rPr>
              <w:t>0</w:t>
            </w:r>
            <w:r>
              <w:rPr>
                <w:snapToGrid w:val="0"/>
                <w:color w:val="000000" w:themeColor="text1"/>
                <w:sz w:val="21"/>
                <w:szCs w:val="21"/>
                <w:highlight w:val="none"/>
              </w:rPr>
              <w:t>.00</w:t>
            </w:r>
            <w:r>
              <w:rPr>
                <w:rFonts w:hint="eastAsia"/>
                <w:snapToGrid w:val="0"/>
                <w:color w:val="000000" w:themeColor="text1"/>
                <w:sz w:val="21"/>
                <w:szCs w:val="21"/>
                <w:highlight w:val="none"/>
                <w:lang w:val="en-US" w:eastAsia="zh-CN"/>
              </w:rPr>
              <w:t>128</w:t>
            </w:r>
          </w:p>
        </w:tc>
        <w:tc>
          <w:tcPr>
            <w:tcW w:w="1897" w:type="dxa"/>
            <w:tcBorders>
              <w:right w:val="nil"/>
            </w:tcBorders>
            <w:vAlign w:val="center"/>
          </w:tcPr>
          <w:p w14:paraId="67050765">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0.461</w:t>
            </w:r>
          </w:p>
        </w:tc>
      </w:tr>
      <w:tr w14:paraId="06E5B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27" w:type="dxa"/>
            <w:vMerge w:val="continue"/>
            <w:tcBorders>
              <w:left w:val="nil"/>
            </w:tcBorders>
            <w:vAlign w:val="center"/>
          </w:tcPr>
          <w:p w14:paraId="70C15C19">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559" w:type="dxa"/>
            <w:vAlign w:val="center"/>
          </w:tcPr>
          <w:p w14:paraId="2F8F33E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SS</w:t>
            </w:r>
          </w:p>
        </w:tc>
        <w:tc>
          <w:tcPr>
            <w:tcW w:w="1700" w:type="dxa"/>
            <w:vAlign w:val="center"/>
          </w:tcPr>
          <w:p w14:paraId="1E7A495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220</w:t>
            </w:r>
          </w:p>
        </w:tc>
        <w:tc>
          <w:tcPr>
            <w:tcW w:w="1845" w:type="dxa"/>
            <w:vAlign w:val="center"/>
          </w:tcPr>
          <w:p w14:paraId="705C1F30">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rPr>
              <w:t>0</w:t>
            </w:r>
            <w:r>
              <w:rPr>
                <w:snapToGrid w:val="0"/>
                <w:color w:val="000000" w:themeColor="text1"/>
                <w:sz w:val="21"/>
                <w:szCs w:val="21"/>
                <w:highlight w:val="none"/>
              </w:rPr>
              <w:t>.00</w:t>
            </w:r>
            <w:r>
              <w:rPr>
                <w:rFonts w:hint="eastAsia"/>
                <w:snapToGrid w:val="0"/>
                <w:color w:val="000000" w:themeColor="text1"/>
                <w:sz w:val="21"/>
                <w:szCs w:val="21"/>
                <w:highlight w:val="none"/>
                <w:lang w:val="en-US" w:eastAsia="zh-CN"/>
              </w:rPr>
              <w:t>141</w:t>
            </w:r>
          </w:p>
        </w:tc>
        <w:tc>
          <w:tcPr>
            <w:tcW w:w="1897" w:type="dxa"/>
            <w:tcBorders>
              <w:right w:val="nil"/>
            </w:tcBorders>
            <w:vAlign w:val="center"/>
          </w:tcPr>
          <w:p w14:paraId="7F97D57B">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0.507</w:t>
            </w:r>
          </w:p>
        </w:tc>
      </w:tr>
      <w:tr w14:paraId="07367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27" w:type="dxa"/>
            <w:vMerge w:val="continue"/>
            <w:tcBorders>
              <w:left w:val="nil"/>
              <w:bottom w:val="single" w:color="auto" w:sz="12" w:space="0"/>
            </w:tcBorders>
            <w:vAlign w:val="center"/>
          </w:tcPr>
          <w:p w14:paraId="7EF550D8">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559" w:type="dxa"/>
            <w:tcBorders>
              <w:bottom w:val="single" w:color="auto" w:sz="12" w:space="0"/>
            </w:tcBorders>
            <w:vAlign w:val="center"/>
          </w:tcPr>
          <w:p w14:paraId="10887E6E">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NH</w:t>
            </w:r>
            <w:r>
              <w:rPr>
                <w:snapToGrid w:val="0"/>
                <w:color w:val="000000" w:themeColor="text1"/>
                <w:sz w:val="21"/>
                <w:szCs w:val="21"/>
                <w:highlight w:val="none"/>
                <w:vertAlign w:val="subscript"/>
              </w:rPr>
              <w:t>3</w:t>
            </w:r>
            <w:r>
              <w:rPr>
                <w:snapToGrid w:val="0"/>
                <w:color w:val="000000" w:themeColor="text1"/>
                <w:sz w:val="21"/>
                <w:szCs w:val="21"/>
                <w:highlight w:val="none"/>
              </w:rPr>
              <w:t>-N</w:t>
            </w:r>
          </w:p>
        </w:tc>
        <w:tc>
          <w:tcPr>
            <w:tcW w:w="1700" w:type="dxa"/>
            <w:tcBorders>
              <w:bottom w:val="single" w:color="auto" w:sz="12" w:space="0"/>
            </w:tcBorders>
            <w:vAlign w:val="center"/>
          </w:tcPr>
          <w:p w14:paraId="0ECBE91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30</w:t>
            </w:r>
          </w:p>
        </w:tc>
        <w:tc>
          <w:tcPr>
            <w:tcW w:w="1845" w:type="dxa"/>
            <w:tcBorders>
              <w:bottom w:val="single" w:color="auto" w:sz="12" w:space="0"/>
            </w:tcBorders>
            <w:vAlign w:val="center"/>
          </w:tcPr>
          <w:p w14:paraId="2FABB7BB">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rPr>
              <w:t>0</w:t>
            </w:r>
            <w:r>
              <w:rPr>
                <w:snapToGrid w:val="0"/>
                <w:color w:val="000000" w:themeColor="text1"/>
                <w:sz w:val="21"/>
                <w:szCs w:val="21"/>
                <w:highlight w:val="none"/>
              </w:rPr>
              <w:t>.000</w:t>
            </w:r>
            <w:r>
              <w:rPr>
                <w:rFonts w:hint="eastAsia"/>
                <w:snapToGrid w:val="0"/>
                <w:color w:val="000000" w:themeColor="text1"/>
                <w:sz w:val="21"/>
                <w:szCs w:val="21"/>
                <w:highlight w:val="none"/>
                <w:lang w:val="en-US" w:eastAsia="zh-CN"/>
              </w:rPr>
              <w:t>192</w:t>
            </w:r>
          </w:p>
        </w:tc>
        <w:tc>
          <w:tcPr>
            <w:tcW w:w="1897" w:type="dxa"/>
            <w:tcBorders>
              <w:bottom w:val="single" w:color="auto" w:sz="12" w:space="0"/>
              <w:right w:val="nil"/>
            </w:tcBorders>
            <w:vAlign w:val="center"/>
          </w:tcPr>
          <w:p w14:paraId="1C10C786">
            <w:pPr>
              <w:pageBreakBefore w:val="0"/>
              <w:widowControl/>
              <w:wordWrap/>
              <w:topLinePunct w:val="0"/>
              <w:bidi w:val="0"/>
              <w:spacing w:line="240" w:lineRule="auto"/>
              <w:ind w:firstLine="0" w:firstLineChars="0"/>
              <w:jc w:val="center"/>
              <w:textAlignment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0.069</w:t>
            </w:r>
          </w:p>
        </w:tc>
      </w:tr>
    </w:tbl>
    <w:p w14:paraId="370C6C45">
      <w:pPr>
        <w:pageBreakBefore w:val="0"/>
        <w:wordWrap/>
        <w:topLinePunct w:val="0"/>
        <w:bidi w:val="0"/>
        <w:spacing w:line="360" w:lineRule="auto"/>
        <w:ind w:firstLine="240" w:firstLineChars="100"/>
        <w:rPr>
          <w:color w:val="000000" w:themeColor="text1"/>
          <w:highlight w:val="none"/>
        </w:rPr>
      </w:pPr>
      <w:r>
        <w:rPr>
          <w:color w:val="000000" w:themeColor="text1"/>
          <w:highlight w:val="none"/>
        </w:rPr>
        <w:t>（2）施工场地生产废水</w:t>
      </w:r>
    </w:p>
    <w:p w14:paraId="26FF805E">
      <w:pPr>
        <w:pageBreakBefore w:val="0"/>
        <w:wordWrap/>
        <w:topLinePunct w:val="0"/>
        <w:bidi w:val="0"/>
        <w:spacing w:line="360" w:lineRule="auto"/>
        <w:rPr>
          <w:color w:val="000000" w:themeColor="text1"/>
          <w:highlight w:val="none"/>
        </w:rPr>
      </w:pPr>
      <w:r>
        <w:rPr>
          <w:rFonts w:hint="eastAsia" w:cs="宋体"/>
          <w:color w:val="000000" w:themeColor="text1"/>
          <w:highlight w:val="none"/>
        </w:rPr>
        <w:t>①</w:t>
      </w:r>
      <w:r>
        <w:rPr>
          <w:color w:val="000000" w:themeColor="text1"/>
          <w:highlight w:val="none"/>
        </w:rPr>
        <w:t>混凝土拌合站冲洗废水</w:t>
      </w:r>
    </w:p>
    <w:p w14:paraId="283D54C4">
      <w:pPr>
        <w:pageBreakBefore w:val="0"/>
        <w:wordWrap/>
        <w:topLinePunct w:val="0"/>
        <w:bidi w:val="0"/>
        <w:spacing w:line="360" w:lineRule="auto"/>
        <w:rPr>
          <w:color w:val="000000" w:themeColor="text1"/>
          <w:highlight w:val="none"/>
        </w:rPr>
      </w:pPr>
      <w:r>
        <w:rPr>
          <w:color w:val="000000" w:themeColor="text1"/>
          <w:highlight w:val="none"/>
        </w:rPr>
        <w:t>本项目基层水泥混凝土拌合站冲洗废水以混凝土转筒和料罐冲洗废水为主要表现形式，具有悬浮物浓度高、水量小、间歇集中排放等特点，主要污染物为SS，根据有关资料，混凝土搅拌废水每次冲洗污水产生量约0.5m</w:t>
      </w:r>
      <w:r>
        <w:rPr>
          <w:color w:val="000000" w:themeColor="text1"/>
          <w:highlight w:val="none"/>
          <w:vertAlign w:val="superscript"/>
        </w:rPr>
        <w:t>3</w:t>
      </w:r>
      <w:r>
        <w:rPr>
          <w:color w:val="000000" w:themeColor="text1"/>
          <w:highlight w:val="none"/>
        </w:rPr>
        <w:t>，SS浓度约5000mg/L。施工工场生产废水经沉淀池处理后用于施工场地降尘，不外排。</w:t>
      </w:r>
    </w:p>
    <w:p w14:paraId="5331F5BB">
      <w:pPr>
        <w:pageBreakBefore w:val="0"/>
        <w:wordWrap/>
        <w:topLinePunct w:val="0"/>
        <w:bidi w:val="0"/>
        <w:spacing w:line="360" w:lineRule="auto"/>
        <w:rPr>
          <w:color w:val="000000" w:themeColor="text1"/>
          <w:highlight w:val="none"/>
        </w:rPr>
      </w:pPr>
      <w:r>
        <w:rPr>
          <w:rFonts w:hint="eastAsia" w:cs="宋体"/>
          <w:color w:val="000000" w:themeColor="text1"/>
          <w:highlight w:val="none"/>
        </w:rPr>
        <w:t>②</w:t>
      </w:r>
      <w:r>
        <w:rPr>
          <w:color w:val="000000" w:themeColor="text1"/>
          <w:highlight w:val="none"/>
        </w:rPr>
        <w:t>施工机械冲洗废水</w:t>
      </w:r>
    </w:p>
    <w:p w14:paraId="0129303B">
      <w:pPr>
        <w:pageBreakBefore w:val="0"/>
        <w:wordWrap/>
        <w:topLinePunct w:val="0"/>
        <w:bidi w:val="0"/>
        <w:spacing w:line="360" w:lineRule="auto"/>
        <w:rPr>
          <w:color w:val="000000" w:themeColor="text1"/>
          <w:highlight w:val="none"/>
        </w:rPr>
      </w:pPr>
      <w:r>
        <w:rPr>
          <w:color w:val="000000" w:themeColor="text1"/>
          <w:highlight w:val="none"/>
        </w:rPr>
        <w:t>本项目施工场地施工过程中机械和车辆清洗废水中主要污染物为石油类和SS，其中SS浓度较高，根据有关资料，施工机械和车辆冲洗废水中污染物浓度分别为SS360 mg/L、石油类200mg/L。</w:t>
      </w:r>
    </w:p>
    <w:p w14:paraId="7F986CBC">
      <w:pPr>
        <w:pageBreakBefore w:val="0"/>
        <w:wordWrap/>
        <w:topLinePunct w:val="0"/>
        <w:bidi w:val="0"/>
        <w:spacing w:line="360" w:lineRule="auto"/>
        <w:rPr>
          <w:color w:val="000000" w:themeColor="text1"/>
          <w:highlight w:val="none"/>
        </w:rPr>
      </w:pPr>
      <w:r>
        <w:rPr>
          <w:rFonts w:hint="eastAsia"/>
          <w:color w:val="000000" w:themeColor="text1"/>
          <w:highlight w:val="none"/>
        </w:rPr>
        <w:t>（3）</w:t>
      </w:r>
      <w:r>
        <w:rPr>
          <w:color w:val="000000" w:themeColor="text1"/>
          <w:highlight w:val="none"/>
        </w:rPr>
        <w:t>桥梁施工废水</w:t>
      </w:r>
    </w:p>
    <w:p w14:paraId="11CD7CB0">
      <w:pPr>
        <w:pageBreakBefore w:val="0"/>
        <w:wordWrap/>
        <w:topLinePunct w:val="0"/>
        <w:bidi w:val="0"/>
        <w:spacing w:line="360" w:lineRule="auto"/>
        <w:rPr>
          <w:color w:val="000000" w:themeColor="text1"/>
          <w:highlight w:val="none"/>
        </w:rPr>
      </w:pPr>
      <w:r>
        <w:rPr>
          <w:rFonts w:hint="eastAsia"/>
          <w:color w:val="000000" w:themeColor="text1"/>
          <w:highlight w:val="none"/>
        </w:rPr>
        <w:t>①围堰设置和拆除对地表水的影响</w:t>
      </w:r>
    </w:p>
    <w:p w14:paraId="1E1B4438">
      <w:pPr>
        <w:pageBreakBefore w:val="0"/>
        <w:wordWrap/>
        <w:topLinePunct w:val="0"/>
        <w:bidi w:val="0"/>
        <w:spacing w:line="360" w:lineRule="auto"/>
        <w:rPr>
          <w:color w:val="000000" w:themeColor="text1"/>
          <w:highlight w:val="none"/>
        </w:rPr>
      </w:pPr>
      <w:r>
        <w:rPr>
          <w:rFonts w:hint="eastAsia"/>
          <w:color w:val="000000" w:themeColor="text1"/>
          <w:highlight w:val="none"/>
        </w:rPr>
        <w:t>本项目共有1座中桥</w:t>
      </w:r>
      <w:r>
        <w:rPr>
          <w:color w:val="000000" w:themeColor="text1"/>
          <w:highlight w:val="none"/>
        </w:rPr>
        <w:t>水中设置桥墩，</w:t>
      </w:r>
      <w:r>
        <w:rPr>
          <w:rFonts w:hint="eastAsia"/>
          <w:color w:val="000000" w:themeColor="text1"/>
          <w:highlight w:val="none"/>
        </w:rPr>
        <w:t>施工前期设置围堰和后期拆除围堰会扰动河底泥沙和沉积物造成局部水域悬浮物浓度增加，根据同类工程研究表明，围堰施工时，局部水域悬浮物浓度在80～160mg/L，但施工处下游100m范围外SS增量不超过50mg/L，对下游100m范围外水域水质影响较小。</w:t>
      </w:r>
    </w:p>
    <w:p w14:paraId="2E651020">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2 \* GB3 \* MERGEFORMAT </w:instrText>
      </w:r>
      <w:r>
        <w:rPr>
          <w:color w:val="000000" w:themeColor="text1"/>
          <w:highlight w:val="none"/>
        </w:rPr>
        <w:fldChar w:fldCharType="separate"/>
      </w:r>
      <w:r>
        <w:rPr>
          <w:rFonts w:hint="eastAsia" w:cs="宋体"/>
          <w:color w:val="000000" w:themeColor="text1"/>
          <w:highlight w:val="none"/>
        </w:rPr>
        <w:t>②</w:t>
      </w:r>
      <w:r>
        <w:rPr>
          <w:color w:val="000000" w:themeColor="text1"/>
          <w:highlight w:val="none"/>
        </w:rPr>
        <w:fldChar w:fldCharType="end"/>
      </w:r>
      <w:r>
        <w:rPr>
          <w:color w:val="000000" w:themeColor="text1"/>
          <w:highlight w:val="none"/>
        </w:rPr>
        <w:t>钻</w:t>
      </w:r>
      <w:r>
        <w:rPr>
          <w:rFonts w:hint="eastAsia"/>
          <w:color w:val="000000" w:themeColor="text1"/>
          <w:highlight w:val="none"/>
        </w:rPr>
        <w:t>孔和清孔对地表水环境的影响</w:t>
      </w:r>
    </w:p>
    <w:p w14:paraId="2DE5D67A">
      <w:pPr>
        <w:pageBreakBefore w:val="0"/>
        <w:wordWrap/>
        <w:topLinePunct w:val="0"/>
        <w:bidi w:val="0"/>
        <w:spacing w:line="360" w:lineRule="auto"/>
        <w:jc w:val="left"/>
        <w:rPr>
          <w:color w:val="000000" w:themeColor="text1"/>
          <w:szCs w:val="20"/>
          <w:highlight w:val="none"/>
        </w:rPr>
      </w:pPr>
      <w:r>
        <w:rPr>
          <w:rFonts w:hint="eastAsia"/>
          <w:color w:val="000000" w:themeColor="text1"/>
          <w:highlight w:val="none"/>
        </w:rPr>
        <w:t>本项目桥墩钻孔施工将产生泥浆和钻渣，其中泥浆废水经泥浆分离机处理后泥浆重复回用、废水用于降尘。根据武汉白沙洲长江大桥类比调查，采用泥浆分离机回收泥浆，泥浆污水中SS浓度由处理前1690mg/L降低至66mg/L。</w:t>
      </w:r>
      <w:r>
        <w:rPr>
          <w:color w:val="000000" w:themeColor="text1"/>
          <w:szCs w:val="20"/>
          <w:highlight w:val="none"/>
        </w:rPr>
        <w:t>在钻进过程中，如产生钻孔漏浆，也会限制在基坑范围内。据</w:t>
      </w:r>
      <w:r>
        <w:rPr>
          <w:rFonts w:hint="eastAsia"/>
          <w:color w:val="000000" w:themeColor="text1"/>
          <w:szCs w:val="20"/>
          <w:highlight w:val="none"/>
        </w:rPr>
        <w:t>一般施工经验</w:t>
      </w:r>
      <w:r>
        <w:rPr>
          <w:color w:val="000000" w:themeColor="text1"/>
          <w:szCs w:val="20"/>
          <w:highlight w:val="none"/>
        </w:rPr>
        <w:t>，钻孔漏浆的发生概率</w:t>
      </w:r>
      <w:r>
        <w:rPr>
          <w:rFonts w:hint="eastAsia"/>
          <w:color w:val="000000" w:themeColor="text1"/>
          <w:szCs w:val="20"/>
          <w:highlight w:val="none"/>
        </w:rPr>
        <w:t>约为</w:t>
      </w:r>
      <w:r>
        <w:rPr>
          <w:color w:val="000000" w:themeColor="text1"/>
          <w:szCs w:val="20"/>
          <w:highlight w:val="none"/>
        </w:rPr>
        <w:t>1.0%，可见因钻孔漏浆造成周边污染的可能</w:t>
      </w:r>
      <w:r>
        <w:rPr>
          <w:rFonts w:hint="eastAsia"/>
          <w:color w:val="000000" w:themeColor="text1"/>
          <w:szCs w:val="20"/>
          <w:highlight w:val="none"/>
        </w:rPr>
        <w:t>性</w:t>
      </w:r>
      <w:r>
        <w:rPr>
          <w:color w:val="000000" w:themeColor="text1"/>
          <w:szCs w:val="20"/>
          <w:highlight w:val="none"/>
        </w:rPr>
        <w:t>很小。</w:t>
      </w:r>
    </w:p>
    <w:p w14:paraId="0A2688C6">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3 \* GB3 \* MERGEFORMAT </w:instrText>
      </w:r>
      <w:r>
        <w:rPr>
          <w:color w:val="000000" w:themeColor="text1"/>
          <w:highlight w:val="none"/>
        </w:rPr>
        <w:fldChar w:fldCharType="separate"/>
      </w:r>
      <w:r>
        <w:rPr>
          <w:rFonts w:hint="eastAsia" w:cs="宋体"/>
          <w:color w:val="000000" w:themeColor="text1"/>
          <w:highlight w:val="none"/>
        </w:rPr>
        <w:t>③</w:t>
      </w:r>
      <w:r>
        <w:rPr>
          <w:color w:val="000000" w:themeColor="text1"/>
          <w:highlight w:val="none"/>
        </w:rPr>
        <w:fldChar w:fldCharType="end"/>
      </w:r>
      <w:r>
        <w:rPr>
          <w:rFonts w:hint="eastAsia"/>
          <w:color w:val="000000" w:themeColor="text1"/>
          <w:highlight w:val="none"/>
        </w:rPr>
        <w:t>混凝土灌注对地表水环境的影响</w:t>
      </w:r>
    </w:p>
    <w:p w14:paraId="1B26CD34">
      <w:pPr>
        <w:pageBreakBefore w:val="0"/>
        <w:wordWrap/>
        <w:topLinePunct w:val="0"/>
        <w:bidi w:val="0"/>
        <w:spacing w:line="360" w:lineRule="auto"/>
        <w:rPr>
          <w:color w:val="000000" w:themeColor="text1"/>
          <w:highlight w:val="none"/>
        </w:rPr>
      </w:pPr>
      <w:r>
        <w:rPr>
          <w:rFonts w:hint="eastAsia"/>
          <w:color w:val="000000" w:themeColor="text1"/>
          <w:highlight w:val="none"/>
        </w:rPr>
        <w:t>桥墩灌注过程中可能发生溢浆和漏浆，会限制在围堰内，不会对地表水体造成污染。</w:t>
      </w:r>
    </w:p>
    <w:p w14:paraId="31A09146">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3.3.1.5</w:t>
      </w:r>
      <w:r>
        <w:rPr>
          <w:color w:val="000000" w:themeColor="text1"/>
          <w:highlight w:val="none"/>
        </w:rPr>
        <w:t>固废</w:t>
      </w:r>
    </w:p>
    <w:p w14:paraId="0A8C0848">
      <w:pPr>
        <w:pageBreakBefore w:val="0"/>
        <w:wordWrap/>
        <w:topLinePunct w:val="0"/>
        <w:bidi w:val="0"/>
        <w:spacing w:line="360" w:lineRule="auto"/>
        <w:rPr>
          <w:color w:val="000000" w:themeColor="text1"/>
          <w:highlight w:val="none"/>
        </w:rPr>
      </w:pPr>
      <w:r>
        <w:rPr>
          <w:color w:val="000000" w:themeColor="text1"/>
          <w:highlight w:val="none"/>
        </w:rPr>
        <w:t>（1）生活垃圾</w:t>
      </w:r>
    </w:p>
    <w:p w14:paraId="20770EC7">
      <w:pPr>
        <w:pageBreakBefore w:val="0"/>
        <w:wordWrap/>
        <w:topLinePunct w:val="0"/>
        <w:bidi w:val="0"/>
        <w:spacing w:line="360" w:lineRule="auto"/>
        <w:rPr>
          <w:color w:val="000000" w:themeColor="text1"/>
          <w:highlight w:val="none"/>
        </w:rPr>
      </w:pPr>
      <w:r>
        <w:rPr>
          <w:color w:val="000000" w:themeColor="text1"/>
          <w:highlight w:val="none"/>
        </w:rPr>
        <w:t>本项目施工人员</w:t>
      </w:r>
      <w:r>
        <w:rPr>
          <w:rFonts w:hint="eastAsia"/>
          <w:color w:val="000000" w:themeColor="text1"/>
          <w:highlight w:val="none"/>
          <w:lang w:val="en-US" w:eastAsia="zh-CN"/>
        </w:rPr>
        <w:t>1</w:t>
      </w:r>
      <w:r>
        <w:rPr>
          <w:color w:val="000000" w:themeColor="text1"/>
          <w:highlight w:val="none"/>
        </w:rPr>
        <w:t>00人，生活垃圾量按0.5kg/人.d计，生活垃圾产生量为</w:t>
      </w:r>
      <w:r>
        <w:rPr>
          <w:rFonts w:hint="eastAsia"/>
          <w:color w:val="000000" w:themeColor="text1"/>
          <w:highlight w:val="none"/>
          <w:lang w:val="en-US" w:eastAsia="zh-CN"/>
        </w:rPr>
        <w:t>50</w:t>
      </w:r>
      <w:r>
        <w:rPr>
          <w:color w:val="000000" w:themeColor="text1"/>
          <w:highlight w:val="none"/>
        </w:rPr>
        <w:t>kg/d、</w:t>
      </w:r>
      <w:r>
        <w:rPr>
          <w:rFonts w:hint="eastAsia"/>
          <w:color w:val="000000" w:themeColor="text1"/>
          <w:highlight w:val="none"/>
          <w:lang w:val="en-US" w:eastAsia="zh-CN"/>
        </w:rPr>
        <w:t>18</w:t>
      </w:r>
      <w:r>
        <w:rPr>
          <w:color w:val="000000" w:themeColor="text1"/>
          <w:highlight w:val="none"/>
        </w:rPr>
        <w:t>t/施工期。生活垃圾集中收集后，运至市政指定地点由市政统一处理，严禁随意丢弃。</w:t>
      </w:r>
    </w:p>
    <w:p w14:paraId="5F5B1CCD">
      <w:pPr>
        <w:pageBreakBefore w:val="0"/>
        <w:wordWrap/>
        <w:topLinePunct w:val="0"/>
        <w:bidi w:val="0"/>
        <w:spacing w:line="360" w:lineRule="auto"/>
        <w:rPr>
          <w:color w:val="000000" w:themeColor="text1"/>
          <w:highlight w:val="none"/>
        </w:rPr>
      </w:pPr>
      <w:r>
        <w:rPr>
          <w:color w:val="000000" w:themeColor="text1"/>
          <w:highlight w:val="none"/>
        </w:rPr>
        <w:t>（2）施工弃渣</w:t>
      </w:r>
    </w:p>
    <w:p w14:paraId="1CB16524">
      <w:pPr>
        <w:pageBreakBefore w:val="0"/>
        <w:wordWrap/>
        <w:topLinePunct w:val="0"/>
        <w:bidi w:val="0"/>
        <w:spacing w:line="360" w:lineRule="auto"/>
        <w:rPr>
          <w:color w:val="000000" w:themeColor="text1"/>
          <w:highlight w:val="none"/>
        </w:rPr>
      </w:pPr>
      <w:r>
        <w:rPr>
          <w:rFonts w:hint="eastAsia"/>
          <w:color w:val="000000" w:themeColor="text1"/>
          <w:sz w:val="24"/>
          <w:szCs w:val="24"/>
          <w:highlight w:val="none"/>
          <w:lang w:val="en-US" w:eastAsia="zh-CN"/>
        </w:rPr>
        <w:t>本项目表土余方3.31万m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全部运至志成村弃渣场，用于对弃渣场内废弃坑塘进行填筑、平整，弃渣场协议见附件9。</w:t>
      </w:r>
      <w:r>
        <w:rPr>
          <w:color w:val="000000" w:themeColor="text1"/>
          <w:highlight w:val="none"/>
        </w:rPr>
        <w:t>工程</w:t>
      </w:r>
      <w:r>
        <w:rPr>
          <w:rFonts w:hint="eastAsia"/>
          <w:color w:val="000000" w:themeColor="text1"/>
          <w:highlight w:val="none"/>
        </w:rPr>
        <w:t>土石方</w:t>
      </w:r>
      <w:r>
        <w:rPr>
          <w:color w:val="000000" w:themeColor="text1"/>
          <w:highlight w:val="none"/>
        </w:rPr>
        <w:t>临时堆置过程主要影响是水土流失，并影响周围景观。</w:t>
      </w:r>
    </w:p>
    <w:p w14:paraId="12CD70E7">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3</w:t>
      </w:r>
      <w:r>
        <w:rPr>
          <w:rFonts w:hint="eastAsia"/>
          <w:color w:val="000000" w:themeColor="text1"/>
          <w:highlight w:val="none"/>
        </w:rPr>
        <w:t>）建筑垃圾</w:t>
      </w:r>
    </w:p>
    <w:p w14:paraId="12379A86">
      <w:pPr>
        <w:pageBreakBefore w:val="0"/>
        <w:wordWrap/>
        <w:topLinePunct w:val="0"/>
        <w:bidi w:val="0"/>
        <w:spacing w:line="360" w:lineRule="auto"/>
        <w:rPr>
          <w:color w:val="000000" w:themeColor="text1"/>
          <w:highlight w:val="none"/>
        </w:rPr>
      </w:pPr>
      <w:r>
        <w:rPr>
          <w:rFonts w:hint="eastAsia"/>
          <w:color w:val="000000" w:themeColor="text1"/>
          <w:highlight w:val="none"/>
        </w:rPr>
        <w:t>工程施工垃圾主要包括</w:t>
      </w:r>
      <w:r>
        <w:rPr>
          <w:rFonts w:hint="eastAsia"/>
          <w:color w:val="000000" w:themeColor="text1"/>
          <w:highlight w:val="none"/>
          <w:lang w:val="en-US" w:eastAsia="zh-CN"/>
        </w:rPr>
        <w:t>施工建筑材料废包装以及</w:t>
      </w:r>
      <w:r>
        <w:rPr>
          <w:rFonts w:hint="eastAsia"/>
          <w:color w:val="000000" w:themeColor="text1"/>
          <w:highlight w:val="none"/>
        </w:rPr>
        <w:t>施工结束后临时设施拆除会产生一定数量的建筑垃圾。拆除废料、</w:t>
      </w:r>
      <w:r>
        <w:rPr>
          <w:rFonts w:hint="eastAsia"/>
          <w:color w:val="000000" w:themeColor="text1"/>
          <w:highlight w:val="none"/>
          <w:lang w:val="en-US" w:eastAsia="zh-CN"/>
        </w:rPr>
        <w:t>废包装</w:t>
      </w:r>
      <w:r>
        <w:rPr>
          <w:rFonts w:hint="eastAsia"/>
          <w:color w:val="000000" w:themeColor="text1"/>
          <w:highlight w:val="none"/>
        </w:rPr>
        <w:t>若处置不当，将影响沿线环境、景观、占用土地、破坏植被等。</w:t>
      </w:r>
    </w:p>
    <w:p w14:paraId="318A718B">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建筑材料废包装可卖给废品回收公司再利用</w:t>
      </w:r>
      <w:r>
        <w:rPr>
          <w:rFonts w:hint="eastAsia"/>
          <w:color w:val="000000" w:themeColor="text1"/>
          <w:highlight w:val="none"/>
        </w:rPr>
        <w:t>。施工结束后临时工程拆除产生的建筑垃圾可进行分类处理，水泥、石块等建筑垃圾可运往建筑垃圾处置场，经处理后进行综合利用。</w:t>
      </w:r>
    </w:p>
    <w:p w14:paraId="32E06FF4">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4</w:t>
      </w:r>
      <w:r>
        <w:rPr>
          <w:rFonts w:hint="eastAsia"/>
          <w:color w:val="000000" w:themeColor="text1"/>
          <w:highlight w:val="none"/>
        </w:rPr>
        <w:t>）废泥浆</w:t>
      </w:r>
    </w:p>
    <w:p w14:paraId="2EDF9A59">
      <w:pPr>
        <w:pageBreakBefore w:val="0"/>
        <w:wordWrap/>
        <w:topLinePunct w:val="0"/>
        <w:bidi w:val="0"/>
        <w:spacing w:line="360" w:lineRule="auto"/>
        <w:rPr>
          <w:rFonts w:hint="eastAsia" w:ascii="Times New Roman" w:hAnsi="Times New Roman"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桥</w:t>
      </w:r>
      <w:r>
        <w:rPr>
          <w:rFonts w:hint="eastAsia" w:ascii="Times New Roman" w:hAnsi="Times New Roman" w:cs="Times New Roman"/>
          <w:color w:val="000000" w:themeColor="text1"/>
          <w:highlight w:val="none"/>
          <w:lang w:val="en-US" w:eastAsia="zh-CN"/>
        </w:rPr>
        <w:t>梁施工过程中泥浆废水经泥浆分离机处理后泥浆重复回用、废水用于降尘用水，施工结束后少量剩余废泥浆经干化后作为原施工场地内沉淀池等平整填埋使用。</w:t>
      </w:r>
    </w:p>
    <w:p w14:paraId="48CE7C00">
      <w:pPr>
        <w:pageBreakBefore w:val="0"/>
        <w:wordWrap/>
        <w:topLinePunct w:val="0"/>
        <w:bidi w:val="0"/>
        <w:spacing w:line="360" w:lineRule="auto"/>
        <w:rPr>
          <w:rFonts w:hint="eastAsia" w:ascii="Times New Roman" w:hAnsi="Times New Roman" w:cs="Times New Roman"/>
          <w:color w:val="000000" w:themeColor="text1"/>
          <w:highlight w:val="none"/>
          <w:shd w:val="clear" w:color="auto" w:fill="auto"/>
          <w:lang w:val="en-US" w:eastAsia="zh-CN"/>
        </w:rPr>
      </w:pPr>
      <w:r>
        <w:rPr>
          <w:rFonts w:hint="eastAsia" w:ascii="Times New Roman" w:hAnsi="Times New Roman" w:cs="Times New Roman"/>
          <w:color w:val="000000" w:themeColor="text1"/>
          <w:highlight w:val="none"/>
          <w:shd w:val="clear" w:color="auto" w:fill="auto"/>
          <w:lang w:val="en-US" w:eastAsia="zh-CN"/>
        </w:rPr>
        <w:t>（5）</w:t>
      </w:r>
      <w:r>
        <w:rPr>
          <w:rFonts w:hint="default" w:ascii="Times New Roman" w:hAnsi="Times New Roman" w:cs="Times New Roman"/>
          <w:color w:val="000000" w:themeColor="text1"/>
          <w:highlight w:val="none"/>
          <w:shd w:val="clear" w:color="auto" w:fill="auto"/>
          <w:lang w:val="en-US" w:eastAsia="zh-CN"/>
        </w:rPr>
        <w:t>废油类物质</w:t>
      </w:r>
    </w:p>
    <w:p w14:paraId="0AC5A574">
      <w:pPr>
        <w:pageBreakBefore w:val="0"/>
        <w:wordWrap/>
        <w:topLinePunct w:val="0"/>
        <w:bidi w:val="0"/>
        <w:spacing w:line="360" w:lineRule="auto"/>
        <w:rPr>
          <w:rFonts w:hint="default" w:ascii="Times New Roman" w:hAnsi="Times New Roman" w:cs="Times New Roman"/>
          <w:color w:val="000000" w:themeColor="text1"/>
          <w:highlight w:val="none"/>
          <w:shd w:val="clear" w:color="auto" w:fill="auto"/>
          <w:lang w:val="en-US" w:eastAsia="zh-CN"/>
        </w:rPr>
      </w:pPr>
      <w:r>
        <w:rPr>
          <w:rFonts w:hint="default" w:ascii="Times New Roman" w:hAnsi="Times New Roman" w:cs="Times New Roman"/>
          <w:color w:val="000000" w:themeColor="text1"/>
          <w:highlight w:val="none"/>
          <w:shd w:val="clear" w:color="auto" w:fill="auto"/>
          <w:lang w:val="en-US" w:eastAsia="zh-CN"/>
        </w:rPr>
        <w:t>废油类物质由隔油沉淀池隔离后，不设置单独贮存区，直接委托有相应处理资质的单位处置。</w:t>
      </w:r>
    </w:p>
    <w:p w14:paraId="6B8266DD">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3.3.2运营期</w:t>
      </w:r>
    </w:p>
    <w:p w14:paraId="49EC847D">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3.3.2.1</w:t>
      </w:r>
      <w:r>
        <w:rPr>
          <w:rFonts w:hint="eastAsia"/>
          <w:color w:val="000000" w:themeColor="text1"/>
          <w:highlight w:val="none"/>
          <w:lang w:val="en-US" w:eastAsia="zh-CN"/>
        </w:rPr>
        <w:t>交通</w:t>
      </w:r>
      <w:r>
        <w:rPr>
          <w:color w:val="000000" w:themeColor="text1"/>
          <w:highlight w:val="none"/>
        </w:rPr>
        <w:t>噪声</w:t>
      </w:r>
    </w:p>
    <w:p w14:paraId="20BD1376">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本项目全线设计速度60km/h，不需要进行修正，本项目各型车辆的车速取值见表3.3-8。</w:t>
      </w:r>
    </w:p>
    <w:p w14:paraId="3773D7D4">
      <w:pPr>
        <w:pStyle w:val="138"/>
        <w:bidi w:val="0"/>
        <w:spacing w:line="360" w:lineRule="auto"/>
        <w:rPr>
          <w:rFonts w:hint="eastAsia" w:ascii="Times New Roman" w:hAnsi="Times New Roman" w:eastAsia="宋体" w:cs="Times New Roman"/>
          <w:b/>
          <w:color w:val="000000" w:themeColor="text1"/>
          <w:kern w:val="2"/>
          <w:sz w:val="24"/>
          <w:szCs w:val="24"/>
          <w:highlight w:val="none"/>
          <w:lang w:val="en-US" w:eastAsia="zh-CN" w:bidi="ar-SA"/>
        </w:rPr>
      </w:pPr>
      <w:r>
        <w:rPr>
          <w:rFonts w:hint="eastAsia" w:ascii="Times New Roman" w:hAnsi="Times New Roman" w:eastAsia="宋体" w:cs="Times New Roman"/>
          <w:b/>
          <w:color w:val="000000" w:themeColor="text1"/>
          <w:kern w:val="2"/>
          <w:sz w:val="24"/>
          <w:szCs w:val="24"/>
          <w:highlight w:val="none"/>
          <w:lang w:val="en-US" w:eastAsia="zh-CN" w:bidi="ar-SA"/>
        </w:rPr>
        <w:t>表</w:t>
      </w:r>
      <w:r>
        <w:rPr>
          <w:rFonts w:hint="eastAsia" w:cs="Times New Roman"/>
          <w:b/>
          <w:color w:val="000000" w:themeColor="text1"/>
          <w:kern w:val="2"/>
          <w:sz w:val="24"/>
          <w:szCs w:val="24"/>
          <w:highlight w:val="none"/>
          <w:lang w:val="en-US" w:eastAsia="zh-CN" w:bidi="ar-SA"/>
        </w:rPr>
        <w:t>3.3-8</w:t>
      </w:r>
      <w:r>
        <w:rPr>
          <w:rFonts w:hint="eastAsia" w:ascii="Times New Roman" w:hAnsi="Times New Roman" w:eastAsia="宋体" w:cs="Times New Roman"/>
          <w:b/>
          <w:color w:val="000000" w:themeColor="text1"/>
          <w:kern w:val="2"/>
          <w:sz w:val="24"/>
          <w:szCs w:val="24"/>
          <w:highlight w:val="none"/>
          <w:lang w:val="en-US" w:eastAsia="zh-CN" w:bidi="ar-SA"/>
        </w:rPr>
        <w:t xml:space="preserve"> </w:t>
      </w:r>
      <w:r>
        <w:rPr>
          <w:rFonts w:hint="eastAsia" w:cs="Times New Roman"/>
          <w:b/>
          <w:color w:val="000000" w:themeColor="text1"/>
          <w:kern w:val="2"/>
          <w:sz w:val="24"/>
          <w:szCs w:val="24"/>
          <w:highlight w:val="none"/>
          <w:lang w:val="en-US" w:eastAsia="zh-CN" w:bidi="ar-SA"/>
        </w:rPr>
        <w:t xml:space="preserve"> </w:t>
      </w:r>
      <w:r>
        <w:rPr>
          <w:rFonts w:hint="eastAsia" w:ascii="Times New Roman" w:hAnsi="Times New Roman" w:eastAsia="宋体" w:cs="Times New Roman"/>
          <w:b/>
          <w:color w:val="000000" w:themeColor="text1"/>
          <w:kern w:val="2"/>
          <w:sz w:val="24"/>
          <w:szCs w:val="24"/>
          <w:highlight w:val="none"/>
          <w:lang w:val="en-US" w:eastAsia="zh-CN" w:bidi="ar-SA"/>
        </w:rPr>
        <w:t>本项目各路段各型车辆的车速</w:t>
      </w:r>
    </w:p>
    <w:tbl>
      <w:tblPr>
        <w:tblStyle w:val="33"/>
        <w:tblW w:w="4995" w:type="pct"/>
        <w:jc w:val="center"/>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535"/>
        <w:gridCol w:w="2119"/>
        <w:gridCol w:w="1928"/>
        <w:gridCol w:w="1931"/>
      </w:tblGrid>
      <w:tr w14:paraId="14197716">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340" w:hRule="atLeast"/>
          <w:jc w:val="center"/>
        </w:trPr>
        <w:tc>
          <w:tcPr>
            <w:tcW w:w="1489" w:type="pct"/>
            <w:vMerge w:val="restart"/>
            <w:noWrap w:val="0"/>
            <w:vAlign w:val="center"/>
          </w:tcPr>
          <w:p w14:paraId="0D6CFF8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路段</w:t>
            </w:r>
          </w:p>
        </w:tc>
        <w:tc>
          <w:tcPr>
            <w:tcW w:w="1244" w:type="pct"/>
            <w:vMerge w:val="restart"/>
            <w:noWrap w:val="0"/>
            <w:vAlign w:val="center"/>
          </w:tcPr>
          <w:p w14:paraId="429F51C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车型</w:t>
            </w:r>
          </w:p>
        </w:tc>
        <w:tc>
          <w:tcPr>
            <w:tcW w:w="2266" w:type="pct"/>
            <w:gridSpan w:val="2"/>
            <w:noWrap w:val="0"/>
            <w:vAlign w:val="center"/>
          </w:tcPr>
          <w:p w14:paraId="5E900A9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全时段（km/h）</w:t>
            </w:r>
          </w:p>
        </w:tc>
      </w:tr>
      <w:tr w14:paraId="7009F0C8">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340" w:hRule="atLeast"/>
          <w:jc w:val="center"/>
        </w:trPr>
        <w:tc>
          <w:tcPr>
            <w:tcW w:w="1489" w:type="pct"/>
            <w:vMerge w:val="continue"/>
            <w:noWrap w:val="0"/>
            <w:vAlign w:val="center"/>
          </w:tcPr>
          <w:p w14:paraId="2B29EC0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244" w:type="pct"/>
            <w:vMerge w:val="continue"/>
            <w:noWrap w:val="0"/>
            <w:vAlign w:val="center"/>
          </w:tcPr>
          <w:p w14:paraId="3DFBA823">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132" w:type="pct"/>
            <w:noWrap w:val="0"/>
            <w:vAlign w:val="center"/>
          </w:tcPr>
          <w:p w14:paraId="68A14E6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1134" w:type="pct"/>
            <w:noWrap w:val="0"/>
            <w:vAlign w:val="center"/>
          </w:tcPr>
          <w:p w14:paraId="2A1DEB63">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r>
      <w:tr w14:paraId="5CB99624">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340" w:hRule="atLeast"/>
          <w:jc w:val="center"/>
        </w:trPr>
        <w:tc>
          <w:tcPr>
            <w:tcW w:w="1489" w:type="pct"/>
            <w:vMerge w:val="restart"/>
            <w:noWrap w:val="0"/>
            <w:vAlign w:val="center"/>
          </w:tcPr>
          <w:p w14:paraId="440548D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机场进场路主线及</w:t>
            </w:r>
            <w:r>
              <w:rPr>
                <w:rFonts w:hint="eastAsia" w:ascii="Times New Roman" w:hAnsi="Times New Roman" w:cs="Times New Roman"/>
                <w:color w:val="000000" w:themeColor="text1"/>
                <w:sz w:val="21"/>
                <w:szCs w:val="21"/>
                <w:highlight w:val="none"/>
                <w:lang w:val="en-US" w:eastAsia="zh-CN"/>
              </w:rPr>
              <w:t>连接线</w:t>
            </w:r>
          </w:p>
        </w:tc>
        <w:tc>
          <w:tcPr>
            <w:tcW w:w="1244" w:type="pct"/>
            <w:noWrap w:val="0"/>
            <w:vAlign w:val="center"/>
          </w:tcPr>
          <w:p w14:paraId="2745542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小型车</w:t>
            </w:r>
          </w:p>
        </w:tc>
        <w:tc>
          <w:tcPr>
            <w:tcW w:w="1132" w:type="pct"/>
            <w:noWrap w:val="0"/>
            <w:vAlign w:val="center"/>
          </w:tcPr>
          <w:p w14:paraId="3F089DF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60</w:t>
            </w:r>
          </w:p>
        </w:tc>
        <w:tc>
          <w:tcPr>
            <w:tcW w:w="1134" w:type="pct"/>
            <w:noWrap w:val="0"/>
            <w:vAlign w:val="center"/>
          </w:tcPr>
          <w:p w14:paraId="44238E1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60</w:t>
            </w:r>
          </w:p>
        </w:tc>
      </w:tr>
      <w:tr w14:paraId="797B1A47">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340" w:hRule="atLeast"/>
          <w:jc w:val="center"/>
        </w:trPr>
        <w:tc>
          <w:tcPr>
            <w:tcW w:w="1489" w:type="pct"/>
            <w:vMerge w:val="continue"/>
            <w:noWrap w:val="0"/>
            <w:vAlign w:val="center"/>
          </w:tcPr>
          <w:p w14:paraId="31A7CC2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244" w:type="pct"/>
            <w:noWrap w:val="0"/>
            <w:vAlign w:val="center"/>
          </w:tcPr>
          <w:p w14:paraId="631550D3">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中型车</w:t>
            </w:r>
          </w:p>
        </w:tc>
        <w:tc>
          <w:tcPr>
            <w:tcW w:w="1132" w:type="pct"/>
            <w:shd w:val="clear" w:color="auto" w:fill="auto"/>
            <w:noWrap w:val="0"/>
            <w:vAlign w:val="center"/>
          </w:tcPr>
          <w:p w14:paraId="1C6709D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ascii="Times New Roman" w:hAnsi="Times New Roman" w:cs="Times New Roman"/>
                <w:color w:val="000000" w:themeColor="text1"/>
                <w:sz w:val="21"/>
                <w:szCs w:val="21"/>
                <w:highlight w:val="none"/>
                <w:lang w:val="en-US" w:eastAsia="zh-CN"/>
              </w:rPr>
              <w:t>60</w:t>
            </w:r>
          </w:p>
        </w:tc>
        <w:tc>
          <w:tcPr>
            <w:tcW w:w="1134" w:type="pct"/>
            <w:shd w:val="clear" w:color="auto" w:fill="auto"/>
            <w:noWrap w:val="0"/>
            <w:vAlign w:val="center"/>
          </w:tcPr>
          <w:p w14:paraId="0A9FC59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ascii="Times New Roman" w:hAnsi="Times New Roman" w:cs="Times New Roman"/>
                <w:color w:val="000000" w:themeColor="text1"/>
                <w:sz w:val="21"/>
                <w:szCs w:val="21"/>
                <w:highlight w:val="none"/>
                <w:lang w:val="en-US" w:eastAsia="zh-CN"/>
              </w:rPr>
              <w:t>60</w:t>
            </w:r>
          </w:p>
        </w:tc>
      </w:tr>
      <w:tr w14:paraId="4DDDF16B">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340" w:hRule="atLeast"/>
          <w:jc w:val="center"/>
        </w:trPr>
        <w:tc>
          <w:tcPr>
            <w:tcW w:w="1489" w:type="pct"/>
            <w:vMerge w:val="continue"/>
            <w:noWrap w:val="0"/>
            <w:vAlign w:val="center"/>
          </w:tcPr>
          <w:p w14:paraId="347F161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244" w:type="pct"/>
            <w:noWrap w:val="0"/>
            <w:vAlign w:val="center"/>
          </w:tcPr>
          <w:p w14:paraId="519BA71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大型车</w:t>
            </w:r>
          </w:p>
        </w:tc>
        <w:tc>
          <w:tcPr>
            <w:tcW w:w="1132" w:type="pct"/>
            <w:shd w:val="clear" w:color="auto" w:fill="auto"/>
            <w:noWrap w:val="0"/>
            <w:vAlign w:val="center"/>
          </w:tcPr>
          <w:p w14:paraId="3CB7699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ascii="Times New Roman" w:hAnsi="Times New Roman" w:cs="Times New Roman"/>
                <w:color w:val="000000" w:themeColor="text1"/>
                <w:sz w:val="21"/>
                <w:szCs w:val="21"/>
                <w:highlight w:val="none"/>
                <w:lang w:val="en-US" w:eastAsia="zh-CN"/>
              </w:rPr>
              <w:t>60</w:t>
            </w:r>
          </w:p>
        </w:tc>
        <w:tc>
          <w:tcPr>
            <w:tcW w:w="1134" w:type="pct"/>
            <w:shd w:val="clear" w:color="auto" w:fill="auto"/>
            <w:noWrap w:val="0"/>
            <w:vAlign w:val="center"/>
          </w:tcPr>
          <w:p w14:paraId="1D7B4A4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ascii="Times New Roman" w:hAnsi="Times New Roman" w:cs="Times New Roman"/>
                <w:color w:val="000000" w:themeColor="text1"/>
                <w:sz w:val="21"/>
                <w:szCs w:val="21"/>
                <w:highlight w:val="none"/>
                <w:lang w:val="en-US" w:eastAsia="zh-CN"/>
              </w:rPr>
              <w:t>60</w:t>
            </w:r>
          </w:p>
        </w:tc>
      </w:tr>
    </w:tbl>
    <w:p w14:paraId="0B5E180C">
      <w:pPr>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由交通预测量可知，本项目小型车比例近期为75%，中期为76.1%，远期为77.4%，根据</w:t>
      </w:r>
      <w:r>
        <w:rPr>
          <w:rFonts w:hint="default"/>
          <w:color w:val="000000" w:themeColor="text1"/>
          <w:highlight w:val="none"/>
          <w:lang w:val="en-US" w:eastAsia="zh-CN"/>
        </w:rPr>
        <w:t>《环境影响评价技术导则 公路建设项目》</w:t>
      </w:r>
      <w:r>
        <w:rPr>
          <w:rFonts w:hint="eastAsia"/>
          <w:color w:val="000000" w:themeColor="text1"/>
          <w:highlight w:val="none"/>
          <w:lang w:val="en-US" w:eastAsia="zh-CN"/>
        </w:rPr>
        <w:t>（</w:t>
      </w:r>
      <w:r>
        <w:rPr>
          <w:rFonts w:hint="default"/>
          <w:color w:val="000000" w:themeColor="text1"/>
          <w:highlight w:val="none"/>
          <w:lang w:val="en-US" w:eastAsia="zh-CN"/>
        </w:rPr>
        <w:t>HJ1358-2024</w:t>
      </w:r>
      <w:r>
        <w:rPr>
          <w:rFonts w:hint="eastAsia"/>
          <w:color w:val="000000" w:themeColor="text1"/>
          <w:highlight w:val="none"/>
          <w:lang w:val="en-US" w:eastAsia="zh-CN"/>
        </w:rPr>
        <w:t>）</w:t>
      </w:r>
      <w:r>
        <w:rPr>
          <w:rFonts w:hint="default"/>
          <w:color w:val="000000" w:themeColor="text1"/>
          <w:highlight w:val="none"/>
          <w:lang w:val="en-US" w:eastAsia="zh-CN"/>
        </w:rPr>
        <w:t>附录</w:t>
      </w:r>
      <w:r>
        <w:rPr>
          <w:rFonts w:hint="eastAsia"/>
          <w:color w:val="000000" w:themeColor="text1"/>
          <w:highlight w:val="none"/>
          <w:lang w:val="en-US" w:eastAsia="zh-CN"/>
        </w:rPr>
        <w:t>C C.2.3小型车比例小于45%或大于75%时，平均车速可采用类比调查方式确定。</w:t>
      </w:r>
    </w:p>
    <w:p w14:paraId="7332985C">
      <w:pPr>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本项目通过类比调查《</w:t>
      </w:r>
      <w:r>
        <w:rPr>
          <w:rFonts w:hint="default"/>
          <w:color w:val="000000" w:themeColor="text1"/>
          <w:highlight w:val="none"/>
          <w:lang w:val="en-US" w:eastAsia="zh-CN"/>
        </w:rPr>
        <w:t>省道（S001</w:t>
      </w:r>
      <w:r>
        <w:rPr>
          <w:rFonts w:hint="eastAsia"/>
          <w:color w:val="000000" w:themeColor="text1"/>
          <w:highlight w:val="none"/>
          <w:lang w:val="en-US" w:eastAsia="zh-CN"/>
        </w:rPr>
        <w:t>）哈尔滨经济圈环线公路江堤路至机场高速段改扩建工程建设项目竣工环境保护验收调查表》，该工程已于2023年10月完成竣工验收，设计车速</w:t>
      </w:r>
      <w:r>
        <w:rPr>
          <w:rFonts w:hint="eastAsia"/>
          <w:color w:val="000000" w:themeColor="text1"/>
          <w:highlight w:val="none"/>
          <w:vertAlign w:val="baseline"/>
          <w:lang w:val="en-US" w:eastAsia="zh-CN"/>
        </w:rPr>
        <w:t>60km/h，验收调查实际车速均为60km/h。</w:t>
      </w:r>
    </w:p>
    <w:p w14:paraId="2F385B8E">
      <w:pPr>
        <w:bidi w:val="0"/>
        <w:spacing w:line="360" w:lineRule="auto"/>
        <w:rPr>
          <w:rFonts w:hint="default"/>
          <w:color w:val="000000" w:themeColor="text1"/>
          <w:highlight w:val="none"/>
          <w:lang w:val="en-US" w:eastAsia="zh-CN"/>
        </w:rPr>
      </w:pPr>
      <w:r>
        <w:rPr>
          <w:rFonts w:hint="default"/>
          <w:color w:val="000000" w:themeColor="text1"/>
          <w:highlight w:val="none"/>
          <w:lang w:val="en-US" w:eastAsia="zh-CN"/>
        </w:rPr>
        <w:t>根据《环境影响评价技术导则 公路建设项目》（HJ1358-2024）附录</w:t>
      </w:r>
      <w:r>
        <w:rPr>
          <w:rFonts w:hint="eastAsia"/>
          <w:color w:val="000000" w:themeColor="text1"/>
          <w:highlight w:val="none"/>
          <w:lang w:val="en-US" w:eastAsia="zh-CN"/>
        </w:rPr>
        <w:t>B</w:t>
      </w:r>
      <w:r>
        <w:rPr>
          <w:rFonts w:hint="default"/>
          <w:color w:val="000000" w:themeColor="text1"/>
          <w:highlight w:val="none"/>
          <w:lang w:val="en-US" w:eastAsia="zh-CN"/>
        </w:rPr>
        <w:t>，</w:t>
      </w:r>
      <w:r>
        <w:rPr>
          <w:rFonts w:hint="eastAsia"/>
          <w:color w:val="000000" w:themeColor="text1"/>
          <w:highlight w:val="none"/>
          <w:lang w:val="en-US" w:eastAsia="zh-CN"/>
        </w:rPr>
        <w:t>各类型车在距离行车线</w:t>
      </w:r>
      <w:r>
        <w:rPr>
          <w:rFonts w:hint="default"/>
          <w:color w:val="000000" w:themeColor="text1"/>
          <w:highlight w:val="none"/>
          <w:lang w:val="en-US" w:eastAsia="zh-CN"/>
        </w:rPr>
        <w:t>（7.5m）处</w:t>
      </w:r>
      <w:r>
        <w:rPr>
          <w:rFonts w:hint="eastAsia"/>
          <w:color w:val="000000" w:themeColor="text1"/>
          <w:highlight w:val="none"/>
          <w:lang w:val="en-US" w:eastAsia="zh-CN"/>
        </w:rPr>
        <w:t>参照点的</w:t>
      </w:r>
      <w:r>
        <w:rPr>
          <w:rFonts w:hint="default"/>
          <w:color w:val="000000" w:themeColor="text1"/>
          <w:highlight w:val="none"/>
          <w:lang w:val="en-US" w:eastAsia="zh-CN"/>
        </w:rPr>
        <w:t>的平均辐射噪声级</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i</w:t>
      </w:r>
      <w:r>
        <w:rPr>
          <w:rFonts w:hint="default"/>
          <w:color w:val="000000" w:themeColor="text1"/>
          <w:highlight w:val="none"/>
          <w:lang w:val="en-US" w:eastAsia="zh-CN"/>
        </w:rPr>
        <w:t>按下式计算：</w:t>
      </w:r>
    </w:p>
    <w:p w14:paraId="21BD9EF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color w:val="000000" w:themeColor="text1"/>
          <w:highlight w:val="none"/>
          <w:vertAlign w:val="baseline"/>
          <w:lang w:val="en-US" w:eastAsia="zh-CN"/>
        </w:rPr>
      </w:pPr>
      <w:r>
        <w:rPr>
          <w:rFonts w:hint="default"/>
          <w:color w:val="000000" w:themeColor="text1"/>
          <w:highlight w:val="none"/>
          <w:lang w:val="en-US" w:eastAsia="zh-CN"/>
        </w:rPr>
        <w:t>小型车：</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s</w:t>
      </w:r>
      <w:r>
        <w:rPr>
          <w:rFonts w:hint="eastAsia"/>
          <w:color w:val="000000" w:themeColor="text1"/>
          <w:highlight w:val="none"/>
          <w:vertAlign w:val="baseline"/>
          <w:lang w:val="en-US" w:eastAsia="zh-CN"/>
        </w:rPr>
        <w:t>=12.6+34.73lgv</w:t>
      </w:r>
      <w:r>
        <w:rPr>
          <w:rFonts w:hint="eastAsia"/>
          <w:color w:val="000000" w:themeColor="text1"/>
          <w:highlight w:val="none"/>
          <w:vertAlign w:val="subscript"/>
          <w:lang w:val="en-US" w:eastAsia="zh-CN"/>
        </w:rPr>
        <w:t>s</w:t>
      </w:r>
      <w:r>
        <w:rPr>
          <w:rFonts w:hint="eastAsia"/>
          <w:color w:val="000000" w:themeColor="text1"/>
          <w:highlight w:val="none"/>
          <w:vertAlign w:val="baseline"/>
          <w:lang w:val="en-US" w:eastAsia="zh-CN"/>
        </w:rPr>
        <w:t>（适用车速范围：63km/h~140km/h）</w:t>
      </w:r>
    </w:p>
    <w:p w14:paraId="59891182">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color w:val="000000" w:themeColor="text1"/>
          <w:highlight w:val="none"/>
          <w:vertAlign w:val="subscript"/>
          <w:lang w:val="en-US" w:eastAsia="zh-CN"/>
        </w:rPr>
      </w:pPr>
      <w:r>
        <w:rPr>
          <w:rFonts w:hint="default"/>
          <w:color w:val="000000" w:themeColor="text1"/>
          <w:highlight w:val="none"/>
          <w:lang w:val="en-US" w:eastAsia="zh-CN"/>
        </w:rPr>
        <w:t>中型车：</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m</w:t>
      </w:r>
      <w:r>
        <w:rPr>
          <w:rFonts w:hint="eastAsia"/>
          <w:color w:val="000000" w:themeColor="text1"/>
          <w:highlight w:val="none"/>
          <w:vertAlign w:val="baseline"/>
          <w:lang w:val="en-US" w:eastAsia="zh-CN"/>
        </w:rPr>
        <w:t>=8.8+40.48lgv</w:t>
      </w:r>
      <w:r>
        <w:rPr>
          <w:rFonts w:hint="eastAsia"/>
          <w:color w:val="000000" w:themeColor="text1"/>
          <w:highlight w:val="none"/>
          <w:vertAlign w:val="subscript"/>
          <w:lang w:val="en-US" w:eastAsia="zh-CN"/>
        </w:rPr>
        <w:t>m</w:t>
      </w:r>
      <w:r>
        <w:rPr>
          <w:rFonts w:hint="eastAsia"/>
          <w:color w:val="000000" w:themeColor="text1"/>
          <w:highlight w:val="none"/>
          <w:vertAlign w:val="baseline"/>
          <w:lang w:val="en-US" w:eastAsia="zh-CN"/>
        </w:rPr>
        <w:t>（适用车速范围：53km/h~100km/h）</w:t>
      </w:r>
    </w:p>
    <w:p w14:paraId="3D8D42A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color w:val="000000" w:themeColor="text1"/>
          <w:highlight w:val="none"/>
          <w:lang w:val="en-US" w:eastAsia="zh-CN"/>
        </w:rPr>
      </w:pPr>
      <w:r>
        <w:rPr>
          <w:rFonts w:hint="default"/>
          <w:color w:val="000000" w:themeColor="text1"/>
          <w:highlight w:val="none"/>
          <w:lang w:val="en-US" w:eastAsia="zh-CN"/>
        </w:rPr>
        <w:t>大型车：</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l</w:t>
      </w:r>
      <w:r>
        <w:rPr>
          <w:rFonts w:hint="eastAsia"/>
          <w:color w:val="000000" w:themeColor="text1"/>
          <w:highlight w:val="none"/>
          <w:vertAlign w:val="baseline"/>
          <w:lang w:val="en-US" w:eastAsia="zh-CN"/>
        </w:rPr>
        <w:t>=22.0+36.32lgv</w:t>
      </w:r>
      <w:r>
        <w:rPr>
          <w:rFonts w:hint="eastAsia"/>
          <w:color w:val="000000" w:themeColor="text1"/>
          <w:highlight w:val="none"/>
          <w:vertAlign w:val="subscript"/>
          <w:lang w:val="en-US" w:eastAsia="zh-CN"/>
        </w:rPr>
        <w:t>l</w:t>
      </w:r>
      <w:r>
        <w:rPr>
          <w:rFonts w:hint="eastAsia"/>
          <w:color w:val="000000" w:themeColor="text1"/>
          <w:highlight w:val="none"/>
          <w:vertAlign w:val="baseline"/>
          <w:lang w:val="en-US" w:eastAsia="zh-CN"/>
        </w:rPr>
        <w:t>（适用车速范围：48km/h~90km/h）</w:t>
      </w:r>
    </w:p>
    <w:p w14:paraId="212719FD">
      <w:pPr>
        <w:bidi w:val="0"/>
        <w:spacing w:line="360" w:lineRule="auto"/>
        <w:rPr>
          <w:rFonts w:hint="default"/>
          <w:color w:val="000000" w:themeColor="text1"/>
          <w:highlight w:val="none"/>
          <w:lang w:val="en-US" w:eastAsia="zh-CN"/>
        </w:rPr>
      </w:pPr>
      <w:r>
        <w:rPr>
          <w:rFonts w:hint="default"/>
          <w:color w:val="000000" w:themeColor="text1"/>
          <w:highlight w:val="none"/>
          <w:lang w:val="en-US" w:eastAsia="zh-CN"/>
        </w:rPr>
        <w:t>式中：</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l</w:t>
      </w:r>
      <w:r>
        <w:rPr>
          <w:rFonts w:hint="default"/>
          <w:color w:val="000000" w:themeColor="text1"/>
          <w:highlight w:val="none"/>
          <w:lang w:val="en-US" w:eastAsia="zh-CN"/>
        </w:rPr>
        <w:t>—</w:t>
      </w:r>
      <w:r>
        <w:rPr>
          <w:rFonts w:hint="eastAsia"/>
          <w:color w:val="000000" w:themeColor="text1"/>
          <w:highlight w:val="none"/>
          <w:lang w:val="en-US" w:eastAsia="zh-CN"/>
        </w:rPr>
        <w:t>大型车在参照点处的平均辐射噪声级，dB（A）；</w:t>
      </w:r>
    </w:p>
    <w:p w14:paraId="57AAD4B5">
      <w:pPr>
        <w:bidi w:val="0"/>
        <w:spacing w:line="360" w:lineRule="auto"/>
        <w:ind w:firstLine="1200" w:firstLineChars="500"/>
        <w:rPr>
          <w:rFonts w:hint="default"/>
          <w:color w:val="000000" w:themeColor="text1"/>
          <w:highlight w:val="none"/>
          <w:lang w:val="en-US" w:eastAsia="zh-CN"/>
        </w:rPr>
      </w:pP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m</w:t>
      </w:r>
      <w:r>
        <w:rPr>
          <w:rFonts w:hint="default"/>
          <w:color w:val="000000" w:themeColor="text1"/>
          <w:highlight w:val="none"/>
          <w:lang w:val="en-US" w:eastAsia="zh-CN"/>
        </w:rPr>
        <w:t>—</w:t>
      </w:r>
      <w:r>
        <w:rPr>
          <w:rFonts w:hint="eastAsia"/>
          <w:color w:val="000000" w:themeColor="text1"/>
          <w:highlight w:val="none"/>
          <w:lang w:val="en-US" w:eastAsia="zh-CN"/>
        </w:rPr>
        <w:t>中型车在参照点处的平均辐射噪声级，dB（A）；</w:t>
      </w:r>
    </w:p>
    <w:p w14:paraId="59B34474">
      <w:pPr>
        <w:bidi w:val="0"/>
        <w:spacing w:line="360" w:lineRule="auto"/>
        <w:ind w:firstLine="1200" w:firstLineChars="500"/>
        <w:rPr>
          <w:rFonts w:hint="default"/>
          <w:color w:val="000000" w:themeColor="text1"/>
          <w:highlight w:val="none"/>
          <w:lang w:val="en-US" w:eastAsia="zh-CN"/>
        </w:rPr>
      </w:pP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OE</w:t>
      </w:r>
      <w:r>
        <w:rPr>
          <w:rFonts w:hint="eastAsia"/>
          <w:color w:val="000000" w:themeColor="text1"/>
          <w:highlight w:val="none"/>
          <w:lang w:val="en-US" w:eastAsia="zh-CN"/>
        </w:rPr>
        <w:t>）</w:t>
      </w:r>
      <w:r>
        <w:rPr>
          <w:rFonts w:hint="eastAsia"/>
          <w:color w:val="000000" w:themeColor="text1"/>
          <w:highlight w:val="none"/>
          <w:vertAlign w:val="subscript"/>
          <w:lang w:val="en-US" w:eastAsia="zh-CN"/>
        </w:rPr>
        <w:t>s</w:t>
      </w:r>
      <w:r>
        <w:rPr>
          <w:rFonts w:hint="default"/>
          <w:color w:val="000000" w:themeColor="text1"/>
          <w:highlight w:val="none"/>
          <w:lang w:val="en-US" w:eastAsia="zh-CN"/>
        </w:rPr>
        <w:t>—</w:t>
      </w:r>
      <w:r>
        <w:rPr>
          <w:rFonts w:hint="eastAsia"/>
          <w:color w:val="000000" w:themeColor="text1"/>
          <w:highlight w:val="none"/>
          <w:lang w:val="en-US" w:eastAsia="zh-CN"/>
        </w:rPr>
        <w:t>小型车在参照点处的平均辐射噪声级，dB（A）；</w:t>
      </w:r>
    </w:p>
    <w:p w14:paraId="0A3AF609">
      <w:pPr>
        <w:bidi w:val="0"/>
        <w:spacing w:line="360" w:lineRule="auto"/>
        <w:ind w:firstLine="1440" w:firstLineChars="600"/>
        <w:rPr>
          <w:rFonts w:hint="default"/>
          <w:color w:val="000000" w:themeColor="text1"/>
          <w:highlight w:val="none"/>
          <w:lang w:val="en-US" w:eastAsia="zh-CN"/>
        </w:rPr>
      </w:pPr>
      <w:r>
        <w:rPr>
          <w:rFonts w:hint="default"/>
          <w:color w:val="000000" w:themeColor="text1"/>
          <w:highlight w:val="none"/>
          <w:lang w:val="en-US" w:eastAsia="zh-CN"/>
        </w:rPr>
        <w:t>V</w:t>
      </w:r>
      <w:r>
        <w:rPr>
          <w:rFonts w:hint="eastAsia"/>
          <w:color w:val="000000" w:themeColor="text1"/>
          <w:highlight w:val="none"/>
          <w:vertAlign w:val="subscript"/>
          <w:lang w:val="en-US" w:eastAsia="zh-CN"/>
        </w:rPr>
        <w:t>l</w:t>
      </w:r>
      <w:r>
        <w:rPr>
          <w:rFonts w:hint="default"/>
          <w:color w:val="000000" w:themeColor="text1"/>
          <w:highlight w:val="none"/>
          <w:lang w:val="en-US" w:eastAsia="zh-CN"/>
        </w:rPr>
        <w:t>—</w:t>
      </w:r>
      <w:r>
        <w:rPr>
          <w:rFonts w:hint="eastAsia"/>
          <w:color w:val="000000" w:themeColor="text1"/>
          <w:highlight w:val="none"/>
          <w:lang w:val="en-US" w:eastAsia="zh-CN"/>
        </w:rPr>
        <w:t>大型车的平均</w:t>
      </w:r>
      <w:r>
        <w:rPr>
          <w:rFonts w:hint="default"/>
          <w:color w:val="000000" w:themeColor="text1"/>
          <w:highlight w:val="none"/>
          <w:lang w:val="en-US" w:eastAsia="zh-CN"/>
        </w:rPr>
        <w:t>速度，km/h</w:t>
      </w:r>
    </w:p>
    <w:p w14:paraId="207AF54B">
      <w:pPr>
        <w:bidi w:val="0"/>
        <w:spacing w:line="360" w:lineRule="auto"/>
        <w:ind w:firstLine="1440" w:firstLineChars="600"/>
        <w:rPr>
          <w:rFonts w:hint="default"/>
          <w:color w:val="000000" w:themeColor="text1"/>
          <w:highlight w:val="none"/>
          <w:lang w:val="en-US" w:eastAsia="zh-CN"/>
        </w:rPr>
      </w:pPr>
      <w:r>
        <w:rPr>
          <w:rFonts w:hint="default"/>
          <w:color w:val="000000" w:themeColor="text1"/>
          <w:highlight w:val="none"/>
          <w:lang w:val="en-US" w:eastAsia="zh-CN"/>
        </w:rPr>
        <w:t>V</w:t>
      </w:r>
      <w:r>
        <w:rPr>
          <w:rFonts w:hint="eastAsia"/>
          <w:color w:val="000000" w:themeColor="text1"/>
          <w:highlight w:val="none"/>
          <w:vertAlign w:val="subscript"/>
          <w:lang w:val="en-US" w:eastAsia="zh-CN"/>
        </w:rPr>
        <w:t>m</w:t>
      </w:r>
      <w:r>
        <w:rPr>
          <w:rFonts w:hint="default"/>
          <w:color w:val="000000" w:themeColor="text1"/>
          <w:highlight w:val="none"/>
          <w:lang w:val="en-US" w:eastAsia="zh-CN"/>
        </w:rPr>
        <w:t>—</w:t>
      </w:r>
      <w:r>
        <w:rPr>
          <w:rFonts w:hint="eastAsia"/>
          <w:color w:val="000000" w:themeColor="text1"/>
          <w:highlight w:val="none"/>
          <w:lang w:val="en-US" w:eastAsia="zh-CN"/>
        </w:rPr>
        <w:t>中型车的平均</w:t>
      </w:r>
      <w:r>
        <w:rPr>
          <w:rFonts w:hint="default"/>
          <w:color w:val="000000" w:themeColor="text1"/>
          <w:highlight w:val="none"/>
          <w:lang w:val="en-US" w:eastAsia="zh-CN"/>
        </w:rPr>
        <w:t>速度，km/h</w:t>
      </w:r>
    </w:p>
    <w:p w14:paraId="5666B8D5">
      <w:pPr>
        <w:bidi w:val="0"/>
        <w:spacing w:line="360" w:lineRule="auto"/>
        <w:ind w:firstLine="1440" w:firstLineChars="600"/>
        <w:rPr>
          <w:rFonts w:hint="default"/>
          <w:color w:val="000000" w:themeColor="text1"/>
          <w:highlight w:val="none"/>
          <w:lang w:val="en-US" w:eastAsia="zh-CN"/>
        </w:rPr>
      </w:pPr>
      <w:r>
        <w:rPr>
          <w:rFonts w:hint="default"/>
          <w:color w:val="000000" w:themeColor="text1"/>
          <w:highlight w:val="none"/>
          <w:lang w:val="en-US" w:eastAsia="zh-CN"/>
        </w:rPr>
        <w:t>V</w:t>
      </w:r>
      <w:r>
        <w:rPr>
          <w:rFonts w:hint="eastAsia"/>
          <w:color w:val="000000" w:themeColor="text1"/>
          <w:highlight w:val="none"/>
          <w:vertAlign w:val="subscript"/>
          <w:lang w:val="en-US" w:eastAsia="zh-CN"/>
        </w:rPr>
        <w:t>s</w:t>
      </w:r>
      <w:r>
        <w:rPr>
          <w:rFonts w:hint="default"/>
          <w:color w:val="000000" w:themeColor="text1"/>
          <w:highlight w:val="none"/>
          <w:lang w:val="en-US" w:eastAsia="zh-CN"/>
        </w:rPr>
        <w:t>—</w:t>
      </w:r>
      <w:r>
        <w:rPr>
          <w:rFonts w:hint="eastAsia"/>
          <w:color w:val="000000" w:themeColor="text1"/>
          <w:highlight w:val="none"/>
          <w:lang w:val="en-US" w:eastAsia="zh-CN"/>
        </w:rPr>
        <w:t>小型车的平均</w:t>
      </w:r>
      <w:r>
        <w:rPr>
          <w:rFonts w:hint="default"/>
          <w:color w:val="000000" w:themeColor="text1"/>
          <w:highlight w:val="none"/>
          <w:lang w:val="en-US" w:eastAsia="zh-CN"/>
        </w:rPr>
        <w:t>速度，km/h。</w:t>
      </w:r>
    </w:p>
    <w:p w14:paraId="7B673B20">
      <w:pPr>
        <w:pStyle w:val="138"/>
        <w:bidi w:val="0"/>
        <w:spacing w:line="360" w:lineRule="auto"/>
        <w:rPr>
          <w:rFonts w:hint="eastAsia" w:ascii="Times New Roman" w:hAnsi="Times New Roman" w:eastAsia="宋体" w:cs="Times New Roman"/>
          <w:b/>
          <w:color w:val="000000" w:themeColor="text1"/>
          <w:kern w:val="2"/>
          <w:sz w:val="24"/>
          <w:szCs w:val="24"/>
          <w:highlight w:val="none"/>
          <w:lang w:val="en-US" w:eastAsia="zh-CN" w:bidi="ar-SA"/>
        </w:rPr>
      </w:pPr>
    </w:p>
    <w:p w14:paraId="2EB66CED">
      <w:pPr>
        <w:pStyle w:val="138"/>
        <w:bidi w:val="0"/>
        <w:spacing w:line="360" w:lineRule="auto"/>
        <w:rPr>
          <w:rFonts w:hint="eastAsia" w:ascii="Times New Roman" w:hAnsi="Times New Roman" w:eastAsia="宋体" w:cs="Times New Roman"/>
          <w:b/>
          <w:color w:val="000000" w:themeColor="text1"/>
          <w:kern w:val="2"/>
          <w:sz w:val="24"/>
          <w:szCs w:val="24"/>
          <w:highlight w:val="none"/>
          <w:lang w:val="en-US" w:eastAsia="zh-CN" w:bidi="ar-SA"/>
        </w:rPr>
      </w:pPr>
      <w:r>
        <w:rPr>
          <w:rFonts w:hint="eastAsia" w:ascii="Times New Roman" w:hAnsi="Times New Roman" w:eastAsia="宋体" w:cs="Times New Roman"/>
          <w:b/>
          <w:color w:val="000000" w:themeColor="text1"/>
          <w:kern w:val="2"/>
          <w:sz w:val="24"/>
          <w:szCs w:val="24"/>
          <w:highlight w:val="none"/>
          <w:lang w:val="en-US" w:eastAsia="zh-CN" w:bidi="ar-SA"/>
        </w:rPr>
        <w:t>表</w:t>
      </w:r>
      <w:r>
        <w:rPr>
          <w:rFonts w:hint="eastAsia" w:cs="Times New Roman"/>
          <w:b/>
          <w:color w:val="000000" w:themeColor="text1"/>
          <w:kern w:val="2"/>
          <w:sz w:val="24"/>
          <w:szCs w:val="24"/>
          <w:highlight w:val="none"/>
          <w:lang w:val="en-US" w:eastAsia="zh-CN" w:bidi="ar-SA"/>
        </w:rPr>
        <w:t>3.3-9</w:t>
      </w:r>
      <w:r>
        <w:rPr>
          <w:rFonts w:hint="eastAsia" w:ascii="Times New Roman" w:hAnsi="Times New Roman" w:eastAsia="宋体" w:cs="Times New Roman"/>
          <w:b/>
          <w:color w:val="000000" w:themeColor="text1"/>
          <w:kern w:val="2"/>
          <w:sz w:val="24"/>
          <w:szCs w:val="24"/>
          <w:highlight w:val="none"/>
          <w:lang w:val="en-US" w:eastAsia="zh-CN" w:bidi="ar-SA"/>
        </w:rPr>
        <w:t xml:space="preserve"> </w:t>
      </w:r>
      <w:r>
        <w:rPr>
          <w:rFonts w:hint="eastAsia" w:cs="Times New Roman"/>
          <w:b/>
          <w:color w:val="000000" w:themeColor="text1"/>
          <w:kern w:val="2"/>
          <w:sz w:val="24"/>
          <w:szCs w:val="24"/>
          <w:highlight w:val="none"/>
          <w:lang w:val="en-US" w:eastAsia="zh-CN" w:bidi="ar-SA"/>
        </w:rPr>
        <w:t xml:space="preserve"> </w:t>
      </w:r>
      <w:r>
        <w:rPr>
          <w:rFonts w:hint="eastAsia" w:ascii="Times New Roman" w:hAnsi="Times New Roman" w:eastAsia="宋体" w:cs="Times New Roman"/>
          <w:b/>
          <w:color w:val="000000" w:themeColor="text1"/>
          <w:kern w:val="2"/>
          <w:sz w:val="24"/>
          <w:szCs w:val="24"/>
          <w:highlight w:val="none"/>
          <w:lang w:val="en-US" w:eastAsia="zh-CN" w:bidi="ar-SA"/>
        </w:rPr>
        <w:t>各汽车代表车型及车辆折算系数</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28" w:type="dxa"/>
          <w:left w:w="28" w:type="dxa"/>
          <w:bottom w:w="28" w:type="dxa"/>
          <w:right w:w="28" w:type="dxa"/>
        </w:tblCellMar>
      </w:tblPr>
      <w:tblGrid>
        <w:gridCol w:w="1392"/>
        <w:gridCol w:w="1393"/>
        <w:gridCol w:w="1778"/>
        <w:gridCol w:w="3799"/>
      </w:tblGrid>
      <w:tr w14:paraId="3BB3C8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392" w:type="dxa"/>
            <w:tcBorders>
              <w:tl2br w:val="nil"/>
              <w:tr2bl w:val="nil"/>
            </w:tcBorders>
            <w:noWrap w:val="0"/>
            <w:vAlign w:val="center"/>
          </w:tcPr>
          <w:p w14:paraId="67CBCED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车型</w:t>
            </w:r>
          </w:p>
        </w:tc>
        <w:tc>
          <w:tcPr>
            <w:tcW w:w="1393" w:type="dxa"/>
            <w:tcBorders>
              <w:tl2br w:val="nil"/>
              <w:tr2bl w:val="nil"/>
            </w:tcBorders>
            <w:noWrap w:val="0"/>
            <w:vAlign w:val="center"/>
          </w:tcPr>
          <w:p w14:paraId="39B3577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汽车代表</w:t>
            </w:r>
            <w:r>
              <w:rPr>
                <w:rFonts w:hint="default" w:ascii="Times New Roman" w:hAnsi="Times New Roman" w:cs="Times New Roman"/>
                <w:color w:val="000000" w:themeColor="text1"/>
                <w:sz w:val="21"/>
                <w:szCs w:val="21"/>
                <w:highlight w:val="none"/>
                <w:lang w:val="en-US" w:eastAsia="zh-CN"/>
              </w:rPr>
              <w:t>车型</w:t>
            </w:r>
          </w:p>
        </w:tc>
        <w:tc>
          <w:tcPr>
            <w:tcW w:w="1778" w:type="dxa"/>
            <w:tcBorders>
              <w:tl2br w:val="nil"/>
              <w:tr2bl w:val="nil"/>
            </w:tcBorders>
            <w:noWrap w:val="0"/>
            <w:vAlign w:val="center"/>
          </w:tcPr>
          <w:p w14:paraId="4178E4B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折算系数</w:t>
            </w:r>
          </w:p>
        </w:tc>
        <w:tc>
          <w:tcPr>
            <w:tcW w:w="3799" w:type="dxa"/>
            <w:tcBorders>
              <w:tl2br w:val="nil"/>
              <w:tr2bl w:val="nil"/>
            </w:tcBorders>
            <w:noWrap w:val="0"/>
            <w:vAlign w:val="center"/>
          </w:tcPr>
          <w:p w14:paraId="713BC34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说明</w:t>
            </w:r>
          </w:p>
        </w:tc>
      </w:tr>
      <w:tr w14:paraId="11F440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92" w:type="dxa"/>
            <w:tcBorders>
              <w:tl2br w:val="nil"/>
              <w:tr2bl w:val="nil"/>
            </w:tcBorders>
            <w:noWrap w:val="0"/>
            <w:vAlign w:val="center"/>
          </w:tcPr>
          <w:p w14:paraId="32E7F94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w:t>
            </w:r>
          </w:p>
        </w:tc>
        <w:tc>
          <w:tcPr>
            <w:tcW w:w="1393" w:type="dxa"/>
            <w:tcBorders>
              <w:tl2br w:val="nil"/>
              <w:tr2bl w:val="nil"/>
            </w:tcBorders>
            <w:noWrap w:val="0"/>
            <w:vAlign w:val="center"/>
          </w:tcPr>
          <w:p w14:paraId="2750049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w:t>
            </w:r>
            <w:r>
              <w:rPr>
                <w:rFonts w:hint="eastAsia" w:ascii="Times New Roman" w:hAnsi="Times New Roman" w:cs="Times New Roman"/>
                <w:color w:val="000000" w:themeColor="text1"/>
                <w:sz w:val="21"/>
                <w:szCs w:val="21"/>
                <w:highlight w:val="none"/>
                <w:lang w:val="en-US" w:eastAsia="zh-CN"/>
              </w:rPr>
              <w:t>型</w:t>
            </w:r>
            <w:r>
              <w:rPr>
                <w:rFonts w:hint="default" w:ascii="Times New Roman" w:hAnsi="Times New Roman" w:cs="Times New Roman"/>
                <w:color w:val="000000" w:themeColor="text1"/>
                <w:sz w:val="21"/>
                <w:szCs w:val="21"/>
                <w:highlight w:val="none"/>
                <w:lang w:val="en-US" w:eastAsia="zh-CN"/>
              </w:rPr>
              <w:t>车</w:t>
            </w:r>
          </w:p>
        </w:tc>
        <w:tc>
          <w:tcPr>
            <w:tcW w:w="1778" w:type="dxa"/>
            <w:tcBorders>
              <w:tl2br w:val="nil"/>
              <w:tr2bl w:val="nil"/>
            </w:tcBorders>
            <w:noWrap w:val="0"/>
            <w:vAlign w:val="center"/>
          </w:tcPr>
          <w:p w14:paraId="432183C3">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1.0</w:t>
            </w:r>
          </w:p>
        </w:tc>
        <w:tc>
          <w:tcPr>
            <w:tcW w:w="3799" w:type="dxa"/>
            <w:tcBorders>
              <w:tl2br w:val="nil"/>
              <w:tr2bl w:val="nil"/>
            </w:tcBorders>
            <w:noWrap w:val="0"/>
            <w:vAlign w:val="center"/>
          </w:tcPr>
          <w:p w14:paraId="4A46671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座位≤19座的客车和载质量≤2t的货车</w:t>
            </w:r>
          </w:p>
        </w:tc>
      </w:tr>
      <w:tr w14:paraId="20EFA5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92" w:type="dxa"/>
            <w:tcBorders>
              <w:tl2br w:val="nil"/>
              <w:tr2bl w:val="nil"/>
            </w:tcBorders>
            <w:noWrap w:val="0"/>
            <w:vAlign w:val="center"/>
          </w:tcPr>
          <w:p w14:paraId="1DC1DE8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w:t>
            </w:r>
          </w:p>
        </w:tc>
        <w:tc>
          <w:tcPr>
            <w:tcW w:w="1393" w:type="dxa"/>
            <w:tcBorders>
              <w:tl2br w:val="nil"/>
              <w:tr2bl w:val="nil"/>
            </w:tcBorders>
            <w:noWrap w:val="0"/>
            <w:vAlign w:val="center"/>
          </w:tcPr>
          <w:p w14:paraId="68BC8235">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中型车</w:t>
            </w:r>
          </w:p>
        </w:tc>
        <w:tc>
          <w:tcPr>
            <w:tcW w:w="1778" w:type="dxa"/>
            <w:tcBorders>
              <w:tl2br w:val="nil"/>
              <w:tr2bl w:val="nil"/>
            </w:tcBorders>
            <w:noWrap w:val="0"/>
            <w:vAlign w:val="center"/>
          </w:tcPr>
          <w:p w14:paraId="58C9B7CD">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1.5</w:t>
            </w:r>
          </w:p>
        </w:tc>
        <w:tc>
          <w:tcPr>
            <w:tcW w:w="3799" w:type="dxa"/>
            <w:tcBorders>
              <w:tl2br w:val="nil"/>
              <w:tr2bl w:val="nil"/>
            </w:tcBorders>
            <w:noWrap w:val="0"/>
            <w:vAlign w:val="center"/>
          </w:tcPr>
          <w:p w14:paraId="599308B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座位&gt;19座的客车和2t&lt;载质量≤7t的货车</w:t>
            </w:r>
          </w:p>
        </w:tc>
      </w:tr>
      <w:tr w14:paraId="7324D8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92" w:type="dxa"/>
            <w:vMerge w:val="restart"/>
            <w:tcBorders>
              <w:tl2br w:val="nil"/>
              <w:tr2bl w:val="nil"/>
            </w:tcBorders>
            <w:noWrap w:val="0"/>
            <w:vAlign w:val="center"/>
          </w:tcPr>
          <w:p w14:paraId="039CC441">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w:t>
            </w:r>
          </w:p>
        </w:tc>
        <w:tc>
          <w:tcPr>
            <w:tcW w:w="1393" w:type="dxa"/>
            <w:tcBorders>
              <w:tl2br w:val="nil"/>
              <w:tr2bl w:val="nil"/>
            </w:tcBorders>
            <w:noWrap w:val="0"/>
            <w:vAlign w:val="center"/>
          </w:tcPr>
          <w:p w14:paraId="0EEBB8C4">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大型车</w:t>
            </w:r>
          </w:p>
        </w:tc>
        <w:tc>
          <w:tcPr>
            <w:tcW w:w="1778" w:type="dxa"/>
            <w:tcBorders>
              <w:tl2br w:val="nil"/>
              <w:tr2bl w:val="nil"/>
            </w:tcBorders>
            <w:noWrap w:val="0"/>
            <w:vAlign w:val="center"/>
          </w:tcPr>
          <w:p w14:paraId="351A411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2.5</w:t>
            </w:r>
          </w:p>
        </w:tc>
        <w:tc>
          <w:tcPr>
            <w:tcW w:w="3799" w:type="dxa"/>
            <w:tcBorders>
              <w:tl2br w:val="nil"/>
              <w:tr2bl w:val="nil"/>
            </w:tcBorders>
            <w:noWrap w:val="0"/>
            <w:vAlign w:val="center"/>
          </w:tcPr>
          <w:p w14:paraId="7DC618E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7t&lt;载质量≤20t的货车</w:t>
            </w:r>
          </w:p>
        </w:tc>
      </w:tr>
      <w:tr w14:paraId="3D4CD6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92" w:type="dxa"/>
            <w:vMerge w:val="continue"/>
            <w:tcBorders>
              <w:tl2br w:val="nil"/>
              <w:tr2bl w:val="nil"/>
            </w:tcBorders>
            <w:noWrap w:val="0"/>
            <w:vAlign w:val="center"/>
          </w:tcPr>
          <w:p w14:paraId="3293F6A1">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393" w:type="dxa"/>
            <w:tcBorders>
              <w:tl2br w:val="nil"/>
              <w:tr2bl w:val="nil"/>
            </w:tcBorders>
            <w:noWrap w:val="0"/>
            <w:vAlign w:val="center"/>
          </w:tcPr>
          <w:p w14:paraId="4F71418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汽车列车</w:t>
            </w:r>
          </w:p>
        </w:tc>
        <w:tc>
          <w:tcPr>
            <w:tcW w:w="1778" w:type="dxa"/>
            <w:tcBorders>
              <w:tl2br w:val="nil"/>
              <w:tr2bl w:val="nil"/>
            </w:tcBorders>
            <w:noWrap w:val="0"/>
            <w:vAlign w:val="center"/>
          </w:tcPr>
          <w:p w14:paraId="005A13D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4.0</w:t>
            </w:r>
          </w:p>
        </w:tc>
        <w:tc>
          <w:tcPr>
            <w:tcW w:w="3799" w:type="dxa"/>
            <w:tcBorders>
              <w:tl2br w:val="nil"/>
              <w:tr2bl w:val="nil"/>
            </w:tcBorders>
            <w:noWrap w:val="0"/>
            <w:vAlign w:val="center"/>
          </w:tcPr>
          <w:p w14:paraId="4850E97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载质量&gt;20t的货车</w:t>
            </w:r>
          </w:p>
        </w:tc>
      </w:tr>
    </w:tbl>
    <w:p w14:paraId="187B2E86">
      <w:pPr>
        <w:spacing w:line="360" w:lineRule="auto"/>
        <w:rPr>
          <w:rFonts w:hint="default"/>
          <w:color w:val="000000" w:themeColor="text1"/>
          <w:highlight w:val="none"/>
          <w:lang w:val="en-US" w:eastAsia="zh-CN"/>
        </w:rPr>
      </w:pPr>
      <w:r>
        <w:rPr>
          <w:rFonts w:hint="eastAsia"/>
          <w:color w:val="000000" w:themeColor="text1"/>
          <w:highlight w:val="none"/>
          <w:lang w:val="en-US" w:eastAsia="zh-CN"/>
        </w:rPr>
        <w:t>本项目小</w:t>
      </w:r>
      <w:r>
        <w:rPr>
          <w:rFonts w:hint="default"/>
          <w:color w:val="000000" w:themeColor="text1"/>
          <w:highlight w:val="none"/>
          <w:lang w:val="en-US" w:eastAsia="zh-CN"/>
        </w:rPr>
        <w:t>车型平均车速不满足《环境影响评价技术导则 公路建设项目》</w:t>
      </w:r>
      <w:r>
        <w:rPr>
          <w:rFonts w:hint="eastAsia"/>
          <w:color w:val="000000" w:themeColor="text1"/>
          <w:highlight w:val="none"/>
          <w:lang w:val="en-US" w:eastAsia="zh-CN"/>
        </w:rPr>
        <w:t>（</w:t>
      </w:r>
      <w:r>
        <w:rPr>
          <w:rFonts w:hint="default"/>
          <w:color w:val="000000" w:themeColor="text1"/>
          <w:highlight w:val="none"/>
          <w:lang w:val="en-US" w:eastAsia="zh-CN"/>
        </w:rPr>
        <w:t>HJ1358-2024</w:t>
      </w:r>
      <w:r>
        <w:rPr>
          <w:rFonts w:hint="eastAsia"/>
          <w:color w:val="000000" w:themeColor="text1"/>
          <w:highlight w:val="none"/>
          <w:lang w:val="en-US" w:eastAsia="zh-CN"/>
        </w:rPr>
        <w:t>）</w:t>
      </w:r>
      <w:r>
        <w:rPr>
          <w:rFonts w:hint="default"/>
          <w:color w:val="000000" w:themeColor="text1"/>
          <w:highlight w:val="none"/>
          <w:lang w:val="en-US" w:eastAsia="zh-CN"/>
        </w:rPr>
        <w:t>附录 B.1.1.1中各类型车在距离行车线7.5m 处参照点的平均辐射噪声级</w:t>
      </w:r>
      <w:r>
        <w:rPr>
          <w:rFonts w:hint="eastAsia"/>
          <w:color w:val="000000" w:themeColor="text1"/>
          <w:highlight w:val="none"/>
          <w:lang w:val="en-US" w:eastAsia="zh-CN"/>
        </w:rPr>
        <w:t>（</w:t>
      </w:r>
      <w:r>
        <w:rPr>
          <w:rFonts w:hint="default"/>
          <w:color w:val="000000" w:themeColor="text1"/>
          <w:highlight w:val="none"/>
          <w:lang w:val="en-US" w:eastAsia="zh-CN"/>
        </w:rPr>
        <w:t>ZoE</w:t>
      </w:r>
      <w:r>
        <w:rPr>
          <w:rFonts w:hint="eastAsia"/>
          <w:color w:val="000000" w:themeColor="text1"/>
          <w:highlight w:val="none"/>
          <w:lang w:val="en-US" w:eastAsia="zh-CN"/>
        </w:rPr>
        <w:t>）</w:t>
      </w:r>
      <w:r>
        <w:rPr>
          <w:rFonts w:hint="default"/>
          <w:color w:val="000000" w:themeColor="text1"/>
          <w:highlight w:val="none"/>
          <w:lang w:val="en-US" w:eastAsia="zh-CN"/>
        </w:rPr>
        <w:t>的计算公式，因此，不能采用此方法进行源强计算。</w:t>
      </w:r>
    </w:p>
    <w:p w14:paraId="3F0D2E5A">
      <w:pPr>
        <w:spacing w:line="360" w:lineRule="auto"/>
        <w:rPr>
          <w:rFonts w:hint="default"/>
          <w:color w:val="000000" w:themeColor="text1"/>
          <w:highlight w:val="none"/>
          <w:lang w:val="en-US" w:eastAsia="zh-CN"/>
        </w:rPr>
      </w:pPr>
      <w:r>
        <w:rPr>
          <w:rFonts w:hint="default"/>
          <w:color w:val="000000" w:themeColor="text1"/>
          <w:highlight w:val="none"/>
          <w:lang w:val="en-US" w:eastAsia="zh-CN"/>
        </w:rPr>
        <w:t>本项目</w:t>
      </w:r>
      <w:r>
        <w:rPr>
          <w:rFonts w:hint="eastAsia"/>
          <w:color w:val="000000" w:themeColor="text1"/>
          <w:highlight w:val="none"/>
          <w:lang w:val="en-US" w:eastAsia="zh-CN"/>
        </w:rPr>
        <w:t>小</w:t>
      </w:r>
      <w:r>
        <w:rPr>
          <w:rFonts w:hint="default"/>
          <w:color w:val="000000" w:themeColor="text1"/>
          <w:highlight w:val="none"/>
          <w:lang w:val="en-US" w:eastAsia="zh-CN"/>
        </w:rPr>
        <w:t>型车引用《环境影响评价技术原则与方法》</w:t>
      </w:r>
      <w:r>
        <w:rPr>
          <w:rFonts w:hint="eastAsia"/>
          <w:color w:val="000000" w:themeColor="text1"/>
          <w:highlight w:val="none"/>
          <w:lang w:val="en-US" w:eastAsia="zh-CN"/>
        </w:rPr>
        <w:t>（</w:t>
      </w:r>
      <w:r>
        <w:rPr>
          <w:rFonts w:hint="default"/>
          <w:color w:val="000000" w:themeColor="text1"/>
          <w:highlight w:val="none"/>
          <w:lang w:val="en-US" w:eastAsia="zh-CN"/>
        </w:rPr>
        <w:t>国家环境保护局开发监督司编著，北京大学出版社</w:t>
      </w:r>
      <w:r>
        <w:rPr>
          <w:rFonts w:hint="eastAsia"/>
          <w:color w:val="000000" w:themeColor="text1"/>
          <w:highlight w:val="none"/>
          <w:lang w:val="en-US" w:eastAsia="zh-CN"/>
        </w:rPr>
        <w:t>）</w:t>
      </w:r>
      <w:r>
        <w:rPr>
          <w:rFonts w:hint="default"/>
          <w:color w:val="000000" w:themeColor="text1"/>
          <w:highlight w:val="none"/>
          <w:lang w:val="en-US" w:eastAsia="zh-CN"/>
        </w:rPr>
        <w:t>教材进行计算确定本项目</w:t>
      </w:r>
      <w:r>
        <w:rPr>
          <w:rFonts w:hint="eastAsia"/>
          <w:color w:val="000000" w:themeColor="text1"/>
          <w:highlight w:val="none"/>
          <w:lang w:val="en-US" w:eastAsia="zh-CN"/>
        </w:rPr>
        <w:t>小</w:t>
      </w:r>
      <w:r>
        <w:rPr>
          <w:rFonts w:hint="default"/>
          <w:color w:val="000000" w:themeColor="text1"/>
          <w:highlight w:val="none"/>
          <w:lang w:val="en-US" w:eastAsia="zh-CN"/>
        </w:rPr>
        <w:t>型车的单车源强</w:t>
      </w:r>
      <w:r>
        <w:rPr>
          <w:rFonts w:hint="eastAsia"/>
          <w:color w:val="000000" w:themeColor="text1"/>
          <w:highlight w:val="none"/>
          <w:lang w:val="en-US" w:eastAsia="zh-CN"/>
        </w:rPr>
        <w:t>（</w:t>
      </w:r>
      <w:r>
        <w:rPr>
          <w:rFonts w:hint="default"/>
          <w:color w:val="000000" w:themeColor="text1"/>
          <w:highlight w:val="none"/>
          <w:lang w:val="en-US" w:eastAsia="zh-CN"/>
        </w:rPr>
        <w:t>7.5m处</w:t>
      </w:r>
      <w:r>
        <w:rPr>
          <w:rFonts w:hint="eastAsia"/>
          <w:color w:val="000000" w:themeColor="text1"/>
          <w:highlight w:val="none"/>
          <w:lang w:val="en-US" w:eastAsia="zh-CN"/>
        </w:rPr>
        <w:t>）</w:t>
      </w:r>
      <w:r>
        <w:rPr>
          <w:rFonts w:hint="default"/>
          <w:color w:val="000000" w:themeColor="text1"/>
          <w:highlight w:val="none"/>
          <w:lang w:val="en-US" w:eastAsia="zh-CN"/>
        </w:rPr>
        <w:t>。该公式的适用范围为20~80km，公式如下</w:t>
      </w:r>
      <w:r>
        <w:rPr>
          <w:rFonts w:hint="eastAsia"/>
          <w:color w:val="000000" w:themeColor="text1"/>
          <w:highlight w:val="none"/>
          <w:lang w:val="en-US" w:eastAsia="zh-CN"/>
        </w:rPr>
        <w:t>：</w:t>
      </w:r>
    </w:p>
    <w:p w14:paraId="1A71732C">
      <w:pPr>
        <w:spacing w:line="360" w:lineRule="auto"/>
        <w:rPr>
          <w:rFonts w:hint="default"/>
          <w:color w:val="000000" w:themeColor="text1"/>
          <w:highlight w:val="none"/>
          <w:lang w:val="en-US" w:eastAsia="zh-CN"/>
        </w:rPr>
      </w:pPr>
      <w:r>
        <w:rPr>
          <w:rFonts w:hint="default"/>
          <w:color w:val="000000" w:themeColor="text1"/>
          <w:highlight w:val="none"/>
          <w:lang w:val="en-US" w:eastAsia="zh-CN"/>
        </w:rPr>
        <w:t>小型车</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OS</w:t>
      </w:r>
      <w:r>
        <w:rPr>
          <w:rFonts w:hint="default"/>
          <w:color w:val="000000" w:themeColor="text1"/>
          <w:highlight w:val="none"/>
          <w:lang w:val="en-US" w:eastAsia="zh-CN"/>
        </w:rPr>
        <w:t>=25+27lgVs</w:t>
      </w:r>
    </w:p>
    <w:p w14:paraId="5DAAA593">
      <w:pPr>
        <w:spacing w:line="360" w:lineRule="auto"/>
        <w:rPr>
          <w:rFonts w:hint="default"/>
          <w:color w:val="000000" w:themeColor="text1"/>
          <w:highlight w:val="none"/>
          <w:lang w:val="en-US" w:eastAsia="zh-CN"/>
        </w:rPr>
      </w:pPr>
      <w:r>
        <w:rPr>
          <w:rFonts w:hint="default"/>
          <w:color w:val="000000" w:themeColor="text1"/>
          <w:highlight w:val="none"/>
          <w:lang w:val="en-US" w:eastAsia="zh-CN"/>
        </w:rPr>
        <w:t>中型车</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w:t>
      </w:r>
      <w:r>
        <w:rPr>
          <w:rFonts w:hint="default"/>
          <w:color w:val="000000" w:themeColor="text1"/>
          <w:highlight w:val="none"/>
          <w:vertAlign w:val="subscript"/>
          <w:lang w:val="en-US" w:eastAsia="zh-CN"/>
        </w:rPr>
        <w:t>M</w:t>
      </w:r>
      <w:r>
        <w:rPr>
          <w:rFonts w:hint="default"/>
          <w:color w:val="000000" w:themeColor="text1"/>
          <w:highlight w:val="none"/>
          <w:lang w:val="en-US" w:eastAsia="zh-CN"/>
        </w:rPr>
        <w:t>=38+25lgV</w:t>
      </w:r>
      <w:r>
        <w:rPr>
          <w:rFonts w:hint="default"/>
          <w:color w:val="000000" w:themeColor="text1"/>
          <w:highlight w:val="none"/>
          <w:vertAlign w:val="subscript"/>
          <w:lang w:val="en-US" w:eastAsia="zh-CN"/>
        </w:rPr>
        <w:t>M</w:t>
      </w:r>
    </w:p>
    <w:p w14:paraId="7B8F0370">
      <w:pPr>
        <w:spacing w:line="360" w:lineRule="auto"/>
        <w:rPr>
          <w:rFonts w:hint="default"/>
          <w:color w:val="000000" w:themeColor="text1"/>
          <w:highlight w:val="none"/>
          <w:lang w:val="en-US" w:eastAsia="zh-CN"/>
        </w:rPr>
      </w:pPr>
      <w:r>
        <w:rPr>
          <w:rFonts w:hint="default"/>
          <w:color w:val="000000" w:themeColor="text1"/>
          <w:highlight w:val="none"/>
          <w:lang w:val="en-US" w:eastAsia="zh-CN"/>
        </w:rPr>
        <w:t>大型车</w:t>
      </w:r>
      <w:r>
        <w:rPr>
          <w:rFonts w:hint="eastAsia"/>
          <w:color w:val="000000" w:themeColor="text1"/>
          <w:highlight w:val="none"/>
          <w:lang w:val="en-US" w:eastAsia="zh-CN"/>
        </w:rPr>
        <w:t>：</w:t>
      </w:r>
      <w:r>
        <w:rPr>
          <w:rFonts w:hint="default"/>
          <w:color w:val="000000" w:themeColor="text1"/>
          <w:highlight w:val="none"/>
          <w:lang w:val="en-US" w:eastAsia="zh-CN"/>
        </w:rPr>
        <w:t>L</w:t>
      </w:r>
      <w:r>
        <w:rPr>
          <w:rFonts w:hint="eastAsia"/>
          <w:color w:val="000000" w:themeColor="text1"/>
          <w:highlight w:val="none"/>
          <w:vertAlign w:val="subscript"/>
          <w:lang w:val="en-US" w:eastAsia="zh-CN"/>
        </w:rPr>
        <w:t>O</w:t>
      </w:r>
      <w:r>
        <w:rPr>
          <w:rFonts w:hint="default"/>
          <w:color w:val="000000" w:themeColor="text1"/>
          <w:highlight w:val="none"/>
          <w:vertAlign w:val="subscript"/>
          <w:lang w:val="en-US" w:eastAsia="zh-CN"/>
        </w:rPr>
        <w:t>L</w:t>
      </w:r>
      <w:r>
        <w:rPr>
          <w:rFonts w:hint="default"/>
          <w:color w:val="000000" w:themeColor="text1"/>
          <w:highlight w:val="none"/>
          <w:lang w:val="en-US" w:eastAsia="zh-CN"/>
        </w:rPr>
        <w:t>=45+24</w:t>
      </w:r>
      <w:r>
        <w:rPr>
          <w:rFonts w:hint="eastAsia"/>
          <w:color w:val="000000" w:themeColor="text1"/>
          <w:highlight w:val="none"/>
          <w:lang w:val="en-US" w:eastAsia="zh-CN"/>
        </w:rPr>
        <w:t>l</w:t>
      </w:r>
      <w:r>
        <w:rPr>
          <w:rFonts w:hint="default"/>
          <w:color w:val="000000" w:themeColor="text1"/>
          <w:highlight w:val="none"/>
          <w:lang w:val="en-US" w:eastAsia="zh-CN"/>
        </w:rPr>
        <w:t>gV</w:t>
      </w:r>
      <w:r>
        <w:rPr>
          <w:rFonts w:hint="eastAsia"/>
          <w:color w:val="000000" w:themeColor="text1"/>
          <w:highlight w:val="none"/>
          <w:vertAlign w:val="subscript"/>
          <w:lang w:val="en-US" w:eastAsia="zh-CN"/>
        </w:rPr>
        <w:t>L</w:t>
      </w:r>
    </w:p>
    <w:p w14:paraId="39CD2B70">
      <w:pPr>
        <w:spacing w:line="360" w:lineRule="auto"/>
        <w:rPr>
          <w:rFonts w:hint="default"/>
          <w:color w:val="000000" w:themeColor="text1"/>
          <w:highlight w:val="none"/>
          <w:lang w:val="en-US" w:eastAsia="zh-CN"/>
        </w:rPr>
      </w:pPr>
      <w:r>
        <w:rPr>
          <w:rFonts w:hint="default"/>
          <w:color w:val="000000" w:themeColor="text1"/>
          <w:highlight w:val="none"/>
          <w:lang w:val="en-US" w:eastAsia="zh-CN"/>
        </w:rPr>
        <w:t>式中</w:t>
      </w:r>
      <w:r>
        <w:rPr>
          <w:rFonts w:hint="eastAsia"/>
          <w:color w:val="000000" w:themeColor="text1"/>
          <w:highlight w:val="none"/>
          <w:lang w:val="en-US" w:eastAsia="zh-CN"/>
        </w:rPr>
        <w:t>：</w:t>
      </w:r>
      <w:r>
        <w:rPr>
          <w:rFonts w:hint="default"/>
          <w:color w:val="000000" w:themeColor="text1"/>
          <w:highlight w:val="none"/>
          <w:lang w:val="en-US" w:eastAsia="zh-CN"/>
        </w:rPr>
        <w:t>S、M、L-分别表示小型车、中型车、大型车</w:t>
      </w:r>
      <w:r>
        <w:rPr>
          <w:rFonts w:hint="eastAsia"/>
          <w:color w:val="000000" w:themeColor="text1"/>
          <w:highlight w:val="none"/>
          <w:lang w:val="en-US" w:eastAsia="zh-CN"/>
        </w:rPr>
        <w:t>；</w:t>
      </w:r>
    </w:p>
    <w:p w14:paraId="13776CB6">
      <w:pPr>
        <w:spacing w:line="360" w:lineRule="auto"/>
        <w:rPr>
          <w:rFonts w:hint="default"/>
          <w:color w:val="000000" w:themeColor="text1"/>
          <w:highlight w:val="none"/>
          <w:lang w:val="en-US" w:eastAsia="zh-CN"/>
        </w:rPr>
      </w:pPr>
      <w:r>
        <w:rPr>
          <w:rFonts w:hint="default"/>
          <w:color w:val="000000" w:themeColor="text1"/>
          <w:highlight w:val="none"/>
          <w:lang w:val="en-US" w:eastAsia="zh-CN"/>
        </w:rPr>
        <w:t>Vs-表示小型车的平均行驶速度</w:t>
      </w:r>
      <w:r>
        <w:rPr>
          <w:rFonts w:hint="eastAsia"/>
          <w:color w:val="000000" w:themeColor="text1"/>
          <w:highlight w:val="none"/>
          <w:lang w:val="en-US" w:eastAsia="zh-CN"/>
        </w:rPr>
        <w:t>；</w:t>
      </w:r>
    </w:p>
    <w:p w14:paraId="198C8F64">
      <w:pPr>
        <w:spacing w:line="360" w:lineRule="auto"/>
        <w:rPr>
          <w:rFonts w:hint="default"/>
          <w:color w:val="000000" w:themeColor="text1"/>
          <w:highlight w:val="none"/>
          <w:lang w:val="en-US" w:eastAsia="zh-CN"/>
        </w:rPr>
      </w:pPr>
      <w:r>
        <w:rPr>
          <w:rFonts w:hint="default"/>
          <w:color w:val="000000" w:themeColor="text1"/>
          <w:highlight w:val="none"/>
          <w:lang w:val="en-US" w:eastAsia="zh-CN"/>
        </w:rPr>
        <w:t>V</w:t>
      </w:r>
      <w:r>
        <w:rPr>
          <w:rFonts w:hint="default"/>
          <w:color w:val="000000" w:themeColor="text1"/>
          <w:highlight w:val="none"/>
          <w:vertAlign w:val="subscript"/>
          <w:lang w:val="en-US" w:eastAsia="zh-CN"/>
        </w:rPr>
        <w:t>M</w:t>
      </w:r>
      <w:r>
        <w:rPr>
          <w:rFonts w:hint="default"/>
          <w:color w:val="000000" w:themeColor="text1"/>
          <w:highlight w:val="none"/>
          <w:lang w:val="en-US" w:eastAsia="zh-CN"/>
        </w:rPr>
        <w:t>-表示中型车的平均行驶速度</w:t>
      </w:r>
      <w:r>
        <w:rPr>
          <w:rFonts w:hint="eastAsia"/>
          <w:color w:val="000000" w:themeColor="text1"/>
          <w:highlight w:val="none"/>
          <w:lang w:val="en-US" w:eastAsia="zh-CN"/>
        </w:rPr>
        <w:t>；</w:t>
      </w:r>
    </w:p>
    <w:p w14:paraId="6CF605DF">
      <w:pPr>
        <w:spacing w:line="360" w:lineRule="auto"/>
        <w:rPr>
          <w:rFonts w:hint="default"/>
          <w:color w:val="000000" w:themeColor="text1"/>
          <w:highlight w:val="none"/>
          <w:lang w:val="en-US" w:eastAsia="zh-CN"/>
        </w:rPr>
      </w:pPr>
      <w:r>
        <w:rPr>
          <w:rFonts w:hint="default"/>
          <w:color w:val="000000" w:themeColor="text1"/>
          <w:highlight w:val="none"/>
          <w:lang w:val="en-US" w:eastAsia="zh-CN"/>
        </w:rPr>
        <w:t>V</w:t>
      </w:r>
      <w:r>
        <w:rPr>
          <w:rFonts w:hint="eastAsia"/>
          <w:color w:val="000000" w:themeColor="text1"/>
          <w:highlight w:val="none"/>
          <w:vertAlign w:val="subscript"/>
          <w:lang w:val="en-US" w:eastAsia="zh-CN"/>
        </w:rPr>
        <w:t>L</w:t>
      </w:r>
      <w:r>
        <w:rPr>
          <w:rFonts w:hint="default"/>
          <w:color w:val="000000" w:themeColor="text1"/>
          <w:highlight w:val="none"/>
          <w:lang w:val="en-US" w:eastAsia="zh-CN"/>
        </w:rPr>
        <w:t>-表示大型车的平均行驶速度。</w:t>
      </w:r>
    </w:p>
    <w:p w14:paraId="44263142">
      <w:pPr>
        <w:spacing w:line="360" w:lineRule="auto"/>
        <w:rPr>
          <w:rFonts w:hint="default"/>
          <w:color w:val="000000" w:themeColor="text1"/>
          <w:highlight w:val="none"/>
          <w:lang w:val="en-US" w:eastAsia="zh-CN"/>
        </w:rPr>
      </w:pPr>
      <w:r>
        <w:rPr>
          <w:rFonts w:hint="default"/>
          <w:color w:val="000000" w:themeColor="text1"/>
          <w:highlight w:val="none"/>
          <w:lang w:val="en-US" w:eastAsia="zh-CN"/>
        </w:rPr>
        <w:t>各路段各型车的平均车速和平均辐射噪声级结果见表</w:t>
      </w:r>
      <w:r>
        <w:rPr>
          <w:rFonts w:hint="eastAsia"/>
          <w:color w:val="000000" w:themeColor="text1"/>
          <w:highlight w:val="none"/>
          <w:lang w:val="en-US" w:eastAsia="zh-CN"/>
        </w:rPr>
        <w:t>3.3-10</w:t>
      </w:r>
      <w:r>
        <w:rPr>
          <w:rFonts w:hint="default"/>
          <w:color w:val="000000" w:themeColor="text1"/>
          <w:highlight w:val="none"/>
          <w:lang w:val="en-US" w:eastAsia="zh-CN"/>
        </w:rPr>
        <w:t>和表</w:t>
      </w:r>
      <w:r>
        <w:rPr>
          <w:rFonts w:hint="eastAsia"/>
          <w:color w:val="000000" w:themeColor="text1"/>
          <w:highlight w:val="none"/>
          <w:lang w:val="en-US" w:eastAsia="zh-CN"/>
        </w:rPr>
        <w:t>3.3-11</w:t>
      </w:r>
      <w:r>
        <w:rPr>
          <w:rFonts w:hint="default"/>
          <w:color w:val="000000" w:themeColor="text1"/>
          <w:highlight w:val="none"/>
          <w:lang w:val="en-US" w:eastAsia="zh-CN"/>
        </w:rPr>
        <w:t>。</w:t>
      </w:r>
    </w:p>
    <w:p w14:paraId="3672FAB4">
      <w:pPr>
        <w:pStyle w:val="138"/>
        <w:bidi w:val="0"/>
        <w:spacing w:line="360" w:lineRule="auto"/>
        <w:rPr>
          <w:rFonts w:hint="default" w:ascii="Times New Roman" w:hAnsi="Times New Roman" w:eastAsia="宋体" w:cs="Times New Roman"/>
          <w:b/>
          <w:color w:val="000000" w:themeColor="text1"/>
          <w:kern w:val="2"/>
          <w:sz w:val="24"/>
          <w:szCs w:val="24"/>
          <w:highlight w:val="none"/>
          <w:lang w:val="en-US" w:eastAsia="zh-CN" w:bidi="ar-SA"/>
        </w:rPr>
      </w:pPr>
      <w:r>
        <w:rPr>
          <w:rFonts w:hint="default" w:ascii="Times New Roman" w:hAnsi="Times New Roman" w:eastAsia="宋体" w:cs="Times New Roman"/>
          <w:b/>
          <w:color w:val="000000" w:themeColor="text1"/>
          <w:kern w:val="2"/>
          <w:sz w:val="24"/>
          <w:szCs w:val="24"/>
          <w:highlight w:val="none"/>
          <w:lang w:val="en-US" w:eastAsia="zh-CN" w:bidi="ar-SA"/>
        </w:rPr>
        <w:t>表</w:t>
      </w:r>
      <w:r>
        <w:rPr>
          <w:rFonts w:hint="eastAsia" w:cs="Times New Roman"/>
          <w:b/>
          <w:color w:val="000000" w:themeColor="text1"/>
          <w:kern w:val="2"/>
          <w:sz w:val="24"/>
          <w:szCs w:val="24"/>
          <w:highlight w:val="none"/>
          <w:lang w:val="en-US" w:eastAsia="zh-CN" w:bidi="ar-SA"/>
        </w:rPr>
        <w:t>3.3-10</w:t>
      </w:r>
      <w:r>
        <w:rPr>
          <w:rFonts w:hint="default" w:ascii="Times New Roman" w:hAnsi="Times New Roman" w:eastAsia="宋体" w:cs="Times New Roman"/>
          <w:b/>
          <w:color w:val="000000" w:themeColor="text1"/>
          <w:kern w:val="2"/>
          <w:sz w:val="24"/>
          <w:szCs w:val="24"/>
          <w:highlight w:val="none"/>
          <w:lang w:val="en-US" w:eastAsia="zh-CN" w:bidi="ar-SA"/>
        </w:rPr>
        <w:t xml:space="preserve"> </w:t>
      </w:r>
      <w:r>
        <w:rPr>
          <w:rFonts w:hint="eastAsia" w:cs="Times New Roman"/>
          <w:b/>
          <w:color w:val="000000" w:themeColor="text1"/>
          <w:kern w:val="2"/>
          <w:sz w:val="24"/>
          <w:szCs w:val="24"/>
          <w:highlight w:val="none"/>
          <w:lang w:val="en-US" w:eastAsia="zh-CN" w:bidi="ar-SA"/>
        </w:rPr>
        <w:t xml:space="preserve"> </w:t>
      </w:r>
      <w:r>
        <w:rPr>
          <w:rFonts w:hint="default" w:ascii="Times New Roman" w:hAnsi="Times New Roman" w:eastAsia="宋体" w:cs="Times New Roman"/>
          <w:b/>
          <w:color w:val="000000" w:themeColor="text1"/>
          <w:kern w:val="2"/>
          <w:sz w:val="24"/>
          <w:szCs w:val="24"/>
          <w:highlight w:val="none"/>
          <w:lang w:val="en-US" w:eastAsia="zh-CN" w:bidi="ar-SA"/>
        </w:rPr>
        <w:t>各型车的平均车速  单位：km/h</w:t>
      </w:r>
    </w:p>
    <w:tbl>
      <w:tblPr>
        <w:tblStyle w:val="33"/>
        <w:tblW w:w="49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28" w:type="dxa"/>
          <w:left w:w="28" w:type="dxa"/>
          <w:bottom w:w="28" w:type="dxa"/>
          <w:right w:w="28" w:type="dxa"/>
        </w:tblCellMar>
      </w:tblPr>
      <w:tblGrid>
        <w:gridCol w:w="1360"/>
        <w:gridCol w:w="1276"/>
        <w:gridCol w:w="951"/>
        <w:gridCol w:w="952"/>
        <w:gridCol w:w="951"/>
        <w:gridCol w:w="954"/>
        <w:gridCol w:w="952"/>
        <w:gridCol w:w="956"/>
      </w:tblGrid>
      <w:tr w14:paraId="2F7BCB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360" w:type="dxa"/>
            <w:vMerge w:val="restart"/>
            <w:tcBorders>
              <w:tl2br w:val="nil"/>
              <w:tr2bl w:val="nil"/>
            </w:tcBorders>
            <w:noWrap w:val="0"/>
            <w:vAlign w:val="center"/>
          </w:tcPr>
          <w:p w14:paraId="18D4B3F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道路名称</w:t>
            </w:r>
          </w:p>
        </w:tc>
        <w:tc>
          <w:tcPr>
            <w:tcW w:w="1276" w:type="dxa"/>
            <w:vMerge w:val="restart"/>
            <w:tcBorders>
              <w:tl2br w:val="nil"/>
              <w:tr2bl w:val="nil"/>
            </w:tcBorders>
            <w:noWrap w:val="0"/>
            <w:vAlign w:val="center"/>
          </w:tcPr>
          <w:p w14:paraId="299DF38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车型</w:t>
            </w:r>
          </w:p>
        </w:tc>
        <w:tc>
          <w:tcPr>
            <w:tcW w:w="1903" w:type="dxa"/>
            <w:gridSpan w:val="2"/>
            <w:tcBorders>
              <w:tl2br w:val="nil"/>
              <w:tr2bl w:val="nil"/>
            </w:tcBorders>
            <w:noWrap w:val="0"/>
            <w:vAlign w:val="center"/>
          </w:tcPr>
          <w:p w14:paraId="17CEC5A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202</w:t>
            </w:r>
            <w:r>
              <w:rPr>
                <w:rFonts w:hint="eastAsia" w:ascii="Times New Roman" w:hAnsi="Times New Roman" w:cs="Times New Roman"/>
                <w:color w:val="000000" w:themeColor="text1"/>
                <w:sz w:val="21"/>
                <w:szCs w:val="21"/>
                <w:highlight w:val="none"/>
                <w:lang w:val="en-US" w:eastAsia="zh-CN"/>
              </w:rPr>
              <w:t>7</w:t>
            </w:r>
            <w:r>
              <w:rPr>
                <w:rFonts w:hint="default" w:ascii="Times New Roman" w:hAnsi="Times New Roman" w:cs="Times New Roman"/>
                <w:color w:val="000000" w:themeColor="text1"/>
                <w:sz w:val="21"/>
                <w:szCs w:val="21"/>
                <w:highlight w:val="none"/>
                <w:lang w:val="en-US" w:eastAsia="zh-CN"/>
              </w:rPr>
              <w:t>年</w:t>
            </w:r>
          </w:p>
        </w:tc>
        <w:tc>
          <w:tcPr>
            <w:tcW w:w="1905" w:type="dxa"/>
            <w:gridSpan w:val="2"/>
            <w:tcBorders>
              <w:tl2br w:val="nil"/>
              <w:tr2bl w:val="nil"/>
            </w:tcBorders>
            <w:noWrap w:val="0"/>
            <w:vAlign w:val="center"/>
          </w:tcPr>
          <w:p w14:paraId="2220FAE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2033</w:t>
            </w:r>
            <w:r>
              <w:rPr>
                <w:rFonts w:hint="default" w:ascii="Times New Roman" w:hAnsi="Times New Roman" w:cs="Times New Roman"/>
                <w:color w:val="000000" w:themeColor="text1"/>
                <w:sz w:val="21"/>
                <w:szCs w:val="21"/>
                <w:highlight w:val="none"/>
                <w:lang w:val="en-US" w:eastAsia="zh-CN"/>
              </w:rPr>
              <w:t>年</w:t>
            </w:r>
          </w:p>
        </w:tc>
        <w:tc>
          <w:tcPr>
            <w:tcW w:w="1908" w:type="dxa"/>
            <w:gridSpan w:val="2"/>
            <w:tcBorders>
              <w:tl2br w:val="nil"/>
              <w:tr2bl w:val="nil"/>
            </w:tcBorders>
            <w:noWrap w:val="0"/>
            <w:vAlign w:val="center"/>
          </w:tcPr>
          <w:p w14:paraId="0D6D2C4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20</w:t>
            </w:r>
            <w:r>
              <w:rPr>
                <w:rFonts w:hint="eastAsia" w:ascii="Times New Roman" w:hAnsi="Times New Roman" w:cs="Times New Roman"/>
                <w:color w:val="000000" w:themeColor="text1"/>
                <w:sz w:val="21"/>
                <w:szCs w:val="21"/>
                <w:highlight w:val="none"/>
                <w:lang w:val="en-US" w:eastAsia="zh-CN"/>
              </w:rPr>
              <w:t>41</w:t>
            </w:r>
            <w:r>
              <w:rPr>
                <w:rFonts w:hint="default" w:ascii="Times New Roman" w:hAnsi="Times New Roman" w:cs="Times New Roman"/>
                <w:color w:val="000000" w:themeColor="text1"/>
                <w:sz w:val="21"/>
                <w:szCs w:val="21"/>
                <w:highlight w:val="none"/>
                <w:lang w:val="en-US" w:eastAsia="zh-CN"/>
              </w:rPr>
              <w:t>年</w:t>
            </w:r>
          </w:p>
        </w:tc>
      </w:tr>
      <w:tr w14:paraId="43EFCF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360" w:type="dxa"/>
            <w:vMerge w:val="continue"/>
            <w:tcBorders>
              <w:tl2br w:val="nil"/>
              <w:tr2bl w:val="nil"/>
            </w:tcBorders>
            <w:noWrap w:val="0"/>
            <w:vAlign w:val="center"/>
          </w:tcPr>
          <w:p w14:paraId="2507B98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276" w:type="dxa"/>
            <w:vMerge w:val="continue"/>
            <w:tcBorders>
              <w:tl2br w:val="nil"/>
              <w:tr2bl w:val="nil"/>
            </w:tcBorders>
            <w:noWrap w:val="0"/>
            <w:vAlign w:val="center"/>
          </w:tcPr>
          <w:p w14:paraId="305AA15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951" w:type="dxa"/>
            <w:tcBorders>
              <w:tl2br w:val="nil"/>
              <w:tr2bl w:val="nil"/>
            </w:tcBorders>
            <w:noWrap w:val="0"/>
            <w:vAlign w:val="center"/>
          </w:tcPr>
          <w:p w14:paraId="07A2F7CC">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952" w:type="dxa"/>
            <w:tcBorders>
              <w:tl2br w:val="nil"/>
              <w:tr2bl w:val="nil"/>
            </w:tcBorders>
            <w:noWrap w:val="0"/>
            <w:vAlign w:val="center"/>
          </w:tcPr>
          <w:p w14:paraId="1D64F13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951" w:type="dxa"/>
            <w:tcBorders>
              <w:tl2br w:val="nil"/>
              <w:tr2bl w:val="nil"/>
            </w:tcBorders>
            <w:noWrap w:val="0"/>
            <w:vAlign w:val="center"/>
          </w:tcPr>
          <w:p w14:paraId="269B723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954" w:type="dxa"/>
            <w:tcBorders>
              <w:tl2br w:val="nil"/>
              <w:tr2bl w:val="nil"/>
            </w:tcBorders>
            <w:noWrap w:val="0"/>
            <w:vAlign w:val="center"/>
          </w:tcPr>
          <w:p w14:paraId="7959E665">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952" w:type="dxa"/>
            <w:tcBorders>
              <w:tl2br w:val="nil"/>
              <w:tr2bl w:val="nil"/>
            </w:tcBorders>
            <w:noWrap w:val="0"/>
            <w:vAlign w:val="center"/>
          </w:tcPr>
          <w:p w14:paraId="21D7FD3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956" w:type="dxa"/>
            <w:tcBorders>
              <w:tl2br w:val="nil"/>
              <w:tr2bl w:val="nil"/>
            </w:tcBorders>
            <w:noWrap w:val="0"/>
            <w:vAlign w:val="center"/>
          </w:tcPr>
          <w:p w14:paraId="3AC7FEE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r>
      <w:tr w14:paraId="374627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60" w:type="dxa"/>
            <w:vMerge w:val="restart"/>
            <w:tcBorders>
              <w:tl2br w:val="nil"/>
              <w:tr2bl w:val="nil"/>
            </w:tcBorders>
            <w:noWrap w:val="0"/>
            <w:vAlign w:val="center"/>
          </w:tcPr>
          <w:p w14:paraId="4DBBCE44">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机场进场路主线及</w:t>
            </w:r>
            <w:r>
              <w:rPr>
                <w:rFonts w:hint="eastAsia" w:ascii="Times New Roman" w:hAnsi="Times New Roman" w:cs="Times New Roman"/>
                <w:color w:val="000000" w:themeColor="text1"/>
                <w:sz w:val="21"/>
                <w:szCs w:val="21"/>
                <w:highlight w:val="none"/>
                <w:lang w:val="en-US" w:eastAsia="zh-CN"/>
              </w:rPr>
              <w:t>连接线</w:t>
            </w:r>
          </w:p>
        </w:tc>
        <w:tc>
          <w:tcPr>
            <w:tcW w:w="1276" w:type="dxa"/>
            <w:tcBorders>
              <w:tl2br w:val="nil"/>
              <w:tr2bl w:val="nil"/>
            </w:tcBorders>
            <w:noWrap w:val="0"/>
            <w:vAlign w:val="center"/>
          </w:tcPr>
          <w:p w14:paraId="59BE32E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小型车</w:t>
            </w:r>
          </w:p>
        </w:tc>
        <w:tc>
          <w:tcPr>
            <w:tcW w:w="951" w:type="dxa"/>
            <w:tcBorders>
              <w:tl2br w:val="nil"/>
              <w:tr2bl w:val="nil"/>
            </w:tcBorders>
            <w:noWrap w:val="0"/>
            <w:vAlign w:val="center"/>
          </w:tcPr>
          <w:p w14:paraId="7B2BC915">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60</w:t>
            </w:r>
          </w:p>
        </w:tc>
        <w:tc>
          <w:tcPr>
            <w:tcW w:w="952" w:type="dxa"/>
            <w:tcBorders>
              <w:tl2br w:val="nil"/>
              <w:tr2bl w:val="nil"/>
            </w:tcBorders>
            <w:shd w:val="clear" w:color="auto" w:fill="auto"/>
            <w:noWrap w:val="0"/>
            <w:vAlign w:val="center"/>
          </w:tcPr>
          <w:p w14:paraId="2A6BD1B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1" w:type="dxa"/>
            <w:tcBorders>
              <w:tl2br w:val="nil"/>
              <w:tr2bl w:val="nil"/>
            </w:tcBorders>
            <w:shd w:val="clear" w:color="auto" w:fill="auto"/>
            <w:noWrap w:val="0"/>
            <w:vAlign w:val="center"/>
          </w:tcPr>
          <w:p w14:paraId="744363F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4" w:type="dxa"/>
            <w:tcBorders>
              <w:tl2br w:val="nil"/>
              <w:tr2bl w:val="nil"/>
            </w:tcBorders>
            <w:shd w:val="clear" w:color="auto" w:fill="auto"/>
            <w:noWrap w:val="0"/>
            <w:vAlign w:val="center"/>
          </w:tcPr>
          <w:p w14:paraId="5238E04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2" w:type="dxa"/>
            <w:tcBorders>
              <w:tl2br w:val="nil"/>
              <w:tr2bl w:val="nil"/>
            </w:tcBorders>
            <w:shd w:val="clear" w:color="auto" w:fill="auto"/>
            <w:noWrap w:val="0"/>
            <w:vAlign w:val="center"/>
          </w:tcPr>
          <w:p w14:paraId="240F00A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6" w:type="dxa"/>
            <w:tcBorders>
              <w:tl2br w:val="nil"/>
              <w:tr2bl w:val="nil"/>
            </w:tcBorders>
            <w:shd w:val="clear" w:color="auto" w:fill="auto"/>
            <w:noWrap w:val="0"/>
            <w:vAlign w:val="center"/>
          </w:tcPr>
          <w:p w14:paraId="614C3EF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r>
      <w:tr w14:paraId="592454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60" w:type="dxa"/>
            <w:vMerge w:val="continue"/>
            <w:tcBorders>
              <w:tl2br w:val="nil"/>
              <w:tr2bl w:val="nil"/>
            </w:tcBorders>
            <w:noWrap w:val="0"/>
            <w:vAlign w:val="center"/>
          </w:tcPr>
          <w:p w14:paraId="2727317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276" w:type="dxa"/>
            <w:tcBorders>
              <w:tl2br w:val="nil"/>
              <w:tr2bl w:val="nil"/>
            </w:tcBorders>
            <w:noWrap w:val="0"/>
            <w:vAlign w:val="center"/>
          </w:tcPr>
          <w:p w14:paraId="5F7FF3B4">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中型车</w:t>
            </w:r>
          </w:p>
        </w:tc>
        <w:tc>
          <w:tcPr>
            <w:tcW w:w="951" w:type="dxa"/>
            <w:tcBorders>
              <w:tl2br w:val="nil"/>
              <w:tr2bl w:val="nil"/>
            </w:tcBorders>
            <w:noWrap w:val="0"/>
            <w:vAlign w:val="center"/>
          </w:tcPr>
          <w:p w14:paraId="360C58D1">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60</w:t>
            </w:r>
          </w:p>
        </w:tc>
        <w:tc>
          <w:tcPr>
            <w:tcW w:w="952" w:type="dxa"/>
            <w:tcBorders>
              <w:tl2br w:val="nil"/>
              <w:tr2bl w:val="nil"/>
            </w:tcBorders>
            <w:shd w:val="clear" w:color="auto" w:fill="auto"/>
            <w:noWrap w:val="0"/>
            <w:vAlign w:val="center"/>
          </w:tcPr>
          <w:p w14:paraId="6EE0DBB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1" w:type="dxa"/>
            <w:tcBorders>
              <w:tl2br w:val="nil"/>
              <w:tr2bl w:val="nil"/>
            </w:tcBorders>
            <w:shd w:val="clear" w:color="auto" w:fill="auto"/>
            <w:noWrap w:val="0"/>
            <w:vAlign w:val="center"/>
          </w:tcPr>
          <w:p w14:paraId="64B2FFB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4" w:type="dxa"/>
            <w:tcBorders>
              <w:tl2br w:val="nil"/>
              <w:tr2bl w:val="nil"/>
            </w:tcBorders>
            <w:shd w:val="clear" w:color="auto" w:fill="auto"/>
            <w:noWrap w:val="0"/>
            <w:vAlign w:val="center"/>
          </w:tcPr>
          <w:p w14:paraId="196D575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2" w:type="dxa"/>
            <w:tcBorders>
              <w:tl2br w:val="nil"/>
              <w:tr2bl w:val="nil"/>
            </w:tcBorders>
            <w:shd w:val="clear" w:color="auto" w:fill="auto"/>
            <w:noWrap w:val="0"/>
            <w:vAlign w:val="center"/>
          </w:tcPr>
          <w:p w14:paraId="3406D24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6" w:type="dxa"/>
            <w:tcBorders>
              <w:tl2br w:val="nil"/>
              <w:tr2bl w:val="nil"/>
            </w:tcBorders>
            <w:shd w:val="clear" w:color="auto" w:fill="auto"/>
            <w:noWrap w:val="0"/>
            <w:vAlign w:val="center"/>
          </w:tcPr>
          <w:p w14:paraId="6890C66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r>
      <w:tr w14:paraId="7E448E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360" w:type="dxa"/>
            <w:vMerge w:val="continue"/>
            <w:tcBorders>
              <w:tl2br w:val="nil"/>
              <w:tr2bl w:val="nil"/>
            </w:tcBorders>
            <w:noWrap w:val="0"/>
            <w:vAlign w:val="center"/>
          </w:tcPr>
          <w:p w14:paraId="06A69C5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1276" w:type="dxa"/>
            <w:tcBorders>
              <w:tl2br w:val="nil"/>
              <w:tr2bl w:val="nil"/>
            </w:tcBorders>
            <w:noWrap w:val="0"/>
            <w:vAlign w:val="center"/>
          </w:tcPr>
          <w:p w14:paraId="7C31316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大型车</w:t>
            </w:r>
          </w:p>
        </w:tc>
        <w:tc>
          <w:tcPr>
            <w:tcW w:w="951" w:type="dxa"/>
            <w:tcBorders>
              <w:tl2br w:val="nil"/>
              <w:tr2bl w:val="nil"/>
            </w:tcBorders>
            <w:noWrap w:val="0"/>
            <w:vAlign w:val="center"/>
          </w:tcPr>
          <w:p w14:paraId="7531B8E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60</w:t>
            </w:r>
          </w:p>
        </w:tc>
        <w:tc>
          <w:tcPr>
            <w:tcW w:w="952" w:type="dxa"/>
            <w:tcBorders>
              <w:tl2br w:val="nil"/>
              <w:tr2bl w:val="nil"/>
            </w:tcBorders>
            <w:shd w:val="clear" w:color="auto" w:fill="auto"/>
            <w:noWrap w:val="0"/>
            <w:vAlign w:val="center"/>
          </w:tcPr>
          <w:p w14:paraId="3E7397F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1" w:type="dxa"/>
            <w:tcBorders>
              <w:tl2br w:val="nil"/>
              <w:tr2bl w:val="nil"/>
            </w:tcBorders>
            <w:shd w:val="clear" w:color="auto" w:fill="auto"/>
            <w:noWrap w:val="0"/>
            <w:vAlign w:val="center"/>
          </w:tcPr>
          <w:p w14:paraId="6799A81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4" w:type="dxa"/>
            <w:tcBorders>
              <w:tl2br w:val="nil"/>
              <w:tr2bl w:val="nil"/>
            </w:tcBorders>
            <w:shd w:val="clear" w:color="auto" w:fill="auto"/>
            <w:noWrap w:val="0"/>
            <w:vAlign w:val="center"/>
          </w:tcPr>
          <w:p w14:paraId="78CD4CE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2" w:type="dxa"/>
            <w:tcBorders>
              <w:tl2br w:val="nil"/>
              <w:tr2bl w:val="nil"/>
            </w:tcBorders>
            <w:shd w:val="clear" w:color="auto" w:fill="auto"/>
            <w:noWrap w:val="0"/>
            <w:vAlign w:val="center"/>
          </w:tcPr>
          <w:p w14:paraId="35E4BA1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956" w:type="dxa"/>
            <w:tcBorders>
              <w:tl2br w:val="nil"/>
              <w:tr2bl w:val="nil"/>
            </w:tcBorders>
            <w:shd w:val="clear" w:color="auto" w:fill="auto"/>
            <w:noWrap w:val="0"/>
            <w:vAlign w:val="center"/>
          </w:tcPr>
          <w:p w14:paraId="1D2AE13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r>
    </w:tbl>
    <w:p w14:paraId="3BE9F917">
      <w:pPr>
        <w:pageBreakBefore w:val="0"/>
        <w:wordWrap/>
        <w:topLinePunct w:val="0"/>
        <w:bidi w:val="0"/>
        <w:spacing w:line="360" w:lineRule="auto"/>
        <w:rPr>
          <w:color w:val="000000" w:themeColor="text1"/>
          <w:sz w:val="24"/>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357AE31B">
      <w:pPr>
        <w:pStyle w:val="138"/>
        <w:bidi w:val="0"/>
        <w:spacing w:line="360" w:lineRule="auto"/>
        <w:rPr>
          <w:rFonts w:hint="eastAsia" w:ascii="Times New Roman" w:hAnsi="Times New Roman" w:eastAsia="宋体" w:cs="Times New Roman"/>
          <w:b/>
          <w:color w:val="000000" w:themeColor="text1"/>
          <w:kern w:val="2"/>
          <w:sz w:val="24"/>
          <w:szCs w:val="24"/>
          <w:highlight w:val="none"/>
          <w:lang w:val="en-US" w:eastAsia="zh-CN" w:bidi="ar-SA"/>
        </w:rPr>
      </w:pPr>
      <w:r>
        <w:rPr>
          <w:rFonts w:hint="eastAsia" w:ascii="Times New Roman" w:hAnsi="Times New Roman" w:eastAsia="宋体" w:cs="Times New Roman"/>
          <w:b/>
          <w:color w:val="000000" w:themeColor="text1"/>
          <w:kern w:val="2"/>
          <w:sz w:val="24"/>
          <w:szCs w:val="24"/>
          <w:highlight w:val="none"/>
          <w:lang w:val="en-US" w:eastAsia="zh-CN" w:bidi="ar-SA"/>
        </w:rPr>
        <w:t>表</w:t>
      </w:r>
      <w:r>
        <w:rPr>
          <w:rFonts w:hint="eastAsia" w:ascii="Times New Roman" w:hAnsi="Times New Roman" w:cs="Times New Roman"/>
          <w:b/>
          <w:color w:val="000000" w:themeColor="text1"/>
          <w:kern w:val="2"/>
          <w:sz w:val="24"/>
          <w:szCs w:val="24"/>
          <w:highlight w:val="none"/>
          <w:lang w:val="en-US" w:eastAsia="zh-CN" w:bidi="ar-SA"/>
        </w:rPr>
        <w:t>3.3-1</w:t>
      </w:r>
      <w:r>
        <w:rPr>
          <w:rFonts w:hint="eastAsia" w:cs="Times New Roman"/>
          <w:b/>
          <w:color w:val="000000" w:themeColor="text1"/>
          <w:kern w:val="2"/>
          <w:sz w:val="24"/>
          <w:szCs w:val="24"/>
          <w:highlight w:val="none"/>
          <w:lang w:val="en-US" w:eastAsia="zh-CN" w:bidi="ar-SA"/>
        </w:rPr>
        <w:t xml:space="preserve">1 </w:t>
      </w:r>
      <w:r>
        <w:rPr>
          <w:rFonts w:hint="eastAsia" w:ascii="Times New Roman" w:hAnsi="Times New Roman" w:eastAsia="宋体" w:cs="Times New Roman"/>
          <w:b/>
          <w:color w:val="000000" w:themeColor="text1"/>
          <w:kern w:val="2"/>
          <w:sz w:val="24"/>
          <w:szCs w:val="24"/>
          <w:highlight w:val="none"/>
          <w:lang w:val="en-US" w:eastAsia="zh-CN" w:bidi="ar-SA"/>
        </w:rPr>
        <w:t xml:space="preserve"> 公路噪声源强调查清单</w:t>
      </w:r>
    </w:p>
    <w:tbl>
      <w:tblPr>
        <w:tblStyle w:val="33"/>
        <w:tblW w:w="5000"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611"/>
        <w:gridCol w:w="694"/>
        <w:gridCol w:w="745"/>
        <w:gridCol w:w="649"/>
        <w:gridCol w:w="655"/>
        <w:gridCol w:w="428"/>
        <w:gridCol w:w="426"/>
        <w:gridCol w:w="476"/>
        <w:gridCol w:w="604"/>
        <w:gridCol w:w="607"/>
        <w:gridCol w:w="689"/>
        <w:gridCol w:w="689"/>
        <w:gridCol w:w="689"/>
        <w:gridCol w:w="689"/>
        <w:gridCol w:w="689"/>
        <w:gridCol w:w="689"/>
        <w:gridCol w:w="689"/>
        <w:gridCol w:w="689"/>
        <w:gridCol w:w="689"/>
        <w:gridCol w:w="689"/>
        <w:gridCol w:w="689"/>
        <w:gridCol w:w="700"/>
      </w:tblGrid>
      <w:tr w14:paraId="1D90F1D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7" w:hRule="atLeast"/>
          <w:jc w:val="center"/>
        </w:trPr>
        <w:tc>
          <w:tcPr>
            <w:tcW w:w="216" w:type="pct"/>
            <w:vMerge w:val="restart"/>
            <w:tcBorders>
              <w:right w:val="single" w:color="auto" w:sz="4" w:space="0"/>
            </w:tcBorders>
            <w:noWrap w:val="0"/>
            <w:vAlign w:val="center"/>
          </w:tcPr>
          <w:p w14:paraId="7CB7279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路段</w:t>
            </w:r>
          </w:p>
        </w:tc>
        <w:tc>
          <w:tcPr>
            <w:tcW w:w="245" w:type="pct"/>
            <w:vMerge w:val="restart"/>
            <w:tcBorders>
              <w:left w:val="single" w:color="auto" w:sz="4" w:space="0"/>
            </w:tcBorders>
            <w:noWrap w:val="0"/>
            <w:vAlign w:val="center"/>
          </w:tcPr>
          <w:p w14:paraId="2D61F01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时期</w:t>
            </w:r>
          </w:p>
        </w:tc>
        <w:tc>
          <w:tcPr>
            <w:tcW w:w="1617" w:type="pct"/>
            <w:gridSpan w:val="8"/>
            <w:noWrap w:val="0"/>
            <w:vAlign w:val="center"/>
          </w:tcPr>
          <w:p w14:paraId="107F4B9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车流量/（辆/h）</w:t>
            </w:r>
          </w:p>
        </w:tc>
        <w:tc>
          <w:tcPr>
            <w:tcW w:w="1458" w:type="pct"/>
            <w:gridSpan w:val="6"/>
            <w:noWrap w:val="0"/>
            <w:vAlign w:val="center"/>
          </w:tcPr>
          <w:p w14:paraId="2CB785E3">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车速/（km/h）</w:t>
            </w:r>
          </w:p>
        </w:tc>
        <w:tc>
          <w:tcPr>
            <w:tcW w:w="1462" w:type="pct"/>
            <w:gridSpan w:val="6"/>
            <w:noWrap w:val="0"/>
            <w:vAlign w:val="center"/>
          </w:tcPr>
          <w:p w14:paraId="011453C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源强/dB（A）</w:t>
            </w:r>
          </w:p>
        </w:tc>
      </w:tr>
      <w:tr w14:paraId="3929F13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7" w:hRule="atLeast"/>
          <w:jc w:val="center"/>
        </w:trPr>
        <w:tc>
          <w:tcPr>
            <w:tcW w:w="216" w:type="pct"/>
            <w:vMerge w:val="continue"/>
            <w:tcBorders>
              <w:right w:val="single" w:color="auto" w:sz="4" w:space="0"/>
            </w:tcBorders>
            <w:noWrap w:val="0"/>
            <w:vAlign w:val="center"/>
          </w:tcPr>
          <w:p w14:paraId="6C57344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245" w:type="pct"/>
            <w:vMerge w:val="continue"/>
            <w:tcBorders>
              <w:left w:val="single" w:color="auto" w:sz="4" w:space="0"/>
            </w:tcBorders>
            <w:noWrap w:val="0"/>
            <w:vAlign w:val="center"/>
          </w:tcPr>
          <w:p w14:paraId="69CD48D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492" w:type="pct"/>
            <w:gridSpan w:val="2"/>
            <w:tcBorders>
              <w:right w:val="single" w:color="auto" w:sz="4" w:space="0"/>
            </w:tcBorders>
            <w:noWrap w:val="0"/>
            <w:vAlign w:val="center"/>
          </w:tcPr>
          <w:p w14:paraId="1C4BEFE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小型车</w:t>
            </w:r>
          </w:p>
        </w:tc>
        <w:tc>
          <w:tcPr>
            <w:tcW w:w="382" w:type="pct"/>
            <w:gridSpan w:val="2"/>
            <w:tcBorders>
              <w:left w:val="single" w:color="auto" w:sz="4" w:space="0"/>
            </w:tcBorders>
            <w:noWrap w:val="0"/>
            <w:vAlign w:val="center"/>
          </w:tcPr>
          <w:p w14:paraId="1B37BD4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中型车</w:t>
            </w:r>
          </w:p>
        </w:tc>
        <w:tc>
          <w:tcPr>
            <w:tcW w:w="318" w:type="pct"/>
            <w:gridSpan w:val="2"/>
            <w:tcBorders>
              <w:left w:val="single" w:color="auto" w:sz="4" w:space="0"/>
            </w:tcBorders>
            <w:noWrap w:val="0"/>
            <w:vAlign w:val="center"/>
          </w:tcPr>
          <w:p w14:paraId="3303609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大型车</w:t>
            </w:r>
          </w:p>
        </w:tc>
        <w:tc>
          <w:tcPr>
            <w:tcW w:w="425" w:type="pct"/>
            <w:gridSpan w:val="2"/>
            <w:tcBorders>
              <w:left w:val="single" w:color="auto" w:sz="4" w:space="0"/>
            </w:tcBorders>
            <w:noWrap w:val="0"/>
            <w:vAlign w:val="center"/>
          </w:tcPr>
          <w:p w14:paraId="1A20D2B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合计</w:t>
            </w:r>
          </w:p>
        </w:tc>
        <w:tc>
          <w:tcPr>
            <w:tcW w:w="486" w:type="pct"/>
            <w:gridSpan w:val="2"/>
            <w:tcBorders>
              <w:right w:val="single" w:color="auto" w:sz="4" w:space="0"/>
            </w:tcBorders>
            <w:noWrap w:val="0"/>
            <w:vAlign w:val="center"/>
          </w:tcPr>
          <w:p w14:paraId="29CCB354">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小型车</w:t>
            </w:r>
          </w:p>
        </w:tc>
        <w:tc>
          <w:tcPr>
            <w:tcW w:w="486" w:type="pct"/>
            <w:gridSpan w:val="2"/>
            <w:tcBorders>
              <w:left w:val="single" w:color="auto" w:sz="4" w:space="0"/>
            </w:tcBorders>
            <w:noWrap w:val="0"/>
            <w:vAlign w:val="center"/>
          </w:tcPr>
          <w:p w14:paraId="5A2206F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中型车</w:t>
            </w:r>
          </w:p>
        </w:tc>
        <w:tc>
          <w:tcPr>
            <w:tcW w:w="486" w:type="pct"/>
            <w:gridSpan w:val="2"/>
            <w:tcBorders>
              <w:left w:val="single" w:color="auto" w:sz="4" w:space="0"/>
            </w:tcBorders>
            <w:noWrap w:val="0"/>
            <w:vAlign w:val="center"/>
          </w:tcPr>
          <w:p w14:paraId="49D26ED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大型车</w:t>
            </w:r>
          </w:p>
        </w:tc>
        <w:tc>
          <w:tcPr>
            <w:tcW w:w="486" w:type="pct"/>
            <w:gridSpan w:val="2"/>
            <w:tcBorders>
              <w:right w:val="single" w:color="auto" w:sz="4" w:space="0"/>
            </w:tcBorders>
            <w:noWrap w:val="0"/>
            <w:vAlign w:val="center"/>
          </w:tcPr>
          <w:p w14:paraId="3405ADE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小型车</w:t>
            </w:r>
          </w:p>
        </w:tc>
        <w:tc>
          <w:tcPr>
            <w:tcW w:w="486" w:type="pct"/>
            <w:gridSpan w:val="2"/>
            <w:tcBorders>
              <w:left w:val="single" w:color="auto" w:sz="4" w:space="0"/>
            </w:tcBorders>
            <w:noWrap w:val="0"/>
            <w:vAlign w:val="center"/>
          </w:tcPr>
          <w:p w14:paraId="27DADFE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中型车</w:t>
            </w:r>
          </w:p>
        </w:tc>
        <w:tc>
          <w:tcPr>
            <w:tcW w:w="489" w:type="pct"/>
            <w:gridSpan w:val="2"/>
            <w:tcBorders>
              <w:left w:val="single" w:color="auto" w:sz="4" w:space="0"/>
            </w:tcBorders>
            <w:noWrap w:val="0"/>
            <w:vAlign w:val="center"/>
          </w:tcPr>
          <w:p w14:paraId="519E538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大型车</w:t>
            </w:r>
          </w:p>
        </w:tc>
      </w:tr>
      <w:tr w14:paraId="08BD8C8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7" w:hRule="atLeast"/>
          <w:jc w:val="center"/>
        </w:trPr>
        <w:tc>
          <w:tcPr>
            <w:tcW w:w="216" w:type="pct"/>
            <w:vMerge w:val="continue"/>
            <w:tcBorders>
              <w:right w:val="single" w:color="auto" w:sz="4" w:space="0"/>
            </w:tcBorders>
            <w:noWrap w:val="0"/>
            <w:vAlign w:val="center"/>
          </w:tcPr>
          <w:p w14:paraId="6264559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245" w:type="pct"/>
            <w:vMerge w:val="continue"/>
            <w:tcBorders>
              <w:left w:val="single" w:color="auto" w:sz="4" w:space="0"/>
            </w:tcBorders>
            <w:noWrap w:val="0"/>
            <w:vAlign w:val="center"/>
          </w:tcPr>
          <w:p w14:paraId="3E12A3B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263" w:type="pct"/>
            <w:tcBorders>
              <w:right w:val="single" w:color="auto" w:sz="4" w:space="0"/>
            </w:tcBorders>
            <w:noWrap w:val="0"/>
            <w:vAlign w:val="center"/>
          </w:tcPr>
          <w:p w14:paraId="6D00C8C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28" w:type="pct"/>
            <w:tcBorders>
              <w:right w:val="single" w:color="auto" w:sz="4" w:space="0"/>
            </w:tcBorders>
            <w:noWrap w:val="0"/>
            <w:vAlign w:val="center"/>
          </w:tcPr>
          <w:p w14:paraId="64B9FBB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31" w:type="pct"/>
            <w:tcBorders>
              <w:left w:val="single" w:color="auto" w:sz="4" w:space="0"/>
            </w:tcBorders>
            <w:noWrap w:val="0"/>
            <w:vAlign w:val="center"/>
          </w:tcPr>
          <w:p w14:paraId="4F577C11">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150" w:type="pct"/>
            <w:tcBorders>
              <w:left w:val="single" w:color="auto" w:sz="4" w:space="0"/>
            </w:tcBorders>
            <w:noWrap w:val="0"/>
            <w:vAlign w:val="center"/>
          </w:tcPr>
          <w:p w14:paraId="56C6916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150" w:type="pct"/>
            <w:tcBorders>
              <w:left w:val="single" w:color="auto" w:sz="4" w:space="0"/>
            </w:tcBorders>
            <w:noWrap w:val="0"/>
            <w:vAlign w:val="center"/>
          </w:tcPr>
          <w:p w14:paraId="31C68C6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167" w:type="pct"/>
            <w:tcBorders>
              <w:left w:val="single" w:color="auto" w:sz="4" w:space="0"/>
            </w:tcBorders>
            <w:noWrap w:val="0"/>
            <w:vAlign w:val="center"/>
          </w:tcPr>
          <w:p w14:paraId="189D5D5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13" w:type="pct"/>
            <w:tcBorders>
              <w:left w:val="single" w:color="auto" w:sz="4" w:space="0"/>
            </w:tcBorders>
            <w:noWrap w:val="0"/>
            <w:vAlign w:val="center"/>
          </w:tcPr>
          <w:p w14:paraId="184C6FC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12" w:type="pct"/>
            <w:tcBorders>
              <w:left w:val="single" w:color="auto" w:sz="4" w:space="0"/>
            </w:tcBorders>
            <w:noWrap w:val="0"/>
            <w:vAlign w:val="center"/>
          </w:tcPr>
          <w:p w14:paraId="6CA50F3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43" w:type="pct"/>
            <w:tcBorders>
              <w:right w:val="single" w:color="auto" w:sz="4" w:space="0"/>
            </w:tcBorders>
            <w:noWrap w:val="0"/>
            <w:vAlign w:val="center"/>
          </w:tcPr>
          <w:p w14:paraId="4194243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43" w:type="pct"/>
            <w:tcBorders>
              <w:right w:val="single" w:color="auto" w:sz="4" w:space="0"/>
            </w:tcBorders>
            <w:noWrap w:val="0"/>
            <w:vAlign w:val="center"/>
          </w:tcPr>
          <w:p w14:paraId="04B30D65">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43" w:type="pct"/>
            <w:tcBorders>
              <w:left w:val="single" w:color="auto" w:sz="4" w:space="0"/>
            </w:tcBorders>
            <w:noWrap w:val="0"/>
            <w:vAlign w:val="center"/>
          </w:tcPr>
          <w:p w14:paraId="76D4F31C">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43" w:type="pct"/>
            <w:tcBorders>
              <w:left w:val="single" w:color="auto" w:sz="4" w:space="0"/>
            </w:tcBorders>
            <w:noWrap w:val="0"/>
            <w:vAlign w:val="center"/>
          </w:tcPr>
          <w:p w14:paraId="3FED3A1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43" w:type="pct"/>
            <w:tcBorders>
              <w:left w:val="single" w:color="auto" w:sz="4" w:space="0"/>
            </w:tcBorders>
            <w:noWrap w:val="0"/>
            <w:vAlign w:val="center"/>
          </w:tcPr>
          <w:p w14:paraId="4F1488E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43" w:type="pct"/>
            <w:tcBorders>
              <w:left w:val="single" w:color="auto" w:sz="4" w:space="0"/>
            </w:tcBorders>
            <w:noWrap w:val="0"/>
            <w:vAlign w:val="center"/>
          </w:tcPr>
          <w:p w14:paraId="6DF22C65">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43" w:type="pct"/>
            <w:tcBorders>
              <w:right w:val="single" w:color="auto" w:sz="4" w:space="0"/>
            </w:tcBorders>
            <w:noWrap w:val="0"/>
            <w:vAlign w:val="center"/>
          </w:tcPr>
          <w:p w14:paraId="7EE2EBA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43" w:type="pct"/>
            <w:tcBorders>
              <w:right w:val="single" w:color="auto" w:sz="4" w:space="0"/>
            </w:tcBorders>
            <w:noWrap w:val="0"/>
            <w:vAlign w:val="center"/>
          </w:tcPr>
          <w:p w14:paraId="05C962C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43" w:type="pct"/>
            <w:tcBorders>
              <w:left w:val="single" w:color="auto" w:sz="4" w:space="0"/>
            </w:tcBorders>
            <w:noWrap w:val="0"/>
            <w:vAlign w:val="center"/>
          </w:tcPr>
          <w:p w14:paraId="05DE159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43" w:type="pct"/>
            <w:tcBorders>
              <w:left w:val="single" w:color="auto" w:sz="4" w:space="0"/>
            </w:tcBorders>
            <w:noWrap w:val="0"/>
            <w:vAlign w:val="center"/>
          </w:tcPr>
          <w:p w14:paraId="5FC08F9C">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243" w:type="pct"/>
            <w:tcBorders>
              <w:left w:val="single" w:color="auto" w:sz="4" w:space="0"/>
            </w:tcBorders>
            <w:noWrap w:val="0"/>
            <w:vAlign w:val="center"/>
          </w:tcPr>
          <w:p w14:paraId="2B45735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246" w:type="pct"/>
            <w:tcBorders>
              <w:left w:val="single" w:color="auto" w:sz="4" w:space="0"/>
            </w:tcBorders>
            <w:noWrap w:val="0"/>
            <w:vAlign w:val="center"/>
          </w:tcPr>
          <w:p w14:paraId="2626629B">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r>
      <w:tr w14:paraId="28A4FF8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7" w:hRule="atLeast"/>
          <w:jc w:val="center"/>
        </w:trPr>
        <w:tc>
          <w:tcPr>
            <w:tcW w:w="216" w:type="pct"/>
            <w:vMerge w:val="restart"/>
            <w:tcBorders>
              <w:right w:val="single" w:color="auto" w:sz="4" w:space="0"/>
            </w:tcBorders>
            <w:noWrap w:val="0"/>
            <w:vAlign w:val="center"/>
          </w:tcPr>
          <w:p w14:paraId="159D24A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机场进场路</w:t>
            </w:r>
          </w:p>
        </w:tc>
        <w:tc>
          <w:tcPr>
            <w:tcW w:w="245" w:type="pct"/>
            <w:tcBorders>
              <w:left w:val="single" w:color="auto" w:sz="4" w:space="0"/>
            </w:tcBorders>
            <w:noWrap w:val="0"/>
            <w:vAlign w:val="center"/>
          </w:tcPr>
          <w:p w14:paraId="5571345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2027</w:t>
            </w:r>
          </w:p>
        </w:tc>
        <w:tc>
          <w:tcPr>
            <w:tcW w:w="263" w:type="pct"/>
            <w:tcBorders>
              <w:right w:val="single" w:color="auto" w:sz="4" w:space="0"/>
            </w:tcBorders>
            <w:noWrap w:val="0"/>
            <w:vAlign w:val="center"/>
          </w:tcPr>
          <w:p w14:paraId="7030E00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144</w:t>
            </w:r>
          </w:p>
        </w:tc>
        <w:tc>
          <w:tcPr>
            <w:tcW w:w="228" w:type="pct"/>
            <w:tcBorders>
              <w:right w:val="single" w:color="auto" w:sz="4" w:space="0"/>
            </w:tcBorders>
            <w:noWrap w:val="0"/>
            <w:vAlign w:val="center"/>
          </w:tcPr>
          <w:p w14:paraId="1B08114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72</w:t>
            </w:r>
          </w:p>
        </w:tc>
        <w:tc>
          <w:tcPr>
            <w:tcW w:w="231" w:type="pct"/>
            <w:tcBorders>
              <w:left w:val="single" w:color="auto" w:sz="4" w:space="0"/>
            </w:tcBorders>
            <w:noWrap w:val="0"/>
            <w:vAlign w:val="center"/>
          </w:tcPr>
          <w:p w14:paraId="3A96E5C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50</w:t>
            </w:r>
          </w:p>
        </w:tc>
        <w:tc>
          <w:tcPr>
            <w:tcW w:w="150" w:type="pct"/>
            <w:tcBorders>
              <w:left w:val="single" w:color="auto" w:sz="4" w:space="0"/>
            </w:tcBorders>
            <w:noWrap w:val="0"/>
            <w:vAlign w:val="center"/>
          </w:tcPr>
          <w:p w14:paraId="2F2C4EF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25</w:t>
            </w:r>
          </w:p>
        </w:tc>
        <w:tc>
          <w:tcPr>
            <w:tcW w:w="150" w:type="pct"/>
            <w:tcBorders>
              <w:left w:val="single" w:color="auto" w:sz="4" w:space="0"/>
            </w:tcBorders>
            <w:noWrap w:val="0"/>
            <w:vAlign w:val="center"/>
          </w:tcPr>
          <w:p w14:paraId="1492FD2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14</w:t>
            </w:r>
          </w:p>
        </w:tc>
        <w:tc>
          <w:tcPr>
            <w:tcW w:w="167" w:type="pct"/>
            <w:tcBorders>
              <w:left w:val="single" w:color="auto" w:sz="4" w:space="0"/>
            </w:tcBorders>
            <w:noWrap w:val="0"/>
            <w:vAlign w:val="center"/>
          </w:tcPr>
          <w:p w14:paraId="509F5E13">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7</w:t>
            </w:r>
          </w:p>
        </w:tc>
        <w:tc>
          <w:tcPr>
            <w:tcW w:w="213" w:type="pct"/>
            <w:tcBorders>
              <w:left w:val="single" w:color="auto" w:sz="4" w:space="0"/>
            </w:tcBorders>
            <w:noWrap w:val="0"/>
            <w:vAlign w:val="center"/>
          </w:tcPr>
          <w:p w14:paraId="6290749D">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208</w:t>
            </w:r>
          </w:p>
        </w:tc>
        <w:tc>
          <w:tcPr>
            <w:tcW w:w="212" w:type="pct"/>
            <w:tcBorders>
              <w:left w:val="single" w:color="auto" w:sz="4" w:space="0"/>
            </w:tcBorders>
            <w:noWrap w:val="0"/>
            <w:vAlign w:val="center"/>
          </w:tcPr>
          <w:p w14:paraId="37C3C49D">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104</w:t>
            </w:r>
          </w:p>
        </w:tc>
        <w:tc>
          <w:tcPr>
            <w:tcW w:w="243" w:type="pct"/>
            <w:tcBorders>
              <w:right w:val="single" w:color="auto" w:sz="4" w:space="0"/>
            </w:tcBorders>
            <w:shd w:val="clear" w:color="auto" w:fill="auto"/>
            <w:noWrap w:val="0"/>
            <w:vAlign w:val="center"/>
          </w:tcPr>
          <w:p w14:paraId="0C1D52D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right w:val="single" w:color="auto" w:sz="4" w:space="0"/>
            </w:tcBorders>
            <w:shd w:val="clear" w:color="auto" w:fill="auto"/>
            <w:noWrap w:val="0"/>
            <w:vAlign w:val="center"/>
          </w:tcPr>
          <w:p w14:paraId="0B6A4CC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2A23EDB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47F96CF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4FFFE11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615F226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right w:val="single" w:color="auto" w:sz="4" w:space="0"/>
            </w:tcBorders>
            <w:noWrap w:val="0"/>
            <w:vAlign w:val="center"/>
          </w:tcPr>
          <w:p w14:paraId="07BBA759">
            <w:pPr>
              <w:pageBreakBefore w:val="0"/>
              <w:wordWrap/>
              <w:topLinePunct w:val="0"/>
              <w:bidi w:val="0"/>
              <w:spacing w:line="240" w:lineRule="auto"/>
              <w:ind w:firstLine="0" w:firstLineChars="0"/>
              <w:jc w:val="center"/>
              <w:rPr>
                <w:rFonts w:hint="default"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243" w:type="pct"/>
            <w:tcBorders>
              <w:right w:val="single" w:color="auto" w:sz="4" w:space="0"/>
            </w:tcBorders>
            <w:noWrap w:val="0"/>
            <w:vAlign w:val="center"/>
          </w:tcPr>
          <w:p w14:paraId="4EDFFA5C">
            <w:pPr>
              <w:pageBreakBefore w:val="0"/>
              <w:wordWrap/>
              <w:topLinePunct w:val="0"/>
              <w:bidi w:val="0"/>
              <w:spacing w:line="240" w:lineRule="auto"/>
              <w:ind w:firstLine="0" w:firstLineChars="0"/>
              <w:jc w:val="center"/>
              <w:rPr>
                <w:rFonts w:hint="default"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243" w:type="pct"/>
            <w:tcBorders>
              <w:left w:val="single" w:color="auto" w:sz="4" w:space="0"/>
            </w:tcBorders>
            <w:shd w:val="clear" w:color="auto" w:fill="auto"/>
            <w:noWrap w:val="0"/>
            <w:vAlign w:val="center"/>
          </w:tcPr>
          <w:p w14:paraId="0710382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243" w:type="pct"/>
            <w:tcBorders>
              <w:left w:val="single" w:color="auto" w:sz="4" w:space="0"/>
            </w:tcBorders>
            <w:shd w:val="clear" w:color="auto" w:fill="auto"/>
            <w:noWrap w:val="0"/>
            <w:vAlign w:val="center"/>
          </w:tcPr>
          <w:p w14:paraId="3F61D62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243" w:type="pct"/>
            <w:tcBorders>
              <w:left w:val="single" w:color="auto" w:sz="4" w:space="0"/>
            </w:tcBorders>
            <w:shd w:val="clear" w:color="auto" w:fill="auto"/>
            <w:noWrap w:val="0"/>
            <w:vAlign w:val="center"/>
          </w:tcPr>
          <w:p w14:paraId="7A18568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246" w:type="pct"/>
            <w:tcBorders>
              <w:left w:val="single" w:color="auto" w:sz="4" w:space="0"/>
            </w:tcBorders>
            <w:shd w:val="clear" w:color="auto" w:fill="auto"/>
            <w:noWrap w:val="0"/>
            <w:vAlign w:val="center"/>
          </w:tcPr>
          <w:p w14:paraId="66CF29C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r>
      <w:tr w14:paraId="72053CA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7" w:hRule="atLeast"/>
          <w:jc w:val="center"/>
        </w:trPr>
        <w:tc>
          <w:tcPr>
            <w:tcW w:w="216" w:type="pct"/>
            <w:vMerge w:val="continue"/>
            <w:tcBorders>
              <w:right w:val="single" w:color="auto" w:sz="4" w:space="0"/>
            </w:tcBorders>
            <w:noWrap w:val="0"/>
            <w:vAlign w:val="center"/>
          </w:tcPr>
          <w:p w14:paraId="675BCDA4">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245" w:type="pct"/>
            <w:tcBorders>
              <w:left w:val="single" w:color="auto" w:sz="4" w:space="0"/>
            </w:tcBorders>
            <w:noWrap w:val="0"/>
            <w:vAlign w:val="center"/>
          </w:tcPr>
          <w:p w14:paraId="125458C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2033</w:t>
            </w:r>
          </w:p>
        </w:tc>
        <w:tc>
          <w:tcPr>
            <w:tcW w:w="263" w:type="pct"/>
            <w:tcBorders>
              <w:right w:val="single" w:color="auto" w:sz="4" w:space="0"/>
            </w:tcBorders>
            <w:noWrap w:val="0"/>
            <w:vAlign w:val="center"/>
          </w:tcPr>
          <w:p w14:paraId="58F23727">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170</w:t>
            </w:r>
          </w:p>
        </w:tc>
        <w:tc>
          <w:tcPr>
            <w:tcW w:w="228" w:type="pct"/>
            <w:tcBorders>
              <w:right w:val="single" w:color="auto" w:sz="4" w:space="0"/>
            </w:tcBorders>
            <w:noWrap w:val="0"/>
            <w:vAlign w:val="center"/>
          </w:tcPr>
          <w:p w14:paraId="1EE6A18C">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85</w:t>
            </w:r>
          </w:p>
        </w:tc>
        <w:tc>
          <w:tcPr>
            <w:tcW w:w="231" w:type="pct"/>
            <w:tcBorders>
              <w:left w:val="single" w:color="auto" w:sz="4" w:space="0"/>
            </w:tcBorders>
            <w:noWrap w:val="0"/>
            <w:vAlign w:val="center"/>
          </w:tcPr>
          <w:p w14:paraId="0D0332FC">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59</w:t>
            </w:r>
          </w:p>
        </w:tc>
        <w:tc>
          <w:tcPr>
            <w:tcW w:w="150" w:type="pct"/>
            <w:tcBorders>
              <w:left w:val="single" w:color="auto" w:sz="4" w:space="0"/>
            </w:tcBorders>
            <w:noWrap w:val="0"/>
            <w:vAlign w:val="center"/>
          </w:tcPr>
          <w:p w14:paraId="4E19B66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30</w:t>
            </w:r>
          </w:p>
        </w:tc>
        <w:tc>
          <w:tcPr>
            <w:tcW w:w="150" w:type="pct"/>
            <w:tcBorders>
              <w:left w:val="single" w:color="auto" w:sz="4" w:space="0"/>
            </w:tcBorders>
            <w:noWrap w:val="0"/>
            <w:vAlign w:val="center"/>
          </w:tcPr>
          <w:p w14:paraId="131D9EAF">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18</w:t>
            </w:r>
          </w:p>
        </w:tc>
        <w:tc>
          <w:tcPr>
            <w:tcW w:w="167" w:type="pct"/>
            <w:tcBorders>
              <w:left w:val="single" w:color="auto" w:sz="4" w:space="0"/>
            </w:tcBorders>
            <w:noWrap w:val="0"/>
            <w:vAlign w:val="center"/>
          </w:tcPr>
          <w:p w14:paraId="65B13E40">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9</w:t>
            </w:r>
          </w:p>
        </w:tc>
        <w:tc>
          <w:tcPr>
            <w:tcW w:w="213" w:type="pct"/>
            <w:tcBorders>
              <w:left w:val="single" w:color="auto" w:sz="4" w:space="0"/>
            </w:tcBorders>
            <w:noWrap w:val="0"/>
            <w:vAlign w:val="center"/>
          </w:tcPr>
          <w:p w14:paraId="6649ADDC">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247</w:t>
            </w:r>
          </w:p>
        </w:tc>
        <w:tc>
          <w:tcPr>
            <w:tcW w:w="212" w:type="pct"/>
            <w:tcBorders>
              <w:left w:val="single" w:color="auto" w:sz="4" w:space="0"/>
            </w:tcBorders>
            <w:noWrap w:val="0"/>
            <w:vAlign w:val="center"/>
          </w:tcPr>
          <w:p w14:paraId="15CA9949">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124</w:t>
            </w:r>
          </w:p>
        </w:tc>
        <w:tc>
          <w:tcPr>
            <w:tcW w:w="243" w:type="pct"/>
            <w:tcBorders>
              <w:right w:val="single" w:color="auto" w:sz="4" w:space="0"/>
            </w:tcBorders>
            <w:shd w:val="clear" w:color="auto" w:fill="auto"/>
            <w:noWrap w:val="0"/>
            <w:vAlign w:val="center"/>
          </w:tcPr>
          <w:p w14:paraId="084D907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right w:val="single" w:color="auto" w:sz="4" w:space="0"/>
            </w:tcBorders>
            <w:shd w:val="clear" w:color="auto" w:fill="auto"/>
            <w:noWrap w:val="0"/>
            <w:vAlign w:val="center"/>
          </w:tcPr>
          <w:p w14:paraId="1956B30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6E2B712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65E2F1D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3FF0B7B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063A131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right w:val="single" w:color="auto" w:sz="4" w:space="0"/>
            </w:tcBorders>
            <w:shd w:val="clear" w:color="auto" w:fill="auto"/>
            <w:noWrap w:val="0"/>
            <w:vAlign w:val="center"/>
          </w:tcPr>
          <w:p w14:paraId="24A6D76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243" w:type="pct"/>
            <w:tcBorders>
              <w:right w:val="single" w:color="auto" w:sz="4" w:space="0"/>
            </w:tcBorders>
            <w:shd w:val="clear" w:color="auto" w:fill="auto"/>
            <w:noWrap w:val="0"/>
            <w:vAlign w:val="center"/>
          </w:tcPr>
          <w:p w14:paraId="5934D90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243" w:type="pct"/>
            <w:tcBorders>
              <w:left w:val="single" w:color="auto" w:sz="4" w:space="0"/>
            </w:tcBorders>
            <w:shd w:val="clear" w:color="auto" w:fill="auto"/>
            <w:noWrap w:val="0"/>
            <w:vAlign w:val="center"/>
          </w:tcPr>
          <w:p w14:paraId="0367F82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243" w:type="pct"/>
            <w:tcBorders>
              <w:left w:val="single" w:color="auto" w:sz="4" w:space="0"/>
            </w:tcBorders>
            <w:shd w:val="clear" w:color="auto" w:fill="auto"/>
            <w:noWrap w:val="0"/>
            <w:vAlign w:val="center"/>
          </w:tcPr>
          <w:p w14:paraId="27D526A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243" w:type="pct"/>
            <w:tcBorders>
              <w:left w:val="single" w:color="auto" w:sz="4" w:space="0"/>
            </w:tcBorders>
            <w:shd w:val="clear" w:color="auto" w:fill="auto"/>
            <w:noWrap w:val="0"/>
            <w:vAlign w:val="center"/>
          </w:tcPr>
          <w:p w14:paraId="6426AE0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246" w:type="pct"/>
            <w:tcBorders>
              <w:left w:val="single" w:color="auto" w:sz="4" w:space="0"/>
            </w:tcBorders>
            <w:shd w:val="clear" w:color="auto" w:fill="auto"/>
            <w:noWrap w:val="0"/>
            <w:vAlign w:val="center"/>
          </w:tcPr>
          <w:p w14:paraId="250DAD3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r>
      <w:tr w14:paraId="78815D3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97" w:hRule="atLeast"/>
          <w:jc w:val="center"/>
        </w:trPr>
        <w:tc>
          <w:tcPr>
            <w:tcW w:w="216" w:type="pct"/>
            <w:vMerge w:val="continue"/>
            <w:tcBorders>
              <w:right w:val="single" w:color="auto" w:sz="4" w:space="0"/>
            </w:tcBorders>
            <w:noWrap w:val="0"/>
            <w:vAlign w:val="center"/>
          </w:tcPr>
          <w:p w14:paraId="47A18C1D">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p>
        </w:tc>
        <w:tc>
          <w:tcPr>
            <w:tcW w:w="245" w:type="pct"/>
            <w:tcBorders>
              <w:left w:val="single" w:color="auto" w:sz="4" w:space="0"/>
            </w:tcBorders>
            <w:noWrap w:val="0"/>
            <w:vAlign w:val="center"/>
          </w:tcPr>
          <w:p w14:paraId="5C96812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2041</w:t>
            </w:r>
          </w:p>
        </w:tc>
        <w:tc>
          <w:tcPr>
            <w:tcW w:w="263" w:type="pct"/>
            <w:tcBorders>
              <w:right w:val="single" w:color="auto" w:sz="4" w:space="0"/>
            </w:tcBorders>
            <w:noWrap w:val="0"/>
            <w:vAlign w:val="center"/>
          </w:tcPr>
          <w:p w14:paraId="0B0E4586">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248</w:t>
            </w:r>
          </w:p>
        </w:tc>
        <w:tc>
          <w:tcPr>
            <w:tcW w:w="228" w:type="pct"/>
            <w:tcBorders>
              <w:right w:val="single" w:color="auto" w:sz="4" w:space="0"/>
            </w:tcBorders>
            <w:noWrap w:val="0"/>
            <w:vAlign w:val="center"/>
          </w:tcPr>
          <w:p w14:paraId="344A2691">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124</w:t>
            </w:r>
          </w:p>
        </w:tc>
        <w:tc>
          <w:tcPr>
            <w:tcW w:w="231" w:type="pct"/>
            <w:tcBorders>
              <w:left w:val="single" w:color="auto" w:sz="4" w:space="0"/>
            </w:tcBorders>
            <w:noWrap w:val="0"/>
            <w:vAlign w:val="center"/>
          </w:tcPr>
          <w:p w14:paraId="57F31922">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86</w:t>
            </w:r>
          </w:p>
        </w:tc>
        <w:tc>
          <w:tcPr>
            <w:tcW w:w="150" w:type="pct"/>
            <w:tcBorders>
              <w:left w:val="single" w:color="auto" w:sz="4" w:space="0"/>
            </w:tcBorders>
            <w:noWrap w:val="0"/>
            <w:vAlign w:val="center"/>
          </w:tcPr>
          <w:p w14:paraId="1707C9FE">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43</w:t>
            </w:r>
          </w:p>
        </w:tc>
        <w:tc>
          <w:tcPr>
            <w:tcW w:w="150" w:type="pct"/>
            <w:tcBorders>
              <w:left w:val="single" w:color="auto" w:sz="4" w:space="0"/>
            </w:tcBorders>
            <w:noWrap w:val="0"/>
            <w:vAlign w:val="center"/>
          </w:tcPr>
          <w:p w14:paraId="65FFBF8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25</w:t>
            </w:r>
          </w:p>
        </w:tc>
        <w:tc>
          <w:tcPr>
            <w:tcW w:w="167" w:type="pct"/>
            <w:tcBorders>
              <w:left w:val="single" w:color="auto" w:sz="4" w:space="0"/>
            </w:tcBorders>
            <w:noWrap w:val="0"/>
            <w:vAlign w:val="center"/>
          </w:tcPr>
          <w:p w14:paraId="44F5F825">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12</w:t>
            </w:r>
          </w:p>
        </w:tc>
        <w:tc>
          <w:tcPr>
            <w:tcW w:w="213" w:type="pct"/>
            <w:tcBorders>
              <w:left w:val="single" w:color="auto" w:sz="4" w:space="0"/>
            </w:tcBorders>
            <w:noWrap w:val="0"/>
            <w:vAlign w:val="center"/>
          </w:tcPr>
          <w:p w14:paraId="3BACA948">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359</w:t>
            </w:r>
          </w:p>
        </w:tc>
        <w:tc>
          <w:tcPr>
            <w:tcW w:w="212" w:type="pct"/>
            <w:tcBorders>
              <w:left w:val="single" w:color="auto" w:sz="4" w:space="0"/>
            </w:tcBorders>
            <w:noWrap w:val="0"/>
            <w:vAlign w:val="center"/>
          </w:tcPr>
          <w:p w14:paraId="70B43E6A">
            <w:pPr>
              <w:pageBreakBefore w:val="0"/>
              <w:wordWrap/>
              <w:topLinePunct w:val="0"/>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rPr>
            </w:pPr>
            <w:r>
              <w:rPr>
                <w:rFonts w:hint="eastAsia" w:ascii="Times New Roman" w:hAnsi="Times New Roman" w:cs="Times New Roman"/>
                <w:color w:val="000000" w:themeColor="text1"/>
                <w:sz w:val="21"/>
                <w:szCs w:val="21"/>
                <w:highlight w:val="none"/>
                <w:lang w:val="en-US" w:eastAsia="zh-CN"/>
              </w:rPr>
              <w:t>179</w:t>
            </w:r>
          </w:p>
        </w:tc>
        <w:tc>
          <w:tcPr>
            <w:tcW w:w="243" w:type="pct"/>
            <w:tcBorders>
              <w:right w:val="single" w:color="auto" w:sz="4" w:space="0"/>
            </w:tcBorders>
            <w:shd w:val="clear" w:color="auto" w:fill="auto"/>
            <w:noWrap w:val="0"/>
            <w:vAlign w:val="center"/>
          </w:tcPr>
          <w:p w14:paraId="7C0DCA8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right w:val="single" w:color="auto" w:sz="4" w:space="0"/>
            </w:tcBorders>
            <w:shd w:val="clear" w:color="auto" w:fill="auto"/>
            <w:noWrap w:val="0"/>
            <w:vAlign w:val="center"/>
          </w:tcPr>
          <w:p w14:paraId="3AB5EE6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5FF9A22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4F4C057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7156B47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left w:val="single" w:color="auto" w:sz="4" w:space="0"/>
            </w:tcBorders>
            <w:shd w:val="clear" w:color="auto" w:fill="auto"/>
            <w:noWrap w:val="0"/>
            <w:vAlign w:val="center"/>
          </w:tcPr>
          <w:p w14:paraId="3CA0746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60</w:t>
            </w:r>
          </w:p>
        </w:tc>
        <w:tc>
          <w:tcPr>
            <w:tcW w:w="243" w:type="pct"/>
            <w:tcBorders>
              <w:right w:val="single" w:color="auto" w:sz="4" w:space="0"/>
            </w:tcBorders>
            <w:shd w:val="clear" w:color="auto" w:fill="auto"/>
            <w:noWrap w:val="0"/>
            <w:vAlign w:val="center"/>
          </w:tcPr>
          <w:p w14:paraId="26DAB78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243" w:type="pct"/>
            <w:tcBorders>
              <w:right w:val="single" w:color="auto" w:sz="4" w:space="0"/>
            </w:tcBorders>
            <w:shd w:val="clear" w:color="auto" w:fill="auto"/>
            <w:noWrap w:val="0"/>
            <w:vAlign w:val="center"/>
          </w:tcPr>
          <w:p w14:paraId="17C2742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243" w:type="pct"/>
            <w:tcBorders>
              <w:left w:val="single" w:color="auto" w:sz="4" w:space="0"/>
            </w:tcBorders>
            <w:shd w:val="clear" w:color="auto" w:fill="auto"/>
            <w:noWrap w:val="0"/>
            <w:vAlign w:val="center"/>
          </w:tcPr>
          <w:p w14:paraId="24324EA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243" w:type="pct"/>
            <w:tcBorders>
              <w:left w:val="single" w:color="auto" w:sz="4" w:space="0"/>
            </w:tcBorders>
            <w:shd w:val="clear" w:color="auto" w:fill="auto"/>
            <w:noWrap w:val="0"/>
            <w:vAlign w:val="center"/>
          </w:tcPr>
          <w:p w14:paraId="0E687C4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243" w:type="pct"/>
            <w:tcBorders>
              <w:left w:val="single" w:color="auto" w:sz="4" w:space="0"/>
            </w:tcBorders>
            <w:shd w:val="clear" w:color="auto" w:fill="auto"/>
            <w:noWrap w:val="0"/>
            <w:vAlign w:val="center"/>
          </w:tcPr>
          <w:p w14:paraId="19017A4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246" w:type="pct"/>
            <w:tcBorders>
              <w:left w:val="single" w:color="auto" w:sz="4" w:space="0"/>
            </w:tcBorders>
            <w:shd w:val="clear" w:color="auto" w:fill="auto"/>
            <w:noWrap w:val="0"/>
            <w:vAlign w:val="center"/>
          </w:tcPr>
          <w:p w14:paraId="475C2F8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r>
    </w:tbl>
    <w:p w14:paraId="4AECEBD5">
      <w:pPr>
        <w:pageBreakBefore w:val="0"/>
        <w:wordWrap/>
        <w:topLinePunct w:val="0"/>
        <w:bidi w:val="0"/>
        <w:spacing w:line="360" w:lineRule="auto"/>
        <w:rPr>
          <w:color w:val="000000" w:themeColor="text1"/>
          <w:sz w:val="24"/>
          <w:highlight w:val="none"/>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4C185C01">
      <w:pPr>
        <w:pStyle w:val="5"/>
        <w:pageBreakBefore w:val="0"/>
        <w:wordWrap/>
        <w:topLinePunct w:val="0"/>
        <w:bidi w:val="0"/>
        <w:spacing w:before="120" w:line="360" w:lineRule="auto"/>
        <w:rPr>
          <w:rFonts w:hint="eastAsia" w:eastAsia="宋体"/>
          <w:color w:val="000000" w:themeColor="text1"/>
          <w:highlight w:val="none"/>
          <w:lang w:eastAsia="zh-CN"/>
        </w:rPr>
      </w:pPr>
      <w:r>
        <w:rPr>
          <w:rFonts w:hint="eastAsia"/>
          <w:color w:val="000000" w:themeColor="text1"/>
          <w:highlight w:val="none"/>
        </w:rPr>
        <w:t>3.3.2.2</w:t>
      </w:r>
      <w:r>
        <w:rPr>
          <w:color w:val="000000" w:themeColor="text1"/>
          <w:highlight w:val="none"/>
        </w:rPr>
        <w:t>废气</w:t>
      </w:r>
    </w:p>
    <w:p w14:paraId="59E9FD38">
      <w:pPr>
        <w:pageBreakBefore w:val="0"/>
        <w:wordWrap/>
        <w:topLinePunct w:val="0"/>
        <w:bidi w:val="0"/>
        <w:spacing w:line="360" w:lineRule="auto"/>
        <w:rPr>
          <w:rFonts w:ascii="Times New Roman" w:hAnsi="Times New Roman" w:cs="Times New Roman"/>
          <w:color w:val="000000" w:themeColor="text1"/>
          <w:highlight w:val="none"/>
        </w:rPr>
      </w:pPr>
      <w:r>
        <w:rPr>
          <w:rFonts w:ascii="Times New Roman" w:hAnsi="Times New Roman" w:cs="Times New Roman"/>
          <w:color w:val="000000" w:themeColor="text1"/>
          <w:highlight w:val="none"/>
        </w:rPr>
        <w:t>本项目运营期</w:t>
      </w:r>
      <w:r>
        <w:rPr>
          <w:rFonts w:hint="eastAsia" w:ascii="Times New Roman" w:hAnsi="Times New Roman" w:cs="Times New Roman"/>
          <w:color w:val="000000" w:themeColor="text1"/>
          <w:highlight w:val="none"/>
          <w:lang w:val="en-US" w:eastAsia="zh-CN"/>
        </w:rPr>
        <w:t>不存在集中式排放源</w:t>
      </w:r>
      <w:r>
        <w:rPr>
          <w:rFonts w:hint="eastAsia" w:ascii="Times New Roman" w:hAnsi="Times New Roman" w:cs="Times New Roman"/>
          <w:color w:val="000000" w:themeColor="text1"/>
          <w:highlight w:val="none"/>
          <w:lang w:eastAsia="zh-CN"/>
        </w:rPr>
        <w:t>，</w:t>
      </w:r>
      <w:r>
        <w:rPr>
          <w:rFonts w:ascii="Times New Roman" w:hAnsi="Times New Roman" w:cs="Times New Roman"/>
          <w:color w:val="000000" w:themeColor="text1"/>
          <w:highlight w:val="none"/>
        </w:rPr>
        <w:t>可能对周围环境空气产生影响主要为公路汽车尾气等。</w:t>
      </w:r>
    </w:p>
    <w:p w14:paraId="6E4EE5B6">
      <w:pPr>
        <w:pageBreakBefore w:val="0"/>
        <w:wordWrap/>
        <w:topLinePunct w:val="0"/>
        <w:bidi w:val="0"/>
        <w:spacing w:line="360" w:lineRule="auto"/>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汽车尾气的主要污染物为CO、NOx、THC等。</w:t>
      </w:r>
    </w:p>
    <w:p w14:paraId="60933291">
      <w:pPr>
        <w:pageBreakBefore w:val="0"/>
        <w:wordWrap/>
        <w:topLinePunct w:val="0"/>
        <w:bidi w:val="0"/>
        <w:spacing w:line="360" w:lineRule="auto"/>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t>根据《成都至自贡至泸州高速公路竣工环境保护验收调査报告》《S101线白音希勒至都呼木段公路竣工环境保护验收调查报告》《京藏高速公路呼和浩特至包头段改扩建工程竣工环保验收调查报告》</w:t>
      </w:r>
      <w:r>
        <w:rPr>
          <w:rFonts w:hint="eastAsia" w:cs="Times New Roman"/>
          <w:color w:val="000000" w:themeColor="text1"/>
          <w:highlight w:val="none"/>
          <w:lang w:eastAsia="zh-CN"/>
        </w:rPr>
        <w:t>（</w:t>
      </w:r>
      <w:r>
        <w:rPr>
          <w:rFonts w:hint="default" w:ascii="Times New Roman" w:hAnsi="Times New Roman" w:cs="Times New Roman"/>
          <w:color w:val="000000" w:themeColor="text1"/>
          <w:highlight w:val="none"/>
        </w:rPr>
        <w:t>2019年5月</w:t>
      </w:r>
      <w:r>
        <w:rPr>
          <w:rFonts w:hint="eastAsia" w:cs="Times New Roman"/>
          <w:color w:val="000000" w:themeColor="text1"/>
          <w:highlight w:val="none"/>
          <w:lang w:eastAsia="zh-CN"/>
        </w:rPr>
        <w:t>）</w:t>
      </w:r>
      <w:r>
        <w:rPr>
          <w:rFonts w:hint="default" w:ascii="Times New Roman" w:hAnsi="Times New Roman" w:cs="Times New Roman"/>
          <w:color w:val="000000" w:themeColor="text1"/>
          <w:highlight w:val="none"/>
        </w:rPr>
        <w:t>，日交通量3万辆时，道路两侧红线外敏感点CO、NOx均不超标，对周围环境会产生一定影响。类比以上监测结果</w:t>
      </w:r>
      <w:r>
        <w:rPr>
          <w:rFonts w:hint="eastAsia" w:cs="Times New Roman"/>
          <w:color w:val="000000" w:themeColor="text1"/>
          <w:highlight w:val="none"/>
          <w:lang w:eastAsia="zh-CN"/>
        </w:rPr>
        <w:t>，</w:t>
      </w:r>
      <w:r>
        <w:rPr>
          <w:rFonts w:hint="default" w:ascii="Times New Roman" w:hAnsi="Times New Roman" w:cs="Times New Roman"/>
          <w:color w:val="000000" w:themeColor="text1"/>
          <w:highlight w:val="none"/>
        </w:rPr>
        <w:t>本项目运营期汽车尾气排放对周围环境空气影响不大。</w:t>
      </w:r>
    </w:p>
    <w:p w14:paraId="64D2372C">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3.3.2.3</w:t>
      </w:r>
      <w:r>
        <w:rPr>
          <w:color w:val="000000" w:themeColor="text1"/>
          <w:highlight w:val="none"/>
        </w:rPr>
        <w:t>废水</w:t>
      </w:r>
    </w:p>
    <w:p w14:paraId="42E61908">
      <w:pPr>
        <w:pageBreakBefore w:val="0"/>
        <w:wordWrap/>
        <w:topLinePunct w:val="0"/>
        <w:bidi w:val="0"/>
        <w:spacing w:line="360" w:lineRule="auto"/>
        <w:rPr>
          <w:rFonts w:hint="eastAsia" w:eastAsia="宋体"/>
          <w:color w:val="000000" w:themeColor="text1"/>
          <w:highlight w:val="none"/>
          <w:lang w:val="en-US" w:eastAsia="zh-CN"/>
        </w:rPr>
      </w:pPr>
      <w:r>
        <w:rPr>
          <w:rFonts w:hint="eastAsia"/>
          <w:color w:val="000000" w:themeColor="text1"/>
          <w:highlight w:val="none"/>
        </w:rPr>
        <w:t>本项目</w:t>
      </w:r>
      <w:r>
        <w:rPr>
          <w:rFonts w:hint="eastAsia"/>
          <w:color w:val="000000" w:themeColor="text1"/>
          <w:highlight w:val="none"/>
          <w:lang w:val="en-US" w:eastAsia="zh-CN"/>
        </w:rPr>
        <w:t>运营期不产生废水</w:t>
      </w:r>
      <w:r>
        <w:rPr>
          <w:rFonts w:hint="eastAsia"/>
          <w:color w:val="000000" w:themeColor="text1"/>
          <w:highlight w:val="none"/>
          <w:lang w:eastAsia="zh-CN"/>
        </w:rPr>
        <w:t>。</w:t>
      </w:r>
    </w:p>
    <w:p w14:paraId="5570AE20">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3.3.2.4</w:t>
      </w:r>
      <w:r>
        <w:rPr>
          <w:color w:val="000000" w:themeColor="text1"/>
          <w:highlight w:val="none"/>
        </w:rPr>
        <w:t>固体废物</w:t>
      </w:r>
    </w:p>
    <w:p w14:paraId="4F23B8BD">
      <w:pPr>
        <w:pageBreakBefore w:val="0"/>
        <w:wordWrap/>
        <w:topLinePunct w:val="0"/>
        <w:bidi w:val="0"/>
        <w:spacing w:line="360" w:lineRule="auto"/>
        <w:rPr>
          <w:color w:val="000000" w:themeColor="text1"/>
          <w:highlight w:val="none"/>
        </w:rPr>
      </w:pPr>
      <w:r>
        <w:rPr>
          <w:color w:val="000000" w:themeColor="text1"/>
          <w:highlight w:val="none"/>
        </w:rPr>
        <w:t>本项目</w:t>
      </w:r>
      <w:r>
        <w:rPr>
          <w:rFonts w:hint="eastAsia"/>
          <w:color w:val="000000" w:themeColor="text1"/>
          <w:highlight w:val="none"/>
          <w:lang w:val="en-US" w:eastAsia="zh-CN"/>
        </w:rPr>
        <w:t>不设置</w:t>
      </w:r>
      <w:r>
        <w:rPr>
          <w:color w:val="000000" w:themeColor="text1"/>
          <w:highlight w:val="none"/>
        </w:rPr>
        <w:t>服务区</w:t>
      </w:r>
      <w:r>
        <w:rPr>
          <w:rFonts w:hint="eastAsia"/>
          <w:color w:val="000000" w:themeColor="text1"/>
          <w:highlight w:val="none"/>
          <w:lang w:eastAsia="zh-CN"/>
        </w:rPr>
        <w:t>、</w:t>
      </w:r>
      <w:r>
        <w:rPr>
          <w:color w:val="000000" w:themeColor="text1"/>
          <w:highlight w:val="none"/>
        </w:rPr>
        <w:t>收费站</w:t>
      </w:r>
      <w:r>
        <w:rPr>
          <w:rFonts w:hint="eastAsia"/>
          <w:color w:val="000000" w:themeColor="text1"/>
          <w:highlight w:val="none"/>
          <w:lang w:val="en-US" w:eastAsia="zh-CN"/>
        </w:rPr>
        <w:t>和</w:t>
      </w:r>
      <w:r>
        <w:rPr>
          <w:color w:val="000000" w:themeColor="text1"/>
          <w:highlight w:val="none"/>
        </w:rPr>
        <w:t>养护工区</w:t>
      </w:r>
      <w:r>
        <w:rPr>
          <w:rFonts w:hint="eastAsia"/>
          <w:color w:val="000000" w:themeColor="text1"/>
          <w:highlight w:val="none"/>
          <w:lang w:eastAsia="zh-CN"/>
        </w:rPr>
        <w:t>，</w:t>
      </w:r>
      <w:r>
        <w:rPr>
          <w:rFonts w:hint="eastAsia"/>
          <w:color w:val="000000" w:themeColor="text1"/>
          <w:highlight w:val="none"/>
          <w:lang w:val="en-US" w:eastAsia="zh-CN"/>
        </w:rPr>
        <w:t>因此</w:t>
      </w:r>
      <w:r>
        <w:rPr>
          <w:color w:val="000000" w:themeColor="text1"/>
          <w:highlight w:val="none"/>
        </w:rPr>
        <w:t>运营期</w:t>
      </w:r>
      <w:r>
        <w:rPr>
          <w:rFonts w:hint="eastAsia"/>
          <w:color w:val="000000" w:themeColor="text1"/>
          <w:highlight w:val="none"/>
          <w:lang w:val="en-US" w:eastAsia="zh-CN"/>
        </w:rPr>
        <w:t>无</w:t>
      </w:r>
      <w:r>
        <w:rPr>
          <w:color w:val="000000" w:themeColor="text1"/>
          <w:highlight w:val="none"/>
        </w:rPr>
        <w:t>固废废物</w:t>
      </w:r>
      <w:r>
        <w:rPr>
          <w:rFonts w:hint="eastAsia"/>
          <w:color w:val="000000" w:themeColor="text1"/>
          <w:highlight w:val="none"/>
          <w:lang w:val="en-US" w:eastAsia="zh-CN"/>
        </w:rPr>
        <w:t>产生</w:t>
      </w:r>
      <w:r>
        <w:rPr>
          <w:color w:val="000000" w:themeColor="text1"/>
          <w:highlight w:val="none"/>
        </w:rPr>
        <w:t>。</w:t>
      </w:r>
    </w:p>
    <w:p w14:paraId="5A8FFB8F">
      <w:pPr>
        <w:pStyle w:val="4"/>
        <w:pageBreakBefore w:val="0"/>
        <w:wordWrap/>
        <w:topLinePunct w:val="0"/>
        <w:bidi w:val="0"/>
        <w:spacing w:before="120" w:line="360" w:lineRule="auto"/>
        <w:rPr>
          <w:color w:val="000000" w:themeColor="text1"/>
          <w:highlight w:val="none"/>
        </w:rPr>
      </w:pPr>
      <w:bookmarkStart w:id="289" w:name="_Toc23386"/>
      <w:bookmarkStart w:id="290" w:name="_Toc24245"/>
      <w:bookmarkStart w:id="291" w:name="_Toc400524971"/>
      <w:r>
        <w:rPr>
          <w:rFonts w:hint="eastAsia"/>
          <w:color w:val="000000" w:themeColor="text1"/>
          <w:highlight w:val="none"/>
        </w:rPr>
        <w:t>3.3.3</w:t>
      </w:r>
      <w:r>
        <w:rPr>
          <w:color w:val="000000" w:themeColor="text1"/>
          <w:highlight w:val="none"/>
        </w:rPr>
        <w:t>环境风险</w:t>
      </w:r>
      <w:bookmarkEnd w:id="289"/>
      <w:bookmarkEnd w:id="290"/>
      <w:bookmarkEnd w:id="291"/>
    </w:p>
    <w:p w14:paraId="0FCD978E">
      <w:pPr>
        <w:pageBreakBefore w:val="0"/>
        <w:wordWrap/>
        <w:topLinePunct w:val="0"/>
        <w:bidi w:val="0"/>
        <w:spacing w:line="360" w:lineRule="auto"/>
        <w:rPr>
          <w:color w:val="000000" w:themeColor="text1"/>
          <w:highlight w:val="none"/>
        </w:rPr>
      </w:pPr>
      <w:r>
        <w:rPr>
          <w:color w:val="000000" w:themeColor="text1"/>
          <w:highlight w:val="none"/>
        </w:rPr>
        <w:t>本项目建成后，运输车辆跨越的水体主要为</w:t>
      </w:r>
      <w:r>
        <w:rPr>
          <w:rFonts w:hint="eastAsia"/>
          <w:color w:val="000000" w:themeColor="text1"/>
          <w:highlight w:val="none"/>
          <w:lang w:val="en-US" w:eastAsia="zh-CN"/>
        </w:rPr>
        <w:t>路北一支干渠和朝鲜河</w:t>
      </w:r>
      <w:r>
        <w:rPr>
          <w:rFonts w:hint="eastAsia"/>
          <w:color w:val="000000" w:themeColor="text1"/>
          <w:szCs w:val="20"/>
          <w:highlight w:val="none"/>
        </w:rPr>
        <w:t>。</w:t>
      </w:r>
      <w:r>
        <w:rPr>
          <w:rFonts w:hint="eastAsia"/>
          <w:color w:val="000000" w:themeColor="text1"/>
          <w:highlight w:val="none"/>
        </w:rPr>
        <w:t>公路投入运营后，存在由于交通事故、桥梁坍塌等导致车辆运输危险品泄露、爆炸等隐患事故，将可能对水体产生污染，水污染事故类型主要有：</w:t>
      </w:r>
    </w:p>
    <w:p w14:paraId="2B86FE56">
      <w:pPr>
        <w:pageBreakBefore w:val="0"/>
        <w:wordWrap/>
        <w:topLinePunct w:val="0"/>
        <w:bidi w:val="0"/>
        <w:spacing w:line="360" w:lineRule="auto"/>
        <w:rPr>
          <w:color w:val="000000" w:themeColor="text1"/>
          <w:highlight w:val="none"/>
        </w:rPr>
      </w:pPr>
      <w:r>
        <w:rPr>
          <w:rFonts w:hint="eastAsia"/>
          <w:color w:val="000000" w:themeColor="text1"/>
          <w:highlight w:val="none"/>
        </w:rPr>
        <w:t>（1）车辆本身携带的汽油（或柴油）和机油泄漏，并排入附近水体</w:t>
      </w:r>
      <w:r>
        <w:rPr>
          <w:color w:val="000000" w:themeColor="text1"/>
          <w:highlight w:val="none"/>
        </w:rPr>
        <w:t>内</w:t>
      </w:r>
      <w:r>
        <w:rPr>
          <w:rFonts w:hint="eastAsia"/>
          <w:color w:val="000000" w:themeColor="text1"/>
          <w:highlight w:val="none"/>
        </w:rPr>
        <w:t>。</w:t>
      </w:r>
    </w:p>
    <w:p w14:paraId="7A56EB16">
      <w:pPr>
        <w:pageBreakBefore w:val="0"/>
        <w:wordWrap/>
        <w:topLinePunct w:val="0"/>
        <w:bidi w:val="0"/>
        <w:spacing w:line="360" w:lineRule="auto"/>
        <w:rPr>
          <w:color w:val="000000" w:themeColor="text1"/>
          <w:highlight w:val="none"/>
        </w:rPr>
      </w:pPr>
      <w:r>
        <w:rPr>
          <w:rFonts w:hint="eastAsia"/>
          <w:color w:val="000000" w:themeColor="text1"/>
          <w:highlight w:val="none"/>
        </w:rPr>
        <w:t>（2）危险化学品运输车辆发生交通事故后，危险品发生泄漏排入附近水体。</w:t>
      </w:r>
    </w:p>
    <w:p w14:paraId="6E8F1493">
      <w:pPr>
        <w:pageBreakBefore w:val="0"/>
        <w:wordWrap/>
        <w:topLinePunct w:val="0"/>
        <w:bidi w:val="0"/>
        <w:spacing w:line="360" w:lineRule="auto"/>
        <w:rPr>
          <w:color w:val="000000" w:themeColor="text1"/>
          <w:highlight w:val="none"/>
        </w:rPr>
      </w:pPr>
      <w:r>
        <w:rPr>
          <w:rFonts w:hint="eastAsia"/>
          <w:color w:val="000000" w:themeColor="text1"/>
          <w:highlight w:val="none"/>
        </w:rPr>
        <w:t>（3）桥面、路面发生交通事故，汽车连带货物坠入河流。</w:t>
      </w:r>
    </w:p>
    <w:p w14:paraId="3B6DAA8E">
      <w:pPr>
        <w:pStyle w:val="2"/>
        <w:pageBreakBefore w:val="0"/>
        <w:wordWrap/>
        <w:topLinePunct w:val="0"/>
        <w:bidi w:val="0"/>
        <w:spacing w:line="360" w:lineRule="auto"/>
        <w:rPr>
          <w:rFonts w:hint="eastAsia"/>
          <w:color w:val="000000" w:themeColor="text1"/>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bookmarkStart w:id="292" w:name="_Toc398053453"/>
      <w:bookmarkStart w:id="293" w:name="_Toc17154"/>
      <w:bookmarkStart w:id="294" w:name="_Toc518574369"/>
      <w:bookmarkStart w:id="295" w:name="_Toc27076"/>
      <w:bookmarkStart w:id="296" w:name="_Toc5469"/>
    </w:p>
    <w:p w14:paraId="5260FFA5">
      <w:pPr>
        <w:pStyle w:val="2"/>
        <w:pageBreakBefore w:val="0"/>
        <w:wordWrap/>
        <w:topLinePunct w:val="0"/>
        <w:bidi w:val="0"/>
        <w:spacing w:line="360" w:lineRule="auto"/>
        <w:rPr>
          <w:color w:val="000000" w:themeColor="text1"/>
          <w:highlight w:val="none"/>
        </w:rPr>
      </w:pPr>
      <w:bookmarkStart w:id="297" w:name="_Toc10388"/>
      <w:r>
        <w:rPr>
          <w:rFonts w:hint="eastAsia"/>
          <w:color w:val="000000" w:themeColor="text1"/>
          <w:highlight w:val="none"/>
        </w:rPr>
        <w:t>4</w:t>
      </w:r>
      <w:r>
        <w:rPr>
          <w:color w:val="000000" w:themeColor="text1"/>
          <w:highlight w:val="none"/>
        </w:rPr>
        <w:t>环境现状调查与评价</w:t>
      </w:r>
      <w:bookmarkEnd w:id="292"/>
      <w:bookmarkEnd w:id="293"/>
      <w:bookmarkEnd w:id="294"/>
      <w:bookmarkEnd w:id="295"/>
      <w:bookmarkEnd w:id="296"/>
      <w:bookmarkEnd w:id="297"/>
    </w:p>
    <w:p w14:paraId="0C174104">
      <w:pPr>
        <w:pStyle w:val="3"/>
        <w:pageBreakBefore w:val="0"/>
        <w:wordWrap/>
        <w:topLinePunct w:val="0"/>
        <w:bidi w:val="0"/>
        <w:spacing w:line="360" w:lineRule="auto"/>
        <w:rPr>
          <w:color w:val="000000" w:themeColor="text1"/>
          <w:highlight w:val="none"/>
        </w:rPr>
      </w:pPr>
      <w:bookmarkStart w:id="298" w:name="_Toc21206"/>
      <w:bookmarkStart w:id="299" w:name="_Toc30010"/>
      <w:bookmarkStart w:id="300" w:name="_Toc518574370"/>
      <w:bookmarkStart w:id="301" w:name="_Toc398053454"/>
      <w:bookmarkStart w:id="302" w:name="_Toc18476"/>
      <w:bookmarkStart w:id="303" w:name="_Toc22880"/>
      <w:r>
        <w:rPr>
          <w:rFonts w:hint="eastAsia"/>
          <w:color w:val="000000" w:themeColor="text1"/>
          <w:highlight w:val="none"/>
        </w:rPr>
        <w:t>4.1</w:t>
      </w:r>
      <w:r>
        <w:rPr>
          <w:color w:val="000000" w:themeColor="text1"/>
          <w:highlight w:val="none"/>
        </w:rPr>
        <w:t>自然环境概况</w:t>
      </w:r>
      <w:bookmarkEnd w:id="298"/>
      <w:bookmarkEnd w:id="299"/>
      <w:bookmarkEnd w:id="300"/>
      <w:bookmarkEnd w:id="301"/>
      <w:bookmarkEnd w:id="302"/>
      <w:bookmarkEnd w:id="303"/>
    </w:p>
    <w:p w14:paraId="4928265C">
      <w:pPr>
        <w:pStyle w:val="4"/>
        <w:pageBreakBefore w:val="0"/>
        <w:wordWrap/>
        <w:topLinePunct w:val="0"/>
        <w:bidi w:val="0"/>
        <w:spacing w:before="156" w:line="360" w:lineRule="auto"/>
        <w:rPr>
          <w:color w:val="000000" w:themeColor="text1"/>
          <w:highlight w:val="none"/>
        </w:rPr>
      </w:pPr>
      <w:bookmarkStart w:id="304" w:name="_Toc1042"/>
      <w:bookmarkStart w:id="305" w:name="_Toc10490"/>
      <w:r>
        <w:rPr>
          <w:rFonts w:hint="eastAsia"/>
          <w:color w:val="000000" w:themeColor="text1"/>
          <w:highlight w:val="none"/>
        </w:rPr>
        <w:t>4.1.1</w:t>
      </w:r>
      <w:r>
        <w:rPr>
          <w:color w:val="000000" w:themeColor="text1"/>
          <w:highlight w:val="none"/>
        </w:rPr>
        <w:t>地理位置</w:t>
      </w:r>
      <w:bookmarkEnd w:id="304"/>
      <w:bookmarkEnd w:id="305"/>
    </w:p>
    <w:p w14:paraId="511E451C">
      <w:pPr>
        <w:pageBreakBefore w:val="0"/>
        <w:wordWrap/>
        <w:topLinePunct w:val="0"/>
        <w:bidi w:val="0"/>
        <w:spacing w:line="360" w:lineRule="auto"/>
        <w:jc w:val="left"/>
        <w:rPr>
          <w:color w:val="000000" w:themeColor="text1"/>
          <w:highlight w:val="none"/>
        </w:rPr>
      </w:pPr>
      <w:r>
        <w:rPr>
          <w:color w:val="000000" w:themeColor="text1"/>
          <w:highlight w:val="none"/>
        </w:rPr>
        <w:t>鹤岗市位于黑龙江省东北部，地处北纬47°04′—48°19′，东经129°40′— 130°41′。东至黑龙江与俄罗斯隔江相望，西至青黑山脉分水岭与伊春市为邻，南与汤原县毗连，北与嘉荫县接壤，面积14648km</w:t>
      </w:r>
      <w:r>
        <w:rPr>
          <w:color w:val="000000" w:themeColor="text1"/>
          <w:highlight w:val="none"/>
          <w:vertAlign w:val="superscript"/>
        </w:rPr>
        <w:t>2</w:t>
      </w:r>
      <w:r>
        <w:rPr>
          <w:color w:val="000000" w:themeColor="text1"/>
          <w:highlight w:val="none"/>
        </w:rPr>
        <w:t>。现辖萝北、绥滨两县及6区、7镇，另外境内还有10个农场。鹤岗市城区位于鹤岗市略偏东南，距省会哈尔滨市453km，城市面积4551km</w:t>
      </w:r>
      <w:r>
        <w:rPr>
          <w:color w:val="000000" w:themeColor="text1"/>
          <w:highlight w:val="none"/>
          <w:vertAlign w:val="superscript"/>
        </w:rPr>
        <w:t>2</w:t>
      </w:r>
      <w:r>
        <w:rPr>
          <w:color w:val="000000" w:themeColor="text1"/>
          <w:highlight w:val="none"/>
        </w:rPr>
        <w:t>。</w:t>
      </w:r>
    </w:p>
    <w:p w14:paraId="13102698">
      <w:pPr>
        <w:pageBreakBefore w:val="0"/>
        <w:wordWrap/>
        <w:topLinePunct w:val="0"/>
        <w:bidi w:val="0"/>
        <w:spacing w:line="360" w:lineRule="auto"/>
        <w:jc w:val="left"/>
        <w:rPr>
          <w:color w:val="000000" w:themeColor="text1"/>
          <w:highlight w:val="none"/>
        </w:rPr>
      </w:pPr>
      <w:r>
        <w:rPr>
          <w:color w:val="000000" w:themeColor="text1"/>
          <w:highlight w:val="none"/>
        </w:rPr>
        <w:t>本项目</w:t>
      </w:r>
      <w:r>
        <w:rPr>
          <w:rFonts w:hint="eastAsia"/>
          <w:color w:val="000000" w:themeColor="text1"/>
          <w:highlight w:val="none"/>
          <w:lang w:val="en-US" w:eastAsia="zh-CN"/>
        </w:rPr>
        <w:t>起点为G332，终点为鹤岗机场，本工程西距鹤岗市区18km，东距宝泉岭6km</w:t>
      </w:r>
      <w:r>
        <w:rPr>
          <w:color w:val="000000" w:themeColor="text1"/>
          <w:highlight w:val="none"/>
        </w:rPr>
        <w:t>。本</w:t>
      </w:r>
      <w:r>
        <w:rPr>
          <w:rFonts w:hint="eastAsia"/>
          <w:color w:val="000000" w:themeColor="text1"/>
          <w:highlight w:val="none"/>
          <w:lang w:val="en-US" w:eastAsia="zh-CN"/>
        </w:rPr>
        <w:t>项目</w:t>
      </w:r>
      <w:r>
        <w:rPr>
          <w:color w:val="000000" w:themeColor="text1"/>
          <w:highlight w:val="none"/>
        </w:rPr>
        <w:t>地理位置图详见</w:t>
      </w:r>
      <w:r>
        <w:rPr>
          <w:rFonts w:hint="eastAsia"/>
          <w:color w:val="000000" w:themeColor="text1"/>
          <w:highlight w:val="none"/>
          <w:lang w:val="en-US" w:eastAsia="zh-CN"/>
        </w:rPr>
        <w:t>附图一</w:t>
      </w:r>
      <w:r>
        <w:rPr>
          <w:color w:val="000000" w:themeColor="text1"/>
          <w:highlight w:val="none"/>
        </w:rPr>
        <w:t>。</w:t>
      </w:r>
    </w:p>
    <w:p w14:paraId="16B28957">
      <w:pPr>
        <w:pStyle w:val="4"/>
        <w:pageBreakBefore w:val="0"/>
        <w:wordWrap/>
        <w:topLinePunct w:val="0"/>
        <w:bidi w:val="0"/>
        <w:spacing w:before="156" w:line="360" w:lineRule="auto"/>
        <w:rPr>
          <w:color w:val="000000" w:themeColor="text1"/>
          <w:highlight w:val="none"/>
        </w:rPr>
      </w:pPr>
      <w:bookmarkStart w:id="306" w:name="_Toc21433"/>
      <w:bookmarkStart w:id="307" w:name="_Toc1948"/>
      <w:r>
        <w:rPr>
          <w:rFonts w:hint="eastAsia"/>
          <w:color w:val="000000" w:themeColor="text1"/>
          <w:highlight w:val="none"/>
        </w:rPr>
        <w:t>4.1.2</w:t>
      </w:r>
      <w:r>
        <w:rPr>
          <w:color w:val="000000" w:themeColor="text1"/>
          <w:highlight w:val="none"/>
        </w:rPr>
        <w:t>地形地貌</w:t>
      </w:r>
      <w:bookmarkEnd w:id="306"/>
      <w:bookmarkEnd w:id="307"/>
    </w:p>
    <w:p w14:paraId="7A27CD91">
      <w:pPr>
        <w:pageBreakBefore w:val="0"/>
        <w:wordWrap/>
        <w:topLinePunct w:val="0"/>
        <w:bidi w:val="0"/>
        <w:spacing w:line="360" w:lineRule="auto"/>
        <w:jc w:val="left"/>
        <w:rPr>
          <w:color w:val="000000" w:themeColor="text1"/>
          <w:highlight w:val="none"/>
        </w:rPr>
      </w:pPr>
      <w:r>
        <w:rPr>
          <w:rFonts w:hint="eastAsia"/>
          <w:color w:val="000000" w:themeColor="text1"/>
          <w:highlight w:val="none"/>
          <w:lang w:val="en-US" w:eastAsia="zh-CN"/>
        </w:rPr>
        <w:t>鹤岗市地势是西北高东南低，是三江平原向小兴安岭山地过渡的明显上升地段。全市可分为低山丘陵、漫岗、平原、沟谷及漫滩四种地貌类型。市区地势由西北向东南倾斜，西北部为山区，面积3300平方公里，占市区总面积的72%，是鹤岗市森林分布的集中地区。有梧桐河、鹤立河、阿凌达河、嘉荫河等18条主要河流，从西北流向东南。除嘉荫河为黑龙江水系外，其余均为松花江水系。市区南部为丘陵漫岗，东南部为三江平原的边缘地带，平坦开阔，是农业分布区，平均海拔80米左右。</w:t>
      </w:r>
    </w:p>
    <w:p w14:paraId="4E786F43">
      <w:pPr>
        <w:pageBreakBefore w:val="0"/>
        <w:wordWrap/>
        <w:topLinePunct w:val="0"/>
        <w:bidi w:val="0"/>
        <w:spacing w:line="360" w:lineRule="auto"/>
        <w:jc w:val="left"/>
        <w:rPr>
          <w:color w:val="000000" w:themeColor="text1"/>
          <w:highlight w:val="none"/>
        </w:rPr>
      </w:pPr>
      <w:r>
        <w:rPr>
          <w:rFonts w:hint="eastAsia"/>
          <w:color w:val="000000" w:themeColor="text1"/>
          <w:highlight w:val="none"/>
          <w:lang w:val="en-US" w:eastAsia="zh-CN"/>
        </w:rPr>
        <w:t>本项目位于宝泉岭农场二队和宝泉岭农场二十二队之间，所在区域地形有一定起伏，地势整体由西北向东南降坡，标高在106~115米之间。</w:t>
      </w:r>
      <w:r>
        <w:rPr>
          <w:rFonts w:hint="eastAsia"/>
          <w:color w:val="000000" w:themeColor="text1"/>
          <w:highlight w:val="none"/>
        </w:rPr>
        <w:t>本项目沿线地表植被以玉米</w:t>
      </w:r>
      <w:r>
        <w:rPr>
          <w:rFonts w:hint="eastAsia"/>
          <w:color w:val="000000" w:themeColor="text1"/>
          <w:highlight w:val="none"/>
          <w:lang w:val="en-US" w:eastAsia="zh-CN"/>
        </w:rPr>
        <w:t>旱田和水稻水田</w:t>
      </w:r>
      <w:r>
        <w:rPr>
          <w:rFonts w:hint="eastAsia"/>
          <w:color w:val="000000" w:themeColor="text1"/>
          <w:highlight w:val="none"/>
        </w:rPr>
        <w:t>为主，间有</w:t>
      </w:r>
      <w:bookmarkStart w:id="308" w:name="_Hlk69127299"/>
      <w:r>
        <w:rPr>
          <w:rFonts w:hint="eastAsia"/>
          <w:color w:val="000000" w:themeColor="text1"/>
          <w:highlight w:val="none"/>
        </w:rPr>
        <w:t>人工林带和原生灌木丛</w:t>
      </w:r>
      <w:bookmarkEnd w:id="308"/>
      <w:r>
        <w:rPr>
          <w:rFonts w:hint="eastAsia"/>
          <w:color w:val="000000" w:themeColor="text1"/>
          <w:highlight w:val="none"/>
        </w:rPr>
        <w:t>。</w:t>
      </w:r>
    </w:p>
    <w:p w14:paraId="153467A8">
      <w:pPr>
        <w:pStyle w:val="4"/>
        <w:pageBreakBefore w:val="0"/>
        <w:wordWrap/>
        <w:topLinePunct w:val="0"/>
        <w:bidi w:val="0"/>
        <w:spacing w:before="156" w:line="360" w:lineRule="auto"/>
        <w:rPr>
          <w:color w:val="000000" w:themeColor="text1"/>
          <w:highlight w:val="none"/>
        </w:rPr>
      </w:pPr>
      <w:bookmarkStart w:id="309" w:name="_Toc12993"/>
      <w:bookmarkStart w:id="310" w:name="_Toc6593"/>
      <w:r>
        <w:rPr>
          <w:rFonts w:hint="eastAsia"/>
          <w:color w:val="000000" w:themeColor="text1"/>
          <w:highlight w:val="none"/>
        </w:rPr>
        <w:t>4.1.3</w:t>
      </w:r>
      <w:r>
        <w:rPr>
          <w:color w:val="000000" w:themeColor="text1"/>
          <w:highlight w:val="none"/>
        </w:rPr>
        <w:t>地表水</w:t>
      </w:r>
      <w:bookmarkEnd w:id="309"/>
      <w:bookmarkEnd w:id="310"/>
    </w:p>
    <w:p w14:paraId="69BBA807">
      <w:pPr>
        <w:pStyle w:val="86"/>
        <w:pageBreakBefore w:val="0"/>
        <w:wordWrap/>
        <w:topLinePunct w:val="0"/>
        <w:bidi w:val="0"/>
        <w:spacing w:line="360" w:lineRule="auto"/>
        <w:rPr>
          <w:color w:val="000000" w:themeColor="text1"/>
          <w:highlight w:val="none"/>
        </w:rPr>
      </w:pPr>
      <w:r>
        <w:rPr>
          <w:color w:val="000000" w:themeColor="text1"/>
          <w:highlight w:val="none"/>
        </w:rPr>
        <w:t>鹤岗市依据本区地形、地貌的特点，形成了由西北向西南流向的水系，区内有三条主要河流：</w:t>
      </w:r>
    </w:p>
    <w:p w14:paraId="3D6E5908">
      <w:pPr>
        <w:pStyle w:val="86"/>
        <w:pageBreakBefore w:val="0"/>
        <w:wordWrap/>
        <w:topLinePunct w:val="0"/>
        <w:bidi w:val="0"/>
        <w:spacing w:line="360" w:lineRule="auto"/>
        <w:rPr>
          <w:color w:val="000000" w:themeColor="text1"/>
          <w:highlight w:val="none"/>
        </w:rPr>
      </w:pPr>
      <w:r>
        <w:rPr>
          <w:color w:val="000000" w:themeColor="text1"/>
          <w:highlight w:val="none"/>
        </w:rPr>
        <w:t>鹤立河发源于青黑山南麓，由大鹤立河，小鹤立河汇流而成，河宽5～15m， 水深1.0～1.5m；流域面积630km</w:t>
      </w:r>
      <w:r>
        <w:rPr>
          <w:color w:val="000000" w:themeColor="text1"/>
          <w:highlight w:val="none"/>
          <w:vertAlign w:val="superscript"/>
        </w:rPr>
        <w:t>2</w:t>
      </w:r>
      <w:r>
        <w:rPr>
          <w:color w:val="000000" w:themeColor="text1"/>
          <w:highlight w:val="none"/>
        </w:rPr>
        <w:t>。流经矿区东南缘，河道在兴安矿北部被矿区 改道。主流长125km，弯曲率1.17%，河道平均底坡1.6％，最大流量240m</w:t>
      </w:r>
      <w:r>
        <w:rPr>
          <w:color w:val="000000" w:themeColor="text1"/>
          <w:highlight w:val="none"/>
          <w:vertAlign w:val="superscript"/>
        </w:rPr>
        <w:t>3</w:t>
      </w:r>
      <w:r>
        <w:rPr>
          <w:color w:val="000000" w:themeColor="text1"/>
          <w:highlight w:val="none"/>
        </w:rPr>
        <w:t>/s，最小流量为0.385m³/s，平均流量10.6m³/s，兴安北大桥最高水位248.8m。</w:t>
      </w:r>
    </w:p>
    <w:p w14:paraId="3824FDB0">
      <w:pPr>
        <w:pStyle w:val="86"/>
        <w:pageBreakBefore w:val="0"/>
        <w:wordWrap/>
        <w:topLinePunct w:val="0"/>
        <w:bidi w:val="0"/>
        <w:spacing w:line="360" w:lineRule="auto"/>
        <w:rPr>
          <w:color w:val="000000" w:themeColor="text1"/>
          <w:highlight w:val="none"/>
        </w:rPr>
      </w:pPr>
      <w:r>
        <w:rPr>
          <w:color w:val="000000" w:themeColor="text1"/>
          <w:highlight w:val="none"/>
        </w:rPr>
        <w:t>石头河发源于笔架山，经兴山头道沟、二道沟、三道沟、四道沟、五道沟、 六道河后汇流而成流经矿区中部和南山矿东部注入伏尔基河，河宽4.5m，水深 0.5~1.5m，流域面积250km</w:t>
      </w:r>
      <w:r>
        <w:rPr>
          <w:color w:val="000000" w:themeColor="text1"/>
          <w:highlight w:val="none"/>
          <w:vertAlign w:val="superscript"/>
        </w:rPr>
        <w:t>2</w:t>
      </w:r>
      <w:r>
        <w:rPr>
          <w:color w:val="000000" w:themeColor="text1"/>
          <w:highlight w:val="none"/>
        </w:rPr>
        <w:t>，河流45km，弯曲率1.3%，河道平均底坡1.4%</w:t>
      </w:r>
      <w:r>
        <w:rPr>
          <w:rFonts w:hint="eastAsia"/>
          <w:color w:val="000000" w:themeColor="text1"/>
          <w:highlight w:val="none"/>
          <w:lang w:eastAsia="zh-CN"/>
        </w:rPr>
        <w:t>，</w:t>
      </w:r>
      <w:r>
        <w:rPr>
          <w:color w:val="000000" w:themeColor="text1"/>
          <w:highlight w:val="none"/>
        </w:rPr>
        <w:t>最大流量73m</w:t>
      </w:r>
      <w:r>
        <w:rPr>
          <w:color w:val="000000" w:themeColor="text1"/>
          <w:highlight w:val="none"/>
          <w:vertAlign w:val="superscript"/>
        </w:rPr>
        <w:t>3</w:t>
      </w:r>
      <w:r>
        <w:rPr>
          <w:color w:val="000000" w:themeColor="text1"/>
          <w:highlight w:val="none"/>
        </w:rPr>
        <w:t>/s，最小流量为0.2m</w:t>
      </w:r>
      <w:r>
        <w:rPr>
          <w:color w:val="000000" w:themeColor="text1"/>
          <w:highlight w:val="none"/>
          <w:vertAlign w:val="superscript"/>
        </w:rPr>
        <w:t>3</w:t>
      </w:r>
      <w:r>
        <w:rPr>
          <w:color w:val="000000" w:themeColor="text1"/>
          <w:highlight w:val="none"/>
        </w:rPr>
        <w:t>/s，一般流速2.0m/s。</w:t>
      </w:r>
    </w:p>
    <w:p w14:paraId="726BBDE4">
      <w:pPr>
        <w:pStyle w:val="86"/>
        <w:pageBreakBefore w:val="0"/>
        <w:wordWrap/>
        <w:topLinePunct w:val="0"/>
        <w:bidi w:val="0"/>
        <w:spacing w:line="360" w:lineRule="auto"/>
        <w:rPr>
          <w:color w:val="000000" w:themeColor="text1"/>
          <w:highlight w:val="none"/>
        </w:rPr>
      </w:pPr>
      <w:r>
        <w:rPr>
          <w:color w:val="000000" w:themeColor="text1"/>
          <w:highlight w:val="none"/>
        </w:rPr>
        <w:t>梧桐河发源于萝北县沼家店北沟，流经煤田东缘，上游称东梧桐河，支流有 小梧桐河，及西梧桐河，全长160km，枯水期流量4m</w:t>
      </w:r>
      <w:r>
        <w:rPr>
          <w:color w:val="000000" w:themeColor="text1"/>
          <w:highlight w:val="none"/>
          <w:vertAlign w:val="superscript"/>
        </w:rPr>
        <w:t>3</w:t>
      </w:r>
      <w:r>
        <w:rPr>
          <w:color w:val="000000" w:themeColor="text1"/>
          <w:highlight w:val="none"/>
        </w:rPr>
        <w:t>/s，洪水期流量为2100 m</w:t>
      </w:r>
      <w:r>
        <w:rPr>
          <w:color w:val="000000" w:themeColor="text1"/>
          <w:highlight w:val="none"/>
          <w:vertAlign w:val="superscript"/>
        </w:rPr>
        <w:t>3</w:t>
      </w:r>
      <w:r>
        <w:rPr>
          <w:color w:val="000000" w:themeColor="text1"/>
          <w:highlight w:val="none"/>
        </w:rPr>
        <w:t>/s， 一般流量50 m</w:t>
      </w:r>
      <w:r>
        <w:rPr>
          <w:color w:val="000000" w:themeColor="text1"/>
          <w:highlight w:val="none"/>
          <w:vertAlign w:val="superscript"/>
        </w:rPr>
        <w:t>3</w:t>
      </w:r>
      <w:r>
        <w:rPr>
          <w:color w:val="000000" w:themeColor="text1"/>
          <w:highlight w:val="none"/>
        </w:rPr>
        <w:t>/s，河床宽度70m，是鹤岗煤田区一条大河，亦为鹤岗市与萝北县之界河。</w:t>
      </w:r>
    </w:p>
    <w:p w14:paraId="5A68907B">
      <w:pPr>
        <w:pStyle w:val="86"/>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本项目位于</w:t>
      </w:r>
      <w:r>
        <w:rPr>
          <w:color w:val="000000" w:themeColor="text1"/>
          <w:highlight w:val="none"/>
        </w:rPr>
        <w:t>梧桐河</w:t>
      </w:r>
      <w:r>
        <w:rPr>
          <w:rFonts w:hint="eastAsia"/>
          <w:color w:val="000000" w:themeColor="text1"/>
          <w:highlight w:val="none"/>
          <w:lang w:val="en-US" w:eastAsia="zh-CN"/>
        </w:rPr>
        <w:t>西侧，最近距离约2.1km</w:t>
      </w:r>
      <w:r>
        <w:rPr>
          <w:color w:val="000000" w:themeColor="text1"/>
          <w:highlight w:val="none"/>
        </w:rPr>
        <w:t>。</w:t>
      </w:r>
    </w:p>
    <w:p w14:paraId="5057E4C2">
      <w:pPr>
        <w:pStyle w:val="4"/>
        <w:pageBreakBefore w:val="0"/>
        <w:wordWrap/>
        <w:topLinePunct w:val="0"/>
        <w:bidi w:val="0"/>
        <w:spacing w:before="156" w:line="360" w:lineRule="auto"/>
        <w:rPr>
          <w:rFonts w:hint="eastAsia" w:eastAsia="宋体"/>
          <w:color w:val="000000" w:themeColor="text1"/>
          <w:highlight w:val="none"/>
          <w:lang w:eastAsia="zh-CN"/>
        </w:rPr>
      </w:pPr>
      <w:r>
        <w:rPr>
          <w:rFonts w:hint="eastAsia"/>
          <w:color w:val="000000" w:themeColor="text1"/>
          <w:highlight w:val="none"/>
        </w:rPr>
        <w:t>4.1.4</w:t>
      </w:r>
      <w:r>
        <w:rPr>
          <w:rFonts w:hint="eastAsia"/>
          <w:color w:val="000000" w:themeColor="text1"/>
          <w:highlight w:val="none"/>
          <w:lang w:val="en-US" w:eastAsia="zh-CN"/>
        </w:rPr>
        <w:t>水文条件</w:t>
      </w:r>
    </w:p>
    <w:p w14:paraId="2735B0A2">
      <w:pPr>
        <w:pStyle w:val="86"/>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根据《岩土工程勘察规范》（GB50021-2001）（2009 年版）附录G中G.0.1 规定，判定勘察场地环境</w:t>
      </w:r>
      <w:r>
        <w:rPr>
          <w:rFonts w:hint="default" w:ascii="Times New Roman" w:hAnsi="Times New Roman" w:cs="Times New Roman"/>
          <w:color w:val="000000" w:themeColor="text1"/>
          <w:highlight w:val="none"/>
          <w:lang w:val="en-US" w:eastAsia="zh-CN"/>
        </w:rPr>
        <w:t>类型为Ⅱ类。</w:t>
      </w:r>
      <w:r>
        <w:rPr>
          <w:rFonts w:hint="eastAsia"/>
          <w:color w:val="000000" w:themeColor="text1"/>
          <w:highlight w:val="none"/>
          <w:lang w:val="en-US" w:eastAsia="zh-CN"/>
        </w:rPr>
        <w:t>勘察期间在勘察深度范围内见地下水，此水为松散岩孔隙潜水，其分析结果见下表：</w:t>
      </w:r>
    </w:p>
    <w:p w14:paraId="00545606">
      <w:pPr>
        <w:pStyle w:val="86"/>
        <w:pageBreakBefore w:val="0"/>
        <w:wordWrap/>
        <w:topLinePunct w:val="0"/>
        <w:bidi w:val="0"/>
        <w:spacing w:line="360" w:lineRule="auto"/>
        <w:ind w:left="0" w:leftChars="0" w:firstLine="0" w:firstLineChars="0"/>
        <w:jc w:val="center"/>
        <w:rPr>
          <w:b/>
          <w:color w:val="000000" w:themeColor="text1"/>
          <w:highlight w:val="none"/>
        </w:rPr>
      </w:pPr>
      <w:r>
        <w:rPr>
          <w:rFonts w:hint="eastAsia"/>
          <w:b/>
          <w:color w:val="000000" w:themeColor="text1"/>
          <w:highlight w:val="none"/>
          <w:lang w:val="en-US" w:eastAsia="zh-CN"/>
        </w:rPr>
        <w:t>表</w:t>
      </w:r>
      <w:r>
        <w:rPr>
          <w:b/>
          <w:color w:val="000000" w:themeColor="text1"/>
          <w:highlight w:val="none"/>
        </w:rPr>
        <w:t>4.1-</w:t>
      </w:r>
      <w:r>
        <w:rPr>
          <w:rFonts w:hint="eastAsia"/>
          <w:b/>
          <w:color w:val="000000" w:themeColor="text1"/>
          <w:highlight w:val="none"/>
          <w:lang w:val="en-US" w:eastAsia="zh-CN"/>
        </w:rPr>
        <w:t>1</w:t>
      </w:r>
      <w:r>
        <w:rPr>
          <w:b/>
          <w:color w:val="000000" w:themeColor="text1"/>
          <w:highlight w:val="none"/>
        </w:rPr>
        <w:t xml:space="preserve"> </w:t>
      </w:r>
      <w:r>
        <w:rPr>
          <w:rFonts w:hint="eastAsia"/>
          <w:b/>
          <w:color w:val="000000" w:themeColor="text1"/>
          <w:highlight w:val="none"/>
          <w:lang w:val="en-US" w:eastAsia="zh-CN"/>
        </w:rPr>
        <w:t xml:space="preserve"> 水位地质条件分析结果表</w:t>
      </w:r>
    </w:p>
    <w:tbl>
      <w:tblPr>
        <w:tblStyle w:val="33"/>
        <w:tblW w:w="852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05"/>
        <w:gridCol w:w="1705"/>
        <w:gridCol w:w="1705"/>
        <w:gridCol w:w="1705"/>
        <w:gridCol w:w="1708"/>
      </w:tblGrid>
      <w:tr w14:paraId="64F1EF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705" w:type="dxa"/>
            <w:vAlign w:val="center"/>
          </w:tcPr>
          <w:p w14:paraId="1A8639F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default" w:eastAsia="宋体"/>
                <w:color w:val="000000" w:themeColor="text1"/>
                <w:sz w:val="21"/>
                <w:szCs w:val="21"/>
                <w:highlight w:val="none"/>
                <w:lang w:val="en-US" w:eastAsia="zh-CN"/>
              </w:rPr>
              <w:t>水化学类型</w:t>
            </w:r>
          </w:p>
        </w:tc>
        <w:tc>
          <w:tcPr>
            <w:tcW w:w="1705" w:type="dxa"/>
            <w:vAlign w:val="center"/>
          </w:tcPr>
          <w:p w14:paraId="6C6F9BF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default" w:eastAsia="宋体"/>
                <w:color w:val="000000" w:themeColor="text1"/>
                <w:sz w:val="21"/>
                <w:szCs w:val="21"/>
                <w:highlight w:val="none"/>
                <w:lang w:val="en-US" w:eastAsia="zh-CN"/>
              </w:rPr>
              <w:t>初见水位（米）</w:t>
            </w:r>
          </w:p>
        </w:tc>
        <w:tc>
          <w:tcPr>
            <w:tcW w:w="1705" w:type="dxa"/>
            <w:vAlign w:val="center"/>
          </w:tcPr>
          <w:p w14:paraId="179AB1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eastAsia="宋体"/>
                <w:color w:val="000000" w:themeColor="text1"/>
                <w:sz w:val="21"/>
                <w:szCs w:val="21"/>
                <w:highlight w:val="none"/>
                <w:lang w:val="en-US" w:eastAsia="zh-CN"/>
              </w:rPr>
              <w:t>稳定</w:t>
            </w:r>
            <w:r>
              <w:rPr>
                <w:rFonts w:hint="default" w:eastAsia="宋体"/>
                <w:color w:val="000000" w:themeColor="text1"/>
                <w:sz w:val="21"/>
                <w:szCs w:val="21"/>
                <w:highlight w:val="none"/>
                <w:lang w:val="en-US" w:eastAsia="zh-CN"/>
              </w:rPr>
              <w:t>水位 （米）</w:t>
            </w:r>
          </w:p>
        </w:tc>
        <w:tc>
          <w:tcPr>
            <w:tcW w:w="1705" w:type="dxa"/>
            <w:vAlign w:val="center"/>
          </w:tcPr>
          <w:p w14:paraId="505E64B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eastAsia="宋体"/>
                <w:color w:val="000000" w:themeColor="text1"/>
                <w:sz w:val="21"/>
                <w:szCs w:val="21"/>
                <w:highlight w:val="none"/>
                <w:lang w:val="en-US" w:eastAsia="zh-CN"/>
              </w:rPr>
              <w:t>pH值</w:t>
            </w:r>
          </w:p>
        </w:tc>
        <w:tc>
          <w:tcPr>
            <w:tcW w:w="1708" w:type="dxa"/>
            <w:vAlign w:val="center"/>
          </w:tcPr>
          <w:p w14:paraId="1566C95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eastAsia="宋体"/>
                <w:color w:val="000000" w:themeColor="text1"/>
                <w:sz w:val="21"/>
                <w:szCs w:val="21"/>
                <w:highlight w:val="none"/>
                <w:lang w:val="en-US" w:eastAsia="zh-CN"/>
              </w:rPr>
              <w:t>备注</w:t>
            </w:r>
          </w:p>
        </w:tc>
      </w:tr>
      <w:tr w14:paraId="2218FE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5" w:type="dxa"/>
            <w:vAlign w:val="center"/>
          </w:tcPr>
          <w:p w14:paraId="44BBFCC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default" w:eastAsia="宋体"/>
                <w:color w:val="000000" w:themeColor="text1"/>
                <w:sz w:val="21"/>
                <w:szCs w:val="21"/>
                <w:highlight w:val="none"/>
                <w:lang w:val="en-US" w:eastAsia="zh-CN"/>
              </w:rPr>
              <w:t>HCO</w:t>
            </w:r>
            <w:r>
              <w:rPr>
                <w:rFonts w:hint="default" w:eastAsia="宋体"/>
                <w:color w:val="000000" w:themeColor="text1"/>
                <w:sz w:val="21"/>
                <w:szCs w:val="21"/>
                <w:highlight w:val="none"/>
                <w:vertAlign w:val="superscript"/>
                <w:lang w:val="en-US" w:eastAsia="zh-CN"/>
              </w:rPr>
              <w:t>3-</w:t>
            </w:r>
            <w:r>
              <w:rPr>
                <w:rFonts w:hint="default" w:eastAsia="宋体"/>
                <w:color w:val="000000" w:themeColor="text1"/>
                <w:sz w:val="21"/>
                <w:szCs w:val="21"/>
                <w:highlight w:val="none"/>
                <w:lang w:val="en-US" w:eastAsia="zh-CN"/>
              </w:rPr>
              <w:t>-CaMg</w:t>
            </w:r>
          </w:p>
        </w:tc>
        <w:tc>
          <w:tcPr>
            <w:tcW w:w="1705" w:type="dxa"/>
            <w:vAlign w:val="center"/>
          </w:tcPr>
          <w:p w14:paraId="014926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8.00-11.60</w:t>
            </w:r>
          </w:p>
        </w:tc>
        <w:tc>
          <w:tcPr>
            <w:tcW w:w="1705" w:type="dxa"/>
            <w:vAlign w:val="center"/>
          </w:tcPr>
          <w:p w14:paraId="189C836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5.60-6.70</w:t>
            </w:r>
          </w:p>
        </w:tc>
        <w:tc>
          <w:tcPr>
            <w:tcW w:w="1705" w:type="dxa"/>
            <w:vAlign w:val="center"/>
          </w:tcPr>
          <w:p w14:paraId="474F4B8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6.94-7.00</w:t>
            </w:r>
          </w:p>
        </w:tc>
        <w:tc>
          <w:tcPr>
            <w:tcW w:w="1708" w:type="dxa"/>
            <w:vAlign w:val="center"/>
          </w:tcPr>
          <w:p w14:paraId="71CAD52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r>
    </w:tbl>
    <w:p w14:paraId="6B70262E">
      <w:pPr>
        <w:pStyle w:val="86"/>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判定勘察场地环境类型水对混凝土结构具微腐蚀性；判定勘察场地地层渗透性水对混凝土结构具微腐蚀性；判定勘察场地地下水对钢筋混凝土结构中的钢筋具微腐蚀性。</w:t>
      </w:r>
    </w:p>
    <w:p w14:paraId="62B961E0">
      <w:pPr>
        <w:pStyle w:val="4"/>
        <w:pageBreakBefore w:val="0"/>
        <w:wordWrap/>
        <w:topLinePunct w:val="0"/>
        <w:bidi w:val="0"/>
        <w:spacing w:before="156" w:line="360" w:lineRule="auto"/>
        <w:rPr>
          <w:rFonts w:hint="eastAsia" w:eastAsia="宋体"/>
          <w:color w:val="000000" w:themeColor="text1"/>
          <w:highlight w:val="none"/>
          <w:lang w:val="en-US" w:eastAsia="zh-CN"/>
        </w:rPr>
      </w:pPr>
      <w:bookmarkStart w:id="311" w:name="_Toc31776"/>
      <w:bookmarkStart w:id="312" w:name="_Toc15782"/>
      <w:r>
        <w:rPr>
          <w:rFonts w:hint="eastAsia"/>
          <w:color w:val="000000" w:themeColor="text1"/>
          <w:highlight w:val="none"/>
        </w:rPr>
        <w:t>4.1.5</w:t>
      </w:r>
      <w:r>
        <w:rPr>
          <w:color w:val="000000" w:themeColor="text1"/>
          <w:highlight w:val="none"/>
        </w:rPr>
        <w:t>地质</w:t>
      </w:r>
      <w:bookmarkEnd w:id="311"/>
      <w:bookmarkEnd w:id="312"/>
      <w:r>
        <w:rPr>
          <w:rFonts w:hint="eastAsia"/>
          <w:color w:val="000000" w:themeColor="text1"/>
          <w:highlight w:val="none"/>
          <w:lang w:val="en-US" w:eastAsia="zh-CN"/>
        </w:rPr>
        <w:t>条件</w:t>
      </w:r>
    </w:p>
    <w:p w14:paraId="1652AB20">
      <w:pPr>
        <w:pStyle w:val="86"/>
        <w:pageBreakBefore w:val="0"/>
        <w:wordWrap/>
        <w:topLinePunct w:val="0"/>
        <w:bidi w:val="0"/>
        <w:spacing w:line="360" w:lineRule="auto"/>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val="en-US" w:eastAsia="zh-CN"/>
        </w:rPr>
        <w:t>根据选址阶段工程地址勘察报告，地层由上而下依次为：</w:t>
      </w:r>
    </w:p>
    <w:p w14:paraId="1DABA7BB">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1、2号钻孔揭露地层①层为填土：黄褐色，欠固结，主要由粘性土及少量砂砾组成。厚度0.5-1.5米。3、4、5号钻孔揭露地层①层为耕土：黑褐色，欠固结，主要由粘性土、砂粒组成，含少量植物根系。厚度在0.5-1.5米。说明①层土中填土和耕土均有分布。</w:t>
      </w:r>
    </w:p>
    <w:p w14:paraId="3478CA05">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②粉质粘土：褐黑色，可塑，无摇震反应，稍有光泽，韧性中等，干强度中等，为中压缩性土。厚度1.2-8.4米。</w:t>
      </w:r>
    </w:p>
    <w:p w14:paraId="79AE5EFD">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②-1粉质粘土夹细砂：褐黄色，可塑，无摇震反应，稍有光泽，为中压缩性土。厚度2.4米。</w:t>
      </w:r>
    </w:p>
    <w:p w14:paraId="7547B039">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 xml:space="preserve">②-2中砂：灰色，饱和，松散，颗粒级配良，主要矿物成分为长英质。局部夹0.30米厚的灰褐色粘性土。厚度1.9米。 </w:t>
      </w:r>
    </w:p>
    <w:p w14:paraId="668CE2FB">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③粉质粘土：灰色，可塑，无摇震反应，稍有光泽，韧性中等，干强度中等，为高压缩性土。厚度1.7-3.3米。</w:t>
      </w:r>
    </w:p>
    <w:p w14:paraId="7F691F94">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 xml:space="preserve">④粉质粘土：黄色、黄褐色，可塑，稍有光泽，为中压缩性土，干强度中等，韧性中等，无摇震反应，稍有光滑，含少量铁质成分。厚度4.1-5.2米。 </w:t>
      </w:r>
    </w:p>
    <w:p w14:paraId="41F96603">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④-1粉质粘土：灰褐色，可塑，无摇震反应，稍有光泽，韧性中等，干强度中等，为中等压缩性土。厚度2.0米。</w:t>
      </w:r>
    </w:p>
    <w:p w14:paraId="2E4E2BF0">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⑤砾砂：灰褐色，饱和，中密，颗粒级配良，主要矿物成分为长英质。厚度 3.3-6.6米。</w:t>
      </w:r>
    </w:p>
    <w:p w14:paraId="743EB26D">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⑥粉质粘土：灰褐色、灰色，硬塑，无摇震反应，稍有光泽，为高-中压缩性土。18.30-18.80米为灰色，中密状中砂，其颗粒级配差，主要矿物成分为长英质。厚度2.2-14.5米。</w:t>
      </w:r>
    </w:p>
    <w:p w14:paraId="273A9CF7">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⑦中砂：灰色，饱和，中密，颗粒级配差，主要矿物成分为长英质。厚度2.0米。</w:t>
      </w:r>
    </w:p>
    <w:p w14:paraId="11CC1A60">
      <w:pPr>
        <w:pStyle w:val="86"/>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default" w:ascii="Times New Roman" w:hAnsi="Times New Roman" w:cs="Times New Roman"/>
          <w:color w:val="000000" w:themeColor="text1"/>
          <w:highlight w:val="none"/>
          <w:lang w:val="en-US" w:eastAsia="zh-CN"/>
        </w:rPr>
        <w:t>⑧中砂：灰色，饱和，密实，颗粒级配差，主要矿物成分为长英质。厚度2.2米。</w:t>
      </w:r>
    </w:p>
    <w:p w14:paraId="135CF014">
      <w:pPr>
        <w:pStyle w:val="86"/>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场址区域范围内主要为第四纪冲洪积形成的粘性土和砂类土，无特殊性岩土，岩性种类较单一。场区内无泥石流、崩塌、塌陷、滑坡及地面沉降等地质灾害隐患，无软弱层、地震液化砂层等不良地质。场址距最近的依兰—舒兰断裂西支断裂13公里，基本不受地震影响。</w:t>
      </w:r>
    </w:p>
    <w:p w14:paraId="17A46D62">
      <w:pPr>
        <w:pStyle w:val="4"/>
        <w:pageBreakBefore w:val="0"/>
        <w:wordWrap/>
        <w:topLinePunct w:val="0"/>
        <w:bidi w:val="0"/>
        <w:spacing w:before="156" w:line="360" w:lineRule="auto"/>
        <w:rPr>
          <w:color w:val="000000" w:themeColor="text1"/>
          <w:highlight w:val="none"/>
        </w:rPr>
      </w:pPr>
      <w:bookmarkStart w:id="313" w:name="_Toc6755"/>
      <w:bookmarkStart w:id="314" w:name="_Toc28610"/>
      <w:r>
        <w:rPr>
          <w:rFonts w:hint="eastAsia"/>
          <w:color w:val="000000" w:themeColor="text1"/>
          <w:highlight w:val="none"/>
        </w:rPr>
        <w:t>4.1.</w:t>
      </w:r>
      <w:r>
        <w:rPr>
          <w:rFonts w:hint="eastAsia"/>
          <w:color w:val="000000" w:themeColor="text1"/>
          <w:highlight w:val="none"/>
          <w:lang w:val="en-US" w:eastAsia="zh-CN"/>
        </w:rPr>
        <w:t>6</w:t>
      </w:r>
      <w:r>
        <w:rPr>
          <w:color w:val="000000" w:themeColor="text1"/>
          <w:highlight w:val="none"/>
        </w:rPr>
        <w:t>气候特征</w:t>
      </w:r>
      <w:bookmarkEnd w:id="313"/>
      <w:bookmarkEnd w:id="314"/>
    </w:p>
    <w:p w14:paraId="55686B9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项目位于鹤岗市东北部，属典型东北亚大陆性季风气候。年平均风速为2.9m/s，主导风向为西北风，频率17；能见度≥5000米的次数占比96.75%，低云量为0的次数占比72.41%；年平均气温2.7℃，最热月平均气温21.7℃，最冷月平均气温-19℃，极端最高气温39.6℃，极端最低气温-41.2℃；历年极大风速为24.8m/s，大风日数8.4天；年平均雷暴日数26天；年平均雾日数7.8天；年平均降水量569.2毫米。</w:t>
      </w:r>
    </w:p>
    <w:p w14:paraId="29F9FF0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场址主导风向为西北风，平均风速为2.9m/s，以跑道暂定真方位，按照最大许可侧风分量24千米/小时计算，跑道风力负荷为98.94%，满足不小于95%的规范要求。</w:t>
      </w:r>
    </w:p>
    <w:p w14:paraId="7D96522C">
      <w:pPr>
        <w:pStyle w:val="3"/>
        <w:pageBreakBefore w:val="0"/>
        <w:wordWrap/>
        <w:topLinePunct w:val="0"/>
        <w:bidi w:val="0"/>
        <w:spacing w:line="360" w:lineRule="auto"/>
        <w:rPr>
          <w:color w:val="000000" w:themeColor="text1"/>
          <w:highlight w:val="none"/>
        </w:rPr>
      </w:pPr>
      <w:bookmarkStart w:id="315" w:name="_Toc518574371"/>
      <w:bookmarkStart w:id="316" w:name="_Toc7516"/>
      <w:bookmarkStart w:id="317" w:name="_Toc25870"/>
      <w:bookmarkStart w:id="318" w:name="_Toc491064047"/>
      <w:bookmarkStart w:id="319" w:name="_Toc10646"/>
      <w:bookmarkStart w:id="320" w:name="_Toc491791317"/>
      <w:bookmarkStart w:id="321" w:name="_Toc1500"/>
      <w:r>
        <w:rPr>
          <w:rFonts w:hint="eastAsia"/>
          <w:color w:val="000000" w:themeColor="text1"/>
          <w:highlight w:val="none"/>
        </w:rPr>
        <w:t>4.2</w:t>
      </w:r>
      <w:r>
        <w:rPr>
          <w:color w:val="000000" w:themeColor="text1"/>
          <w:highlight w:val="none"/>
        </w:rPr>
        <w:t>环境保护目标调查</w:t>
      </w:r>
      <w:bookmarkEnd w:id="315"/>
      <w:bookmarkEnd w:id="316"/>
      <w:bookmarkEnd w:id="317"/>
      <w:bookmarkEnd w:id="318"/>
      <w:bookmarkEnd w:id="319"/>
      <w:bookmarkEnd w:id="320"/>
      <w:bookmarkEnd w:id="321"/>
    </w:p>
    <w:p w14:paraId="070A9EE2">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调查，本项目涉及的生态环境敏感区主要为东北漫川漫岗省级水土流失重点治理区和鹤岗市水土流失重点预防区以及永久基本农田。本项目不涉及国家公园、自然保护区、风景名胜区、世界文化和自然遗产地、海洋特别保护区、饮用水水源保护区，不涉及生态保护红线管控范围、基本草原、自然公园（森林公园、地质公园、海洋公园等）、重要湿地、天然林，重点保护野生动物栖息地，重点保护野生植物生长繁殖地，重要水生生物的自然产卵场、索饵场、越冬场和洄游通道，天然渔场，沙化土地封禁保护区、封闭及半封闭海域；不涉及以居住、医疗卫生、文化教育、科研、行政办公为主要功能的区域，以及文物保护单位。</w:t>
      </w:r>
    </w:p>
    <w:p w14:paraId="542CAC61">
      <w:pPr>
        <w:pStyle w:val="4"/>
        <w:pageBreakBefore w:val="0"/>
        <w:wordWrap/>
        <w:topLinePunct w:val="0"/>
        <w:bidi w:val="0"/>
        <w:spacing w:before="156" w:line="360" w:lineRule="auto"/>
        <w:rPr>
          <w:color w:val="000000" w:themeColor="text1"/>
          <w:highlight w:val="none"/>
        </w:rPr>
      </w:pPr>
      <w:bookmarkStart w:id="322" w:name="_Toc4691"/>
      <w:bookmarkStart w:id="323" w:name="_Toc20332"/>
      <w:r>
        <w:rPr>
          <w:rFonts w:hint="eastAsia"/>
          <w:color w:val="000000" w:themeColor="text1"/>
          <w:highlight w:val="none"/>
        </w:rPr>
        <w:t>4.2.</w:t>
      </w:r>
      <w:r>
        <w:rPr>
          <w:rFonts w:hint="eastAsia"/>
          <w:color w:val="000000" w:themeColor="text1"/>
          <w:highlight w:val="none"/>
          <w:lang w:val="en-US" w:eastAsia="zh-CN"/>
        </w:rPr>
        <w:t>1黑龙江细鳞河</w:t>
      </w:r>
      <w:r>
        <w:rPr>
          <w:rFonts w:hint="eastAsia"/>
          <w:color w:val="000000" w:themeColor="text1"/>
          <w:highlight w:val="none"/>
        </w:rPr>
        <w:t>国家级</w:t>
      </w:r>
      <w:r>
        <w:rPr>
          <w:color w:val="000000" w:themeColor="text1"/>
          <w:highlight w:val="none"/>
        </w:rPr>
        <w:t>自然保护区</w:t>
      </w:r>
      <w:bookmarkEnd w:id="322"/>
      <w:bookmarkEnd w:id="323"/>
    </w:p>
    <w:p w14:paraId="05CC2030">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黑龙江细鳞河国家级自然保护区位于黑龙江省鹤岗市西北部，小兴安岭东麓，保护区东西长30.3公里，南北宽15.6公里，总面积21570公顷。</w:t>
      </w:r>
    </w:p>
    <w:p w14:paraId="51A2E27A">
      <w:pPr>
        <w:pageBreakBefore w:val="0"/>
        <w:wordWrap/>
        <w:topLinePunct w:val="0"/>
        <w:bidi w:val="0"/>
        <w:spacing w:line="360" w:lineRule="auto"/>
        <w:rPr>
          <w:color w:val="000000" w:themeColor="text1"/>
          <w:highlight w:val="none"/>
        </w:rPr>
      </w:pPr>
      <w:r>
        <w:rPr>
          <w:color w:val="000000" w:themeColor="text1"/>
          <w:highlight w:val="none"/>
        </w:rPr>
        <w:t>2004年9月，经黑龙江省政府批准，建立细鳞河省级自然保护区。2018年5月31日，经国务院批准，晋升为国家级自然保护区。</w:t>
      </w:r>
    </w:p>
    <w:p w14:paraId="261010A1">
      <w:pPr>
        <w:pageBreakBefore w:val="0"/>
        <w:wordWrap/>
        <w:topLinePunct w:val="0"/>
        <w:bidi w:val="0"/>
        <w:spacing w:line="360" w:lineRule="auto"/>
        <w:rPr>
          <w:rFonts w:hint="eastAsia"/>
          <w:color w:val="000000" w:themeColor="text1"/>
          <w:highlight w:val="none"/>
        </w:rPr>
      </w:pPr>
      <w:r>
        <w:rPr>
          <w:color w:val="000000" w:themeColor="text1"/>
          <w:highlight w:val="none"/>
        </w:rPr>
        <w:t>保护区地势西高东低，属温带大陆性季风气候，四季明晰。发源于桶子沟林场和金顶山南麓的细鳞河，蜿蜒北上，流经十里河林场和细鳞河林场，汇入梧桐河，丰富的水资源成就了保护区多样的森林景观。</w:t>
      </w:r>
    </w:p>
    <w:p w14:paraId="4C9B007A">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保护区</w:t>
      </w:r>
      <w:r>
        <w:rPr>
          <w:rFonts w:hint="default" w:ascii="Times New Roman" w:hAnsi="Times New Roman" w:cs="Times New Roman"/>
          <w:color w:val="000000" w:themeColor="text1"/>
          <w:highlight w:val="none"/>
        </w:rPr>
        <w:t>以东北植物区系为主，有高等植物672种，种子植物529种，被子植物523种。国家Ⅱ级重点保护植物红松林、水曲柳、黄檗、钻天柳、紫椴、野大豆6种，良好的森林生态环境系统成为野生动物栖息的乐园。保护区内共有脊椎动物306种，包括众多的珍稀濒危野生动物，其</w:t>
      </w:r>
      <w:r>
        <w:rPr>
          <w:rFonts w:hint="eastAsia"/>
          <w:color w:val="000000" w:themeColor="text1"/>
          <w:highlight w:val="none"/>
        </w:rPr>
        <w:t>中有东方白鹳、金雕、东北虎、原麝、紫貂等国家一级保护动物8种，还有马鹿、棕熊、黑熊、花尾榛鸡、鸳鸯等国家二级保护动物43种，具有重要的保护价值。保护区内森林、灌丛、草甸、沼泽、水域镶嵌分布，构成了复杂多样的森林景观。</w:t>
      </w:r>
    </w:p>
    <w:p w14:paraId="507F6AA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根据对比分析，本项目建设线路位于黑龙江细鳞河国家级自然保护区</w:t>
      </w:r>
      <w:r>
        <w:rPr>
          <w:rFonts w:hint="eastAsia"/>
          <w:color w:val="000000" w:themeColor="text1"/>
          <w:highlight w:val="none"/>
          <w:lang w:val="en-US" w:eastAsia="zh-CN"/>
        </w:rPr>
        <w:t>东</w:t>
      </w:r>
      <w:r>
        <w:rPr>
          <w:rFonts w:hint="eastAsia"/>
          <w:color w:val="000000" w:themeColor="text1"/>
          <w:highlight w:val="none"/>
        </w:rPr>
        <w:t>南侧边界外，</w:t>
      </w:r>
      <w:r>
        <w:rPr>
          <w:snapToGrid w:val="0"/>
          <w:color w:val="000000" w:themeColor="text1"/>
          <w:highlight w:val="none"/>
        </w:rPr>
        <w:t>自然保护区距公路</w:t>
      </w:r>
      <w:r>
        <w:rPr>
          <w:rFonts w:hint="eastAsia"/>
          <w:snapToGrid w:val="0"/>
          <w:color w:val="000000" w:themeColor="text1"/>
          <w:highlight w:val="none"/>
        </w:rPr>
        <w:t>终点</w:t>
      </w:r>
      <w:r>
        <w:rPr>
          <w:snapToGrid w:val="0"/>
          <w:color w:val="000000" w:themeColor="text1"/>
          <w:highlight w:val="none"/>
        </w:rPr>
        <w:t>最近距离约</w:t>
      </w:r>
      <w:r>
        <w:rPr>
          <w:rFonts w:hint="eastAsia"/>
          <w:snapToGrid w:val="0"/>
          <w:color w:val="000000" w:themeColor="text1"/>
          <w:highlight w:val="none"/>
          <w:lang w:val="en-US" w:eastAsia="zh-CN"/>
        </w:rPr>
        <w:t>7.1</w:t>
      </w:r>
      <w:r>
        <w:rPr>
          <w:snapToGrid w:val="0"/>
          <w:color w:val="000000" w:themeColor="text1"/>
          <w:highlight w:val="none"/>
        </w:rPr>
        <w:t>km</w:t>
      </w:r>
      <w:r>
        <w:rPr>
          <w:rFonts w:hint="eastAsia"/>
          <w:color w:val="000000" w:themeColor="text1"/>
          <w:highlight w:val="none"/>
        </w:rPr>
        <w:t>。</w:t>
      </w:r>
    </w:p>
    <w:p w14:paraId="22ADB618">
      <w:pPr>
        <w:pStyle w:val="42"/>
        <w:rPr>
          <w:rFonts w:hint="eastAsia" w:eastAsia="仿宋_GB2312"/>
          <w:color w:val="000000" w:themeColor="text1"/>
          <w:highlight w:val="none"/>
          <w:lang w:eastAsia="zh-CN"/>
        </w:rPr>
      </w:pPr>
      <w:r>
        <w:rPr>
          <w:rFonts w:hint="eastAsia" w:eastAsia="仿宋_GB2312"/>
          <w:color w:val="000000" w:themeColor="text1"/>
          <w:highlight w:val="none"/>
          <w:lang w:eastAsia="zh-CN"/>
        </w:rPr>
        <w:drawing>
          <wp:inline distT="0" distB="0" distL="114300" distR="114300">
            <wp:extent cx="5269230" cy="4956810"/>
            <wp:effectExtent l="0" t="0" r="7620" b="15240"/>
            <wp:docPr id="5" name="图片 5" descr="174185356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41853562802"/>
                    <pic:cNvPicPr>
                      <a:picLocks noChangeAspect="1"/>
                    </pic:cNvPicPr>
                  </pic:nvPicPr>
                  <pic:blipFill>
                    <a:blip r:embed="rId50"/>
                    <a:stretch>
                      <a:fillRect/>
                    </a:stretch>
                  </pic:blipFill>
                  <pic:spPr>
                    <a:xfrm>
                      <a:off x="0" y="0"/>
                      <a:ext cx="5269230" cy="4956810"/>
                    </a:xfrm>
                    <a:prstGeom prst="rect">
                      <a:avLst/>
                    </a:prstGeom>
                  </pic:spPr>
                </pic:pic>
              </a:graphicData>
            </a:graphic>
          </wp:inline>
        </w:drawing>
      </w:r>
    </w:p>
    <w:p w14:paraId="338674D8">
      <w:pPr>
        <w:pStyle w:val="4"/>
        <w:pageBreakBefore w:val="0"/>
        <w:wordWrap/>
        <w:topLinePunct w:val="0"/>
        <w:bidi w:val="0"/>
        <w:spacing w:before="156" w:line="360" w:lineRule="auto"/>
        <w:jc w:val="center"/>
        <w:rPr>
          <w:rFonts w:hint="eastAsia"/>
          <w:color w:val="000000" w:themeColor="text1"/>
          <w:sz w:val="24"/>
          <w:szCs w:val="24"/>
          <w:highlight w:val="none"/>
        </w:rPr>
      </w:pPr>
      <w:r>
        <w:rPr>
          <w:rFonts w:hint="eastAsia"/>
          <w:b/>
          <w:color w:val="000000" w:themeColor="text1"/>
          <w:sz w:val="24"/>
          <w:szCs w:val="24"/>
          <w:highlight w:val="none"/>
          <w:lang w:val="en-US" w:eastAsia="zh-CN"/>
        </w:rPr>
        <w:t>图</w:t>
      </w:r>
      <w:r>
        <w:rPr>
          <w:b/>
          <w:color w:val="000000" w:themeColor="text1"/>
          <w:sz w:val="24"/>
          <w:szCs w:val="24"/>
          <w:highlight w:val="none"/>
        </w:rPr>
        <w:t>4.2-</w:t>
      </w:r>
      <w:r>
        <w:rPr>
          <w:rFonts w:hint="eastAsia"/>
          <w:b/>
          <w:color w:val="000000" w:themeColor="text1"/>
          <w:sz w:val="24"/>
          <w:szCs w:val="24"/>
          <w:highlight w:val="none"/>
          <w:lang w:val="en-US" w:eastAsia="zh-CN"/>
        </w:rPr>
        <w:t>1</w:t>
      </w:r>
      <w:r>
        <w:rPr>
          <w:b/>
          <w:color w:val="000000" w:themeColor="text1"/>
          <w:sz w:val="24"/>
          <w:szCs w:val="24"/>
          <w:highlight w:val="none"/>
        </w:rPr>
        <w:t xml:space="preserve">  </w:t>
      </w:r>
      <w:r>
        <w:rPr>
          <w:rFonts w:hint="eastAsia"/>
          <w:b/>
          <w:color w:val="000000" w:themeColor="text1"/>
          <w:sz w:val="24"/>
          <w:szCs w:val="24"/>
          <w:highlight w:val="none"/>
        </w:rPr>
        <w:t>黑龙江细鳞河国家级自然保护区</w:t>
      </w:r>
      <w:r>
        <w:rPr>
          <w:b/>
          <w:color w:val="000000" w:themeColor="text1"/>
          <w:sz w:val="24"/>
          <w:szCs w:val="24"/>
          <w:highlight w:val="none"/>
        </w:rPr>
        <w:t>与本项目位置关系</w:t>
      </w:r>
      <w:r>
        <w:rPr>
          <w:rFonts w:hint="eastAsia"/>
          <w:b/>
          <w:color w:val="000000" w:themeColor="text1"/>
          <w:sz w:val="24"/>
          <w:szCs w:val="24"/>
          <w:highlight w:val="none"/>
          <w:lang w:val="en-US" w:eastAsia="zh-CN"/>
        </w:rPr>
        <w:t>图</w:t>
      </w:r>
    </w:p>
    <w:p w14:paraId="7E68AC7C">
      <w:pPr>
        <w:pStyle w:val="3"/>
        <w:pageBreakBefore w:val="0"/>
        <w:wordWrap/>
        <w:topLinePunct w:val="0"/>
        <w:bidi w:val="0"/>
        <w:spacing w:line="360" w:lineRule="auto"/>
        <w:rPr>
          <w:color w:val="000000" w:themeColor="text1"/>
          <w:highlight w:val="none"/>
        </w:rPr>
      </w:pPr>
      <w:bookmarkStart w:id="324" w:name="_Toc27988"/>
      <w:bookmarkStart w:id="325" w:name="_Toc518574372"/>
      <w:bookmarkStart w:id="326" w:name="_Toc18390"/>
      <w:bookmarkStart w:id="327" w:name="_Toc120"/>
      <w:bookmarkStart w:id="328" w:name="_Toc6488"/>
      <w:r>
        <w:rPr>
          <w:rFonts w:hint="eastAsia"/>
          <w:color w:val="000000" w:themeColor="text1"/>
          <w:highlight w:val="none"/>
        </w:rPr>
        <w:t>4.3环境质量现状调查</w:t>
      </w:r>
      <w:bookmarkEnd w:id="324"/>
    </w:p>
    <w:bookmarkEnd w:id="325"/>
    <w:bookmarkEnd w:id="326"/>
    <w:bookmarkEnd w:id="327"/>
    <w:bookmarkEnd w:id="328"/>
    <w:p w14:paraId="29353766">
      <w:pPr>
        <w:pStyle w:val="4"/>
        <w:pageBreakBefore w:val="0"/>
        <w:wordWrap/>
        <w:topLinePunct w:val="0"/>
        <w:bidi w:val="0"/>
        <w:spacing w:before="156" w:line="360" w:lineRule="auto"/>
        <w:rPr>
          <w:color w:val="000000" w:themeColor="text1"/>
          <w:highlight w:val="none"/>
        </w:rPr>
      </w:pPr>
      <w:bookmarkStart w:id="329" w:name="_Toc6651"/>
      <w:bookmarkStart w:id="330" w:name="_Toc2054"/>
      <w:r>
        <w:rPr>
          <w:rFonts w:hint="eastAsia"/>
          <w:color w:val="000000" w:themeColor="text1"/>
          <w:highlight w:val="none"/>
        </w:rPr>
        <w:t>4.3.1</w:t>
      </w:r>
      <w:r>
        <w:rPr>
          <w:color w:val="000000" w:themeColor="text1"/>
          <w:highlight w:val="none"/>
        </w:rPr>
        <w:t>生态环境</w:t>
      </w:r>
      <w:bookmarkEnd w:id="329"/>
      <w:bookmarkEnd w:id="330"/>
    </w:p>
    <w:p w14:paraId="14FF2AAA">
      <w:pPr>
        <w:pageBreakBefore w:val="0"/>
        <w:widowControl/>
        <w:wordWrap/>
        <w:topLinePunct w:val="0"/>
        <w:bidi w:val="0"/>
        <w:spacing w:line="360" w:lineRule="auto"/>
        <w:jc w:val="left"/>
        <w:rPr>
          <w:rFonts w:hint="eastAsia"/>
          <w:color w:val="000000" w:themeColor="text1"/>
          <w:kern w:val="0"/>
          <w:highlight w:val="none"/>
        </w:rPr>
      </w:pPr>
      <w:r>
        <w:rPr>
          <w:rFonts w:hint="eastAsia"/>
          <w:color w:val="000000" w:themeColor="text1"/>
          <w:kern w:val="0"/>
          <w:highlight w:val="none"/>
          <w:lang w:val="en-US" w:eastAsia="zh-CN"/>
        </w:rPr>
        <w:t xml:space="preserve">环评单位与建设单位于2024年9月进行现场踏勘，调查内容依据《环境影响评价技术导则 生态影响》（HJ19-2022）确定。生态现状评价以收集资料为主，采用类比法等进行。 </w:t>
      </w:r>
    </w:p>
    <w:p w14:paraId="19102E2B">
      <w:pPr>
        <w:pageBreakBefore w:val="0"/>
        <w:widowControl/>
        <w:wordWrap/>
        <w:topLinePunct w:val="0"/>
        <w:bidi w:val="0"/>
        <w:spacing w:line="360" w:lineRule="auto"/>
        <w:jc w:val="left"/>
        <w:rPr>
          <w:rFonts w:hint="eastAsia"/>
          <w:color w:val="000000" w:themeColor="text1"/>
          <w:kern w:val="0"/>
          <w:highlight w:val="none"/>
        </w:rPr>
      </w:pPr>
      <w:r>
        <w:rPr>
          <w:rFonts w:hint="eastAsia"/>
          <w:color w:val="000000" w:themeColor="text1"/>
          <w:kern w:val="0"/>
          <w:highlight w:val="none"/>
          <w:lang w:val="en-US" w:eastAsia="zh-CN"/>
        </w:rPr>
        <w:t>（1）生态现状调查方法</w:t>
      </w:r>
    </w:p>
    <w:p w14:paraId="156B1E2A">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 xml:space="preserve">收集整理项目涉及行政区鹤岗市内现有的能反映生态现状或生态本底的资料（如：生态公益林、重点保护动植物等），并参考《黑龙江省地方重点保护野生动物名录》等著作及相关科研论文。 </w:t>
      </w:r>
    </w:p>
    <w:p w14:paraId="6050014B">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w:t>
      </w:r>
      <w:r>
        <w:rPr>
          <w:rFonts w:hint="default"/>
          <w:color w:val="000000" w:themeColor="text1"/>
          <w:kern w:val="0"/>
          <w:highlight w:val="none"/>
          <w:lang w:val="en-US" w:eastAsia="zh-CN"/>
        </w:rPr>
        <w:t>2</w:t>
      </w:r>
      <w:r>
        <w:rPr>
          <w:rFonts w:hint="eastAsia"/>
          <w:color w:val="000000" w:themeColor="text1"/>
          <w:kern w:val="0"/>
          <w:highlight w:val="none"/>
          <w:lang w:val="en-US" w:eastAsia="zh-CN"/>
        </w:rPr>
        <w:t xml:space="preserve">）主要评价方法 </w:t>
      </w:r>
    </w:p>
    <w:p w14:paraId="36512A8D">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 xml:space="preserve">在实地调查和资料收集的基础上，充分利用遥感和地理信息系统等技术手段，编制公路沿线植被类型图、土地利用现状图、线路与生态敏感区位置关系图等图件，在地理信息系统支持下，分析和评价区生态现状；根据评价区生态现状，结合工程施工和运营特点，运用地理信息系统的空间分析功能，分析和评价工程建设对区域生态及其敏感保护目标的影响。 </w:t>
      </w:r>
    </w:p>
    <w:p w14:paraId="6D95C93C">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采用</w:t>
      </w:r>
      <w:r>
        <w:rPr>
          <w:rFonts w:hint="default"/>
          <w:color w:val="000000" w:themeColor="text1"/>
          <w:kern w:val="0"/>
          <w:highlight w:val="none"/>
          <w:lang w:val="en-US" w:eastAsia="zh-CN"/>
        </w:rPr>
        <w:t>3S</w:t>
      </w:r>
      <w:r>
        <w:rPr>
          <w:rFonts w:hint="eastAsia"/>
          <w:color w:val="000000" w:themeColor="text1"/>
          <w:kern w:val="0"/>
          <w:highlight w:val="none"/>
          <w:lang w:val="en-US" w:eastAsia="zh-CN"/>
        </w:rPr>
        <w:t>技术结合的方法进行项目区生态环境信息的获取。首先，根据国家或相关行业规范，结合遥感图像的时相与空间分辨率，建立土地利用现状、植被类型、植被覆盖度、土壤侵蚀类型与强度分类或分级体系；其次，对资源三号（</w:t>
      </w:r>
      <w:r>
        <w:rPr>
          <w:rFonts w:hint="default"/>
          <w:color w:val="000000" w:themeColor="text1"/>
          <w:kern w:val="0"/>
          <w:highlight w:val="none"/>
          <w:lang w:val="en-US" w:eastAsia="zh-CN"/>
        </w:rPr>
        <w:t>ZY-3</w:t>
      </w:r>
      <w:r>
        <w:rPr>
          <w:rFonts w:hint="eastAsia"/>
          <w:color w:val="000000" w:themeColor="text1"/>
          <w:kern w:val="0"/>
          <w:highlight w:val="none"/>
          <w:lang w:val="en-US" w:eastAsia="zh-CN"/>
        </w:rPr>
        <w:t>）遥感图像数据进行投影转换、几何纠正、直方图匹配等预处理，制作项目区资源三号（</w:t>
      </w:r>
      <w:r>
        <w:rPr>
          <w:rFonts w:hint="default"/>
          <w:color w:val="000000" w:themeColor="text1"/>
          <w:kern w:val="0"/>
          <w:highlight w:val="none"/>
          <w:lang w:val="en-US" w:eastAsia="zh-CN"/>
        </w:rPr>
        <w:t>ZY-3</w:t>
      </w:r>
      <w:r>
        <w:rPr>
          <w:rFonts w:hint="eastAsia"/>
          <w:color w:val="000000" w:themeColor="text1"/>
          <w:kern w:val="0"/>
          <w:highlight w:val="none"/>
          <w:lang w:val="en-US" w:eastAsia="zh-CN"/>
        </w:rPr>
        <w:t>）卫星影像图；第三，以项目区资源三号（</w:t>
      </w:r>
      <w:r>
        <w:rPr>
          <w:rFonts w:hint="default"/>
          <w:color w:val="000000" w:themeColor="text1"/>
          <w:kern w:val="0"/>
          <w:highlight w:val="none"/>
          <w:lang w:val="en-US" w:eastAsia="zh-CN"/>
        </w:rPr>
        <w:t>ZY-3</w:t>
      </w:r>
      <w:r>
        <w:rPr>
          <w:rFonts w:hint="eastAsia"/>
          <w:color w:val="000000" w:themeColor="text1"/>
          <w:kern w:val="0"/>
          <w:highlight w:val="none"/>
          <w:lang w:val="en-US" w:eastAsia="zh-CN"/>
        </w:rPr>
        <w:t>）遥感影像为信息源，结合项目区的相关资料，建立基于土地利用现状、植被类型、植被覆盖度、土壤侵蚀类型与强度的分类分级系统的遥感解译标志，采用人机交互目视判读对遥感数据进行解译，编制项目区生态环境专题图件。第四，采用专业制图软件</w:t>
      </w:r>
      <w:r>
        <w:rPr>
          <w:rFonts w:hint="default"/>
          <w:color w:val="000000" w:themeColor="text1"/>
          <w:kern w:val="0"/>
          <w:highlight w:val="none"/>
          <w:lang w:val="en-US" w:eastAsia="zh-CN"/>
        </w:rPr>
        <w:t>ARCGIS</w:t>
      </w:r>
      <w:r>
        <w:rPr>
          <w:rFonts w:hint="eastAsia"/>
          <w:color w:val="000000" w:themeColor="text1"/>
          <w:kern w:val="0"/>
          <w:highlight w:val="none"/>
          <w:lang w:val="en-US" w:eastAsia="zh-CN"/>
        </w:rPr>
        <w:t xml:space="preserve">进行专题图件数字化，并进行分类面积统计。 </w:t>
      </w:r>
    </w:p>
    <w:p w14:paraId="607A62CD">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本次生态解译所用卫星遥感数据来源于资源三号卫星（</w:t>
      </w:r>
      <w:r>
        <w:rPr>
          <w:rFonts w:hint="default"/>
          <w:color w:val="000000" w:themeColor="text1"/>
          <w:kern w:val="0"/>
          <w:highlight w:val="none"/>
          <w:lang w:val="en-US" w:eastAsia="zh-CN"/>
        </w:rPr>
        <w:t>ZY-3</w:t>
      </w:r>
      <w:r>
        <w:rPr>
          <w:rFonts w:hint="eastAsia"/>
          <w:color w:val="000000" w:themeColor="text1"/>
          <w:kern w:val="0"/>
          <w:highlight w:val="none"/>
          <w:lang w:val="en-US" w:eastAsia="zh-CN"/>
        </w:rPr>
        <w:t>），分辨率为</w:t>
      </w:r>
      <w:r>
        <w:rPr>
          <w:rFonts w:hint="default"/>
          <w:color w:val="000000" w:themeColor="text1"/>
          <w:kern w:val="0"/>
          <w:highlight w:val="none"/>
          <w:lang w:val="en-US" w:eastAsia="zh-CN"/>
        </w:rPr>
        <w:t>2.1m</w:t>
      </w:r>
      <w:r>
        <w:rPr>
          <w:rFonts w:hint="eastAsia"/>
          <w:color w:val="000000" w:themeColor="text1"/>
          <w:kern w:val="0"/>
          <w:highlight w:val="none"/>
          <w:lang w:val="en-US" w:eastAsia="zh-CN"/>
        </w:rPr>
        <w:t>，数据采集时间为</w:t>
      </w:r>
      <w:r>
        <w:rPr>
          <w:rFonts w:hint="default"/>
          <w:color w:val="000000" w:themeColor="text1"/>
          <w:kern w:val="0"/>
          <w:highlight w:val="none"/>
          <w:lang w:val="en-US" w:eastAsia="zh-CN"/>
        </w:rPr>
        <w:t>2018</w:t>
      </w:r>
      <w:r>
        <w:rPr>
          <w:rFonts w:hint="eastAsia"/>
          <w:color w:val="000000" w:themeColor="text1"/>
          <w:kern w:val="0"/>
          <w:highlight w:val="none"/>
          <w:lang w:val="en-US" w:eastAsia="zh-CN"/>
        </w:rPr>
        <w:t>年</w:t>
      </w:r>
      <w:r>
        <w:rPr>
          <w:rFonts w:hint="default"/>
          <w:color w:val="000000" w:themeColor="text1"/>
          <w:kern w:val="0"/>
          <w:highlight w:val="none"/>
          <w:lang w:val="en-US" w:eastAsia="zh-CN"/>
        </w:rPr>
        <w:t>8</w:t>
      </w:r>
      <w:r>
        <w:rPr>
          <w:rFonts w:hint="eastAsia"/>
          <w:color w:val="000000" w:themeColor="text1"/>
          <w:kern w:val="0"/>
          <w:highlight w:val="none"/>
          <w:lang w:val="en-US" w:eastAsia="zh-CN"/>
        </w:rPr>
        <w:t>月。拟建项目线路全长6.541</w:t>
      </w:r>
      <w:r>
        <w:rPr>
          <w:rFonts w:hint="default"/>
          <w:color w:val="000000" w:themeColor="text1"/>
          <w:kern w:val="0"/>
          <w:highlight w:val="none"/>
          <w:lang w:val="en-US" w:eastAsia="zh-CN"/>
        </w:rPr>
        <w:t>km</w:t>
      </w:r>
      <w:r>
        <w:rPr>
          <w:rFonts w:hint="eastAsia"/>
          <w:color w:val="000000" w:themeColor="text1"/>
          <w:kern w:val="0"/>
          <w:highlight w:val="none"/>
          <w:lang w:val="en-US" w:eastAsia="zh-CN"/>
        </w:rPr>
        <w:t>，本次遥感解译范围为以线路中心线向两侧外延</w:t>
      </w:r>
      <w:r>
        <w:rPr>
          <w:rFonts w:hint="default"/>
          <w:color w:val="000000" w:themeColor="text1"/>
          <w:kern w:val="0"/>
          <w:highlight w:val="none"/>
          <w:lang w:val="en-US" w:eastAsia="zh-CN"/>
        </w:rPr>
        <w:t>300m</w:t>
      </w:r>
      <w:r>
        <w:rPr>
          <w:rFonts w:hint="eastAsia"/>
          <w:color w:val="000000" w:themeColor="text1"/>
          <w:kern w:val="0"/>
          <w:highlight w:val="none"/>
          <w:lang w:val="en-US" w:eastAsia="zh-CN"/>
        </w:rPr>
        <w:t>范围，总解译面积433.100h</w:t>
      </w:r>
      <w:r>
        <w:rPr>
          <w:rFonts w:hint="default"/>
          <w:color w:val="000000" w:themeColor="text1"/>
          <w:kern w:val="0"/>
          <w:highlight w:val="none"/>
          <w:lang w:val="en-US" w:eastAsia="zh-CN"/>
        </w:rPr>
        <w:t>m</w:t>
      </w:r>
      <w:r>
        <w:rPr>
          <w:rFonts w:hint="default"/>
          <w:color w:val="000000" w:themeColor="text1"/>
          <w:kern w:val="0"/>
          <w:highlight w:val="none"/>
          <w:vertAlign w:val="superscript"/>
          <w:lang w:val="en-US" w:eastAsia="zh-CN"/>
        </w:rPr>
        <w:t>2</w:t>
      </w:r>
      <w:r>
        <w:rPr>
          <w:rFonts w:hint="eastAsia"/>
          <w:color w:val="000000" w:themeColor="text1"/>
          <w:kern w:val="0"/>
          <w:highlight w:val="none"/>
          <w:lang w:val="en-US" w:eastAsia="zh-CN"/>
        </w:rPr>
        <w:t xml:space="preserve">。 </w:t>
      </w:r>
    </w:p>
    <w:p w14:paraId="22BE900E">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w:t>
      </w:r>
      <w:r>
        <w:rPr>
          <w:rFonts w:hint="default"/>
          <w:color w:val="000000" w:themeColor="text1"/>
          <w:kern w:val="0"/>
          <w:highlight w:val="none"/>
          <w:lang w:val="en-US" w:eastAsia="zh-CN"/>
        </w:rPr>
        <w:t>3</w:t>
      </w:r>
      <w:r>
        <w:rPr>
          <w:rFonts w:hint="eastAsia"/>
          <w:color w:val="000000" w:themeColor="text1"/>
          <w:kern w:val="0"/>
          <w:highlight w:val="none"/>
          <w:lang w:val="en-US" w:eastAsia="zh-CN"/>
        </w:rPr>
        <w:t xml:space="preserve">）生态影响预测 </w:t>
      </w:r>
    </w:p>
    <w:p w14:paraId="0D34BF2B">
      <w:pPr>
        <w:pageBreakBefore w:val="0"/>
        <w:widowControl/>
        <w:wordWrap/>
        <w:topLinePunct w:val="0"/>
        <w:bidi w:val="0"/>
        <w:spacing w:line="360" w:lineRule="auto"/>
        <w:jc w:val="left"/>
        <w:rPr>
          <w:color w:val="000000" w:themeColor="text1"/>
          <w:kern w:val="0"/>
          <w:highlight w:val="none"/>
        </w:rPr>
      </w:pPr>
      <w:r>
        <w:rPr>
          <w:rFonts w:hint="eastAsia"/>
          <w:color w:val="000000" w:themeColor="text1"/>
          <w:kern w:val="0"/>
          <w:highlight w:val="none"/>
          <w:lang w:val="en-US" w:eastAsia="zh-CN"/>
        </w:rPr>
        <w:t>本次生态影响预测主要采取定性分析的方法。</w:t>
      </w:r>
    </w:p>
    <w:p w14:paraId="7F207EB2">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4.3.1.</w:t>
      </w:r>
      <w:r>
        <w:rPr>
          <w:rFonts w:hint="eastAsia"/>
          <w:color w:val="000000" w:themeColor="text1"/>
          <w:highlight w:val="none"/>
          <w:lang w:val="en-US" w:eastAsia="zh-CN"/>
        </w:rPr>
        <w:t>1</w:t>
      </w:r>
      <w:r>
        <w:rPr>
          <w:color w:val="000000" w:themeColor="text1"/>
          <w:highlight w:val="none"/>
        </w:rPr>
        <w:t>土地利用</w:t>
      </w:r>
      <w:r>
        <w:rPr>
          <w:rFonts w:hint="eastAsia"/>
          <w:color w:val="000000" w:themeColor="text1"/>
          <w:highlight w:val="none"/>
          <w:lang w:val="en-US" w:eastAsia="zh-CN"/>
        </w:rPr>
        <w:t>现状</w:t>
      </w:r>
    </w:p>
    <w:p w14:paraId="404CFF5E">
      <w:pPr>
        <w:pageBreakBefore w:val="0"/>
        <w:wordWrap/>
        <w:topLinePunct w:val="0"/>
        <w:bidi w:val="0"/>
        <w:spacing w:line="360" w:lineRule="auto"/>
        <w:rPr>
          <w:rFonts w:hint="eastAsia"/>
          <w:snapToGrid w:val="0"/>
          <w:color w:val="000000" w:themeColor="text1"/>
          <w:highlight w:val="none"/>
          <w:lang w:val="en-US" w:eastAsia="zh-CN"/>
        </w:rPr>
      </w:pPr>
      <w:r>
        <w:rPr>
          <w:rFonts w:hint="eastAsia"/>
          <w:snapToGrid w:val="0"/>
          <w:color w:val="000000" w:themeColor="text1"/>
          <w:highlight w:val="none"/>
          <w:lang w:val="en-US" w:eastAsia="zh-CN"/>
        </w:rPr>
        <w:t>（1）土地利用现状</w:t>
      </w:r>
    </w:p>
    <w:p w14:paraId="3A2D62E6">
      <w:pPr>
        <w:pageBreakBefore w:val="0"/>
        <w:wordWrap/>
        <w:topLinePunct w:val="0"/>
        <w:bidi w:val="0"/>
        <w:spacing w:line="360" w:lineRule="auto"/>
        <w:rPr>
          <w:rFonts w:hint="default" w:eastAsia="宋体"/>
          <w:snapToGrid w:val="0"/>
          <w:color w:val="000000" w:themeColor="text1"/>
          <w:highlight w:val="none"/>
          <w:lang w:val="en-US" w:eastAsia="zh-CN"/>
        </w:rPr>
      </w:pPr>
      <w:r>
        <w:rPr>
          <w:snapToGrid w:val="0"/>
          <w:color w:val="000000" w:themeColor="text1"/>
          <w:highlight w:val="none"/>
        </w:rPr>
        <w:t>按照《土地利用现状分类标准（GB</w:t>
      </w:r>
      <w:r>
        <w:rPr>
          <w:rFonts w:hint="eastAsia"/>
          <w:snapToGrid w:val="0"/>
          <w:color w:val="000000" w:themeColor="text1"/>
          <w:highlight w:val="none"/>
        </w:rPr>
        <w:t>/</w:t>
      </w:r>
      <w:r>
        <w:rPr>
          <w:snapToGrid w:val="0"/>
          <w:color w:val="000000" w:themeColor="text1"/>
          <w:highlight w:val="none"/>
        </w:rPr>
        <w:t>T 21010-20</w:t>
      </w:r>
      <w:r>
        <w:rPr>
          <w:rFonts w:hint="eastAsia"/>
          <w:snapToGrid w:val="0"/>
          <w:color w:val="000000" w:themeColor="text1"/>
          <w:highlight w:val="none"/>
        </w:rPr>
        <w:t>1</w:t>
      </w:r>
      <w:r>
        <w:rPr>
          <w:snapToGrid w:val="0"/>
          <w:color w:val="000000" w:themeColor="text1"/>
          <w:highlight w:val="none"/>
        </w:rPr>
        <w:t>7）》的进行地类划分，将项目区的土地</w:t>
      </w:r>
      <w:r>
        <w:rPr>
          <w:rFonts w:ascii="Times New Roman" w:hAnsi="Times New Roman" w:eastAsia="宋体" w:cs="Times New Roman"/>
          <w:snapToGrid w:val="0"/>
          <w:color w:val="000000" w:themeColor="text1"/>
          <w:highlight w:val="none"/>
        </w:rPr>
        <w:t>利用类型划分为</w:t>
      </w:r>
      <w:r>
        <w:rPr>
          <w:rFonts w:hint="eastAsia" w:ascii="Times New Roman" w:hAnsi="Times New Roman" w:eastAsia="宋体" w:cs="Times New Roman"/>
          <w:snapToGrid w:val="0"/>
          <w:color w:val="000000" w:themeColor="text1"/>
          <w:highlight w:val="none"/>
          <w:lang w:val="en-US" w:eastAsia="zh-CN"/>
        </w:rPr>
        <w:t>公路用地、沟渠、灌木林地、旱地、河流水面、坑塘水面、农村道路、其他草地、其他林地、乔木林地、水田、铁路用地、沼泽草地</w:t>
      </w:r>
      <w:r>
        <w:rPr>
          <w:rFonts w:ascii="Times New Roman" w:hAnsi="Times New Roman" w:eastAsia="宋体" w:cs="Times New Roman"/>
          <w:snapToGrid w:val="0"/>
          <w:color w:val="000000" w:themeColor="text1"/>
          <w:highlight w:val="none"/>
        </w:rPr>
        <w:t>共计</w:t>
      </w:r>
      <w:r>
        <w:rPr>
          <w:rFonts w:hint="eastAsia" w:ascii="Times New Roman" w:hAnsi="Times New Roman" w:eastAsia="宋体" w:cs="Times New Roman"/>
          <w:snapToGrid w:val="0"/>
          <w:color w:val="000000" w:themeColor="text1"/>
          <w:highlight w:val="none"/>
          <w:lang w:val="en-US" w:eastAsia="zh-CN"/>
        </w:rPr>
        <w:t>1</w:t>
      </w:r>
      <w:r>
        <w:rPr>
          <w:rFonts w:hint="eastAsia" w:cs="Times New Roman"/>
          <w:snapToGrid w:val="0"/>
          <w:color w:val="000000" w:themeColor="text1"/>
          <w:highlight w:val="none"/>
          <w:lang w:val="en-US" w:eastAsia="zh-CN"/>
        </w:rPr>
        <w:t>3</w:t>
      </w:r>
      <w:r>
        <w:rPr>
          <w:rFonts w:ascii="Times New Roman" w:hAnsi="Times New Roman" w:eastAsia="宋体" w:cs="Times New Roman"/>
          <w:snapToGrid w:val="0"/>
          <w:color w:val="000000" w:themeColor="text1"/>
          <w:highlight w:val="none"/>
        </w:rPr>
        <w:t>个地类，项</w:t>
      </w:r>
      <w:r>
        <w:rPr>
          <w:snapToGrid w:val="0"/>
          <w:color w:val="000000" w:themeColor="text1"/>
          <w:highlight w:val="none"/>
        </w:rPr>
        <w:t>目评价范围内土地利用现状情况见表4.3-1。</w:t>
      </w:r>
    </w:p>
    <w:p w14:paraId="0A7E6856">
      <w:pPr>
        <w:pageBreakBefore w:val="0"/>
        <w:wordWrap/>
        <w:topLinePunct w:val="0"/>
        <w:bidi w:val="0"/>
        <w:spacing w:line="360" w:lineRule="auto"/>
        <w:ind w:firstLine="482"/>
        <w:jc w:val="center"/>
        <w:rPr>
          <w:b/>
          <w:bCs/>
          <w:color w:val="000000" w:themeColor="text1"/>
          <w:highlight w:val="none"/>
        </w:rPr>
      </w:pPr>
      <w:r>
        <w:rPr>
          <w:b/>
          <w:bCs/>
          <w:color w:val="000000" w:themeColor="text1"/>
          <w:highlight w:val="none"/>
        </w:rPr>
        <w:t>表4.3-1  评价范围内土地利用类型及面积统计</w:t>
      </w:r>
    </w:p>
    <w:tbl>
      <w:tblPr>
        <w:tblStyle w:val="3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28" w:type="dxa"/>
          <w:left w:w="28" w:type="dxa"/>
          <w:bottom w:w="28" w:type="dxa"/>
          <w:right w:w="28" w:type="dxa"/>
        </w:tblCellMar>
      </w:tblPr>
      <w:tblGrid>
        <w:gridCol w:w="2101"/>
        <w:gridCol w:w="1303"/>
        <w:gridCol w:w="1989"/>
        <w:gridCol w:w="1524"/>
        <w:gridCol w:w="1445"/>
      </w:tblGrid>
      <w:tr w14:paraId="7EAC21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restart"/>
            <w:vAlign w:val="center"/>
          </w:tcPr>
          <w:p w14:paraId="0B43E2D6">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一级类</w:t>
            </w:r>
          </w:p>
        </w:tc>
        <w:tc>
          <w:tcPr>
            <w:tcW w:w="1968" w:type="pct"/>
            <w:gridSpan w:val="2"/>
            <w:vAlign w:val="center"/>
          </w:tcPr>
          <w:p w14:paraId="24FD54C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二级类</w:t>
            </w:r>
          </w:p>
        </w:tc>
        <w:tc>
          <w:tcPr>
            <w:tcW w:w="911" w:type="pct"/>
            <w:vMerge w:val="restart"/>
            <w:vAlign w:val="center"/>
          </w:tcPr>
          <w:p w14:paraId="7728A01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面积（</w:t>
            </w:r>
            <w:r>
              <w:rPr>
                <w:rFonts w:hint="eastAsia"/>
                <w:color w:val="000000" w:themeColor="text1"/>
                <w:sz w:val="21"/>
                <w:szCs w:val="21"/>
                <w:highlight w:val="none"/>
                <w:lang w:val="en-US" w:eastAsia="zh-CN"/>
              </w:rPr>
              <w:t>h</w:t>
            </w:r>
            <w:r>
              <w:rPr>
                <w:rFonts w:hint="eastAsia"/>
                <w:color w:val="000000" w:themeColor="text1"/>
                <w:sz w:val="21"/>
                <w:szCs w:val="21"/>
                <w:highlight w:val="none"/>
              </w:rPr>
              <w:t>m</w:t>
            </w:r>
            <w:r>
              <w:rPr>
                <w:rFonts w:hint="eastAsia"/>
                <w:color w:val="000000" w:themeColor="text1"/>
                <w:sz w:val="21"/>
                <w:szCs w:val="21"/>
                <w:highlight w:val="none"/>
                <w:vertAlign w:val="superscript"/>
              </w:rPr>
              <w:t>2</w:t>
            </w:r>
            <w:r>
              <w:rPr>
                <w:rFonts w:hint="eastAsia"/>
                <w:color w:val="000000" w:themeColor="text1"/>
                <w:sz w:val="21"/>
                <w:szCs w:val="21"/>
                <w:highlight w:val="none"/>
              </w:rPr>
              <w:t>）</w:t>
            </w:r>
          </w:p>
        </w:tc>
        <w:tc>
          <w:tcPr>
            <w:tcW w:w="864" w:type="pct"/>
            <w:vMerge w:val="restart"/>
            <w:vAlign w:val="center"/>
          </w:tcPr>
          <w:p w14:paraId="5E7BE902">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比例（%）</w:t>
            </w:r>
          </w:p>
        </w:tc>
      </w:tr>
      <w:tr w14:paraId="7E6FD2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71FBA0AD">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47F2D28E">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地类代码</w:t>
            </w:r>
          </w:p>
        </w:tc>
        <w:tc>
          <w:tcPr>
            <w:tcW w:w="1189" w:type="pct"/>
            <w:vAlign w:val="center"/>
          </w:tcPr>
          <w:p w14:paraId="333CC06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地类名称</w:t>
            </w:r>
          </w:p>
        </w:tc>
        <w:tc>
          <w:tcPr>
            <w:tcW w:w="911" w:type="pct"/>
            <w:vMerge w:val="continue"/>
            <w:vAlign w:val="center"/>
          </w:tcPr>
          <w:p w14:paraId="2CE66006">
            <w:pPr>
              <w:pageBreakBefore w:val="0"/>
              <w:wordWrap/>
              <w:topLinePunct w:val="0"/>
              <w:bidi w:val="0"/>
              <w:spacing w:line="240" w:lineRule="auto"/>
              <w:ind w:firstLine="0" w:firstLineChars="0"/>
              <w:jc w:val="center"/>
              <w:rPr>
                <w:color w:val="000000" w:themeColor="text1"/>
                <w:sz w:val="21"/>
                <w:szCs w:val="21"/>
                <w:highlight w:val="none"/>
              </w:rPr>
            </w:pPr>
          </w:p>
        </w:tc>
        <w:tc>
          <w:tcPr>
            <w:tcW w:w="864" w:type="pct"/>
            <w:vMerge w:val="continue"/>
            <w:vAlign w:val="center"/>
          </w:tcPr>
          <w:p w14:paraId="46AFED4F">
            <w:pPr>
              <w:pageBreakBefore w:val="0"/>
              <w:wordWrap/>
              <w:topLinePunct w:val="0"/>
              <w:bidi w:val="0"/>
              <w:spacing w:line="240" w:lineRule="auto"/>
              <w:ind w:firstLine="0" w:firstLineChars="0"/>
              <w:jc w:val="center"/>
              <w:rPr>
                <w:color w:val="000000" w:themeColor="text1"/>
                <w:sz w:val="21"/>
                <w:szCs w:val="21"/>
                <w:highlight w:val="none"/>
              </w:rPr>
            </w:pPr>
          </w:p>
        </w:tc>
      </w:tr>
      <w:tr w14:paraId="740924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restart"/>
            <w:vAlign w:val="center"/>
          </w:tcPr>
          <w:p w14:paraId="4582266F">
            <w:pPr>
              <w:pageBreakBefore w:val="0"/>
              <w:wordWrap/>
              <w:topLinePunct w:val="0"/>
              <w:bidi w:val="0"/>
              <w:spacing w:line="240" w:lineRule="auto"/>
              <w:ind w:firstLine="0" w:firstLineChars="0"/>
              <w:jc w:val="center"/>
              <w:rPr>
                <w:color w:val="000000" w:themeColor="text1"/>
                <w:sz w:val="21"/>
                <w:szCs w:val="21"/>
                <w:highlight w:val="none"/>
              </w:rPr>
            </w:pPr>
            <w:bookmarkStart w:id="331" w:name="OLE_LINK1" w:colFirst="2" w:colLast="2"/>
            <w:r>
              <w:rPr>
                <w:rFonts w:hint="eastAsia"/>
                <w:color w:val="000000" w:themeColor="text1"/>
                <w:sz w:val="21"/>
                <w:szCs w:val="21"/>
                <w:highlight w:val="none"/>
              </w:rPr>
              <w:t>耕地</w:t>
            </w:r>
          </w:p>
        </w:tc>
        <w:tc>
          <w:tcPr>
            <w:tcW w:w="779" w:type="pct"/>
            <w:shd w:val="clear" w:color="auto" w:fill="auto"/>
            <w:vAlign w:val="center"/>
          </w:tcPr>
          <w:p w14:paraId="0061ACF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0101</w:t>
            </w:r>
          </w:p>
        </w:tc>
        <w:tc>
          <w:tcPr>
            <w:tcW w:w="1189" w:type="pct"/>
            <w:shd w:val="clear" w:color="auto" w:fill="auto"/>
            <w:vAlign w:val="center"/>
          </w:tcPr>
          <w:p w14:paraId="4A097EBC">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水田</w:t>
            </w:r>
          </w:p>
        </w:tc>
        <w:tc>
          <w:tcPr>
            <w:tcW w:w="911" w:type="pct"/>
            <w:shd w:val="clear" w:color="auto" w:fill="auto"/>
            <w:vAlign w:val="center"/>
          </w:tcPr>
          <w:p w14:paraId="379BB6B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79.276</w:t>
            </w:r>
          </w:p>
        </w:tc>
        <w:tc>
          <w:tcPr>
            <w:tcW w:w="864" w:type="pct"/>
            <w:shd w:val="clear" w:color="auto" w:fill="auto"/>
            <w:vAlign w:val="center"/>
          </w:tcPr>
          <w:p w14:paraId="6E82AA4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18.30</w:t>
            </w:r>
          </w:p>
        </w:tc>
      </w:tr>
      <w:tr w14:paraId="20F71C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5F3B05EC">
            <w:pPr>
              <w:pageBreakBefore w:val="0"/>
              <w:wordWrap/>
              <w:topLinePunct w:val="0"/>
              <w:bidi w:val="0"/>
              <w:spacing w:line="240" w:lineRule="auto"/>
              <w:ind w:firstLine="0" w:firstLineChars="0"/>
              <w:jc w:val="center"/>
              <w:rPr>
                <w:rFonts w:hint="eastAsia"/>
                <w:color w:val="000000" w:themeColor="text1"/>
                <w:sz w:val="21"/>
                <w:szCs w:val="21"/>
                <w:highlight w:val="none"/>
              </w:rPr>
            </w:pPr>
          </w:p>
        </w:tc>
        <w:tc>
          <w:tcPr>
            <w:tcW w:w="779" w:type="pct"/>
            <w:shd w:val="clear" w:color="auto" w:fill="auto"/>
            <w:vAlign w:val="center"/>
          </w:tcPr>
          <w:p w14:paraId="552F067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0103</w:t>
            </w:r>
          </w:p>
        </w:tc>
        <w:tc>
          <w:tcPr>
            <w:tcW w:w="1189" w:type="pct"/>
            <w:shd w:val="clear" w:color="auto" w:fill="auto"/>
            <w:vAlign w:val="center"/>
          </w:tcPr>
          <w:p w14:paraId="29C7960A">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旱地</w:t>
            </w:r>
          </w:p>
        </w:tc>
        <w:tc>
          <w:tcPr>
            <w:tcW w:w="911" w:type="pct"/>
            <w:shd w:val="clear" w:color="auto" w:fill="auto"/>
            <w:vAlign w:val="center"/>
          </w:tcPr>
          <w:p w14:paraId="18980E4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257.172</w:t>
            </w:r>
          </w:p>
        </w:tc>
        <w:tc>
          <w:tcPr>
            <w:tcW w:w="864" w:type="pct"/>
            <w:shd w:val="clear" w:color="auto" w:fill="auto"/>
            <w:vAlign w:val="center"/>
          </w:tcPr>
          <w:p w14:paraId="38E5825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kern w:val="2"/>
                <w:sz w:val="21"/>
                <w:szCs w:val="21"/>
                <w:highlight w:val="none"/>
                <w:lang w:val="en-US" w:eastAsia="zh-CN" w:bidi="ar-SA"/>
              </w:rPr>
              <w:t>59.38</w:t>
            </w:r>
          </w:p>
        </w:tc>
      </w:tr>
      <w:tr w14:paraId="5D5619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restart"/>
            <w:vAlign w:val="center"/>
          </w:tcPr>
          <w:p w14:paraId="65AB51F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林地</w:t>
            </w:r>
          </w:p>
        </w:tc>
        <w:tc>
          <w:tcPr>
            <w:tcW w:w="779" w:type="pct"/>
            <w:vAlign w:val="center"/>
          </w:tcPr>
          <w:p w14:paraId="145CAB64">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0301</w:t>
            </w:r>
          </w:p>
        </w:tc>
        <w:tc>
          <w:tcPr>
            <w:tcW w:w="1189" w:type="pct"/>
            <w:vAlign w:val="center"/>
          </w:tcPr>
          <w:p w14:paraId="0A1B9E92">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乔木林地</w:t>
            </w:r>
          </w:p>
        </w:tc>
        <w:tc>
          <w:tcPr>
            <w:tcW w:w="911" w:type="pct"/>
            <w:vAlign w:val="center"/>
          </w:tcPr>
          <w:p w14:paraId="0336020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54.230</w:t>
            </w:r>
          </w:p>
        </w:tc>
        <w:tc>
          <w:tcPr>
            <w:tcW w:w="864" w:type="pct"/>
            <w:vAlign w:val="center"/>
          </w:tcPr>
          <w:p w14:paraId="66BC2F0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12.52</w:t>
            </w:r>
          </w:p>
        </w:tc>
      </w:tr>
      <w:tr w14:paraId="31D8B9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041AB52B">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5F5E7AA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0305</w:t>
            </w:r>
          </w:p>
        </w:tc>
        <w:tc>
          <w:tcPr>
            <w:tcW w:w="1189" w:type="pct"/>
            <w:vAlign w:val="center"/>
          </w:tcPr>
          <w:p w14:paraId="0125F935">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灌木林地</w:t>
            </w:r>
          </w:p>
        </w:tc>
        <w:tc>
          <w:tcPr>
            <w:tcW w:w="911" w:type="pct"/>
            <w:vAlign w:val="center"/>
          </w:tcPr>
          <w:p w14:paraId="2E38093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0.955</w:t>
            </w:r>
          </w:p>
        </w:tc>
        <w:tc>
          <w:tcPr>
            <w:tcW w:w="864" w:type="pct"/>
            <w:vAlign w:val="center"/>
          </w:tcPr>
          <w:p w14:paraId="5680507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0.22</w:t>
            </w:r>
          </w:p>
        </w:tc>
      </w:tr>
      <w:tr w14:paraId="2F94E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064DAEBD">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11775D1B">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0307</w:t>
            </w:r>
          </w:p>
        </w:tc>
        <w:tc>
          <w:tcPr>
            <w:tcW w:w="1189" w:type="pct"/>
            <w:vAlign w:val="center"/>
          </w:tcPr>
          <w:p w14:paraId="44B0B911">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其他林地</w:t>
            </w:r>
          </w:p>
        </w:tc>
        <w:tc>
          <w:tcPr>
            <w:tcW w:w="911" w:type="pct"/>
            <w:vAlign w:val="center"/>
          </w:tcPr>
          <w:p w14:paraId="7F16B875">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1.063</w:t>
            </w:r>
          </w:p>
        </w:tc>
        <w:tc>
          <w:tcPr>
            <w:tcW w:w="864" w:type="pct"/>
            <w:vAlign w:val="center"/>
          </w:tcPr>
          <w:p w14:paraId="4461240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0.25</w:t>
            </w:r>
          </w:p>
        </w:tc>
      </w:tr>
      <w:tr w14:paraId="1B8507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restart"/>
            <w:vAlign w:val="center"/>
          </w:tcPr>
          <w:p w14:paraId="31F1CB29">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草地</w:t>
            </w:r>
          </w:p>
        </w:tc>
        <w:tc>
          <w:tcPr>
            <w:tcW w:w="779" w:type="pct"/>
            <w:vAlign w:val="center"/>
          </w:tcPr>
          <w:p w14:paraId="7D02A47A">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0402</w:t>
            </w:r>
          </w:p>
        </w:tc>
        <w:tc>
          <w:tcPr>
            <w:tcW w:w="1189" w:type="pct"/>
            <w:vAlign w:val="center"/>
          </w:tcPr>
          <w:p w14:paraId="7F1EC11B">
            <w:pPr>
              <w:pageBreakBefore w:val="0"/>
              <w:wordWrap/>
              <w:topLinePunct w:val="0"/>
              <w:bidi w:val="0"/>
              <w:spacing w:line="240" w:lineRule="auto"/>
              <w:ind w:firstLine="0" w:firstLineChars="0"/>
              <w:jc w:val="center"/>
              <w:rPr>
                <w:rFonts w:hint="eastAsia"/>
                <w:color w:val="000000" w:themeColor="text1"/>
                <w:sz w:val="21"/>
                <w:szCs w:val="21"/>
                <w:highlight w:val="none"/>
              </w:rPr>
            </w:pPr>
            <w:r>
              <w:rPr>
                <w:rFonts w:hint="eastAsia"/>
                <w:color w:val="000000" w:themeColor="text1"/>
                <w:sz w:val="21"/>
                <w:szCs w:val="21"/>
                <w:highlight w:val="none"/>
              </w:rPr>
              <w:t>沼泽草地</w:t>
            </w:r>
          </w:p>
        </w:tc>
        <w:tc>
          <w:tcPr>
            <w:tcW w:w="911" w:type="pct"/>
            <w:vAlign w:val="center"/>
          </w:tcPr>
          <w:p w14:paraId="2A45E7C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0.071</w:t>
            </w:r>
          </w:p>
        </w:tc>
        <w:tc>
          <w:tcPr>
            <w:tcW w:w="864" w:type="pct"/>
            <w:vAlign w:val="center"/>
          </w:tcPr>
          <w:p w14:paraId="3BB69A31">
            <w:pPr>
              <w:pageBreakBefore w:val="0"/>
              <w:wordWrap/>
              <w:topLinePunct w:val="0"/>
              <w:bidi w:val="0"/>
              <w:spacing w:line="240" w:lineRule="auto"/>
              <w:ind w:firstLine="0" w:firstLineChars="0"/>
              <w:jc w:val="center"/>
              <w:rPr>
                <w:rFonts w:hint="default"/>
                <w:color w:val="000000" w:themeColor="text1"/>
                <w:highlight w:val="none"/>
                <w:lang w:val="en-US" w:eastAsia="zh-CN"/>
              </w:rPr>
            </w:pPr>
            <w:r>
              <w:rPr>
                <w:rFonts w:hint="eastAsia"/>
                <w:color w:val="000000" w:themeColor="text1"/>
                <w:sz w:val="21"/>
                <w:szCs w:val="21"/>
                <w:highlight w:val="none"/>
                <w:lang w:val="en-US" w:eastAsia="zh-CN"/>
              </w:rPr>
              <w:t>0.02</w:t>
            </w:r>
          </w:p>
        </w:tc>
      </w:tr>
      <w:tr w14:paraId="362E73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6A1D858C">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664468E9">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0404</w:t>
            </w:r>
          </w:p>
        </w:tc>
        <w:tc>
          <w:tcPr>
            <w:tcW w:w="1189" w:type="pct"/>
            <w:vAlign w:val="center"/>
          </w:tcPr>
          <w:p w14:paraId="2FA2AB72">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其它草地</w:t>
            </w:r>
          </w:p>
        </w:tc>
        <w:tc>
          <w:tcPr>
            <w:tcW w:w="911" w:type="pct"/>
            <w:vAlign w:val="center"/>
          </w:tcPr>
          <w:p w14:paraId="65455ED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5.678</w:t>
            </w:r>
          </w:p>
        </w:tc>
        <w:tc>
          <w:tcPr>
            <w:tcW w:w="864" w:type="pct"/>
            <w:vAlign w:val="center"/>
          </w:tcPr>
          <w:p w14:paraId="45F538B6">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1.31</w:t>
            </w:r>
          </w:p>
        </w:tc>
      </w:tr>
      <w:tr w14:paraId="3B7724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restart"/>
            <w:vAlign w:val="center"/>
          </w:tcPr>
          <w:p w14:paraId="120C347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交通</w:t>
            </w:r>
            <w:r>
              <w:rPr>
                <w:color w:val="000000" w:themeColor="text1"/>
                <w:sz w:val="21"/>
                <w:szCs w:val="21"/>
                <w:highlight w:val="none"/>
              </w:rPr>
              <w:t>用地</w:t>
            </w:r>
          </w:p>
        </w:tc>
        <w:tc>
          <w:tcPr>
            <w:tcW w:w="779" w:type="pct"/>
            <w:vAlign w:val="center"/>
          </w:tcPr>
          <w:p w14:paraId="3CF7C2E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1003</w:t>
            </w:r>
          </w:p>
        </w:tc>
        <w:tc>
          <w:tcPr>
            <w:tcW w:w="1189" w:type="pct"/>
            <w:vAlign w:val="center"/>
          </w:tcPr>
          <w:p w14:paraId="73760053">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公路</w:t>
            </w:r>
            <w:r>
              <w:rPr>
                <w:color w:val="000000" w:themeColor="text1"/>
                <w:sz w:val="21"/>
                <w:szCs w:val="21"/>
                <w:highlight w:val="none"/>
              </w:rPr>
              <w:t>用地</w:t>
            </w:r>
          </w:p>
        </w:tc>
        <w:tc>
          <w:tcPr>
            <w:tcW w:w="911" w:type="pct"/>
            <w:vAlign w:val="center"/>
          </w:tcPr>
          <w:p w14:paraId="638F96B3">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3.115</w:t>
            </w:r>
          </w:p>
        </w:tc>
        <w:tc>
          <w:tcPr>
            <w:tcW w:w="864" w:type="pct"/>
            <w:vAlign w:val="center"/>
          </w:tcPr>
          <w:p w14:paraId="4B5D6616">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0.72</w:t>
            </w:r>
          </w:p>
        </w:tc>
      </w:tr>
      <w:tr w14:paraId="20C808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0EACB4DF">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6A703490">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1002</w:t>
            </w:r>
          </w:p>
        </w:tc>
        <w:tc>
          <w:tcPr>
            <w:tcW w:w="1189" w:type="pct"/>
            <w:vAlign w:val="center"/>
          </w:tcPr>
          <w:p w14:paraId="488B1469">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铁路</w:t>
            </w:r>
            <w:r>
              <w:rPr>
                <w:color w:val="000000" w:themeColor="text1"/>
                <w:sz w:val="21"/>
                <w:szCs w:val="21"/>
                <w:highlight w:val="none"/>
              </w:rPr>
              <w:t>用地</w:t>
            </w:r>
          </w:p>
        </w:tc>
        <w:tc>
          <w:tcPr>
            <w:tcW w:w="911" w:type="pct"/>
            <w:vAlign w:val="center"/>
          </w:tcPr>
          <w:p w14:paraId="4284037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1.756</w:t>
            </w:r>
          </w:p>
        </w:tc>
        <w:tc>
          <w:tcPr>
            <w:tcW w:w="864" w:type="pct"/>
            <w:vAlign w:val="center"/>
          </w:tcPr>
          <w:p w14:paraId="744D1688">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0.41</w:t>
            </w:r>
          </w:p>
        </w:tc>
      </w:tr>
      <w:tr w14:paraId="2C908C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47A82A22">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700DFB4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1006</w:t>
            </w:r>
          </w:p>
        </w:tc>
        <w:tc>
          <w:tcPr>
            <w:tcW w:w="1189" w:type="pct"/>
            <w:vAlign w:val="center"/>
          </w:tcPr>
          <w:p w14:paraId="41ECBE68">
            <w:pPr>
              <w:pageBreakBefore w:val="0"/>
              <w:wordWrap/>
              <w:topLinePunct w:val="0"/>
              <w:bidi w:val="0"/>
              <w:spacing w:line="240" w:lineRule="auto"/>
              <w:ind w:firstLine="0" w:firstLineChars="0"/>
              <w:jc w:val="center"/>
              <w:rPr>
                <w:rFonts w:hint="eastAsia"/>
                <w:color w:val="000000" w:themeColor="text1"/>
                <w:sz w:val="21"/>
                <w:szCs w:val="21"/>
                <w:highlight w:val="none"/>
              </w:rPr>
            </w:pPr>
            <w:r>
              <w:rPr>
                <w:rFonts w:hint="eastAsia"/>
                <w:color w:val="000000" w:themeColor="text1"/>
                <w:sz w:val="21"/>
                <w:szCs w:val="21"/>
                <w:highlight w:val="none"/>
              </w:rPr>
              <w:t>农村道路</w:t>
            </w:r>
          </w:p>
        </w:tc>
        <w:tc>
          <w:tcPr>
            <w:tcW w:w="911" w:type="pct"/>
            <w:vAlign w:val="center"/>
          </w:tcPr>
          <w:p w14:paraId="6E7BCFE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6.541</w:t>
            </w:r>
          </w:p>
        </w:tc>
        <w:tc>
          <w:tcPr>
            <w:tcW w:w="864" w:type="pct"/>
            <w:vAlign w:val="center"/>
          </w:tcPr>
          <w:p w14:paraId="34BF6FFE">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1.51</w:t>
            </w:r>
          </w:p>
        </w:tc>
      </w:tr>
      <w:tr w14:paraId="625383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restart"/>
            <w:vAlign w:val="center"/>
          </w:tcPr>
          <w:p w14:paraId="0A39A5FA">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rPr>
              <w:t>水域</w:t>
            </w:r>
            <w:r>
              <w:rPr>
                <w:rFonts w:hint="eastAsia"/>
                <w:color w:val="000000" w:themeColor="text1"/>
                <w:sz w:val="21"/>
                <w:szCs w:val="21"/>
                <w:highlight w:val="none"/>
                <w:lang w:val="en-US" w:eastAsia="zh-CN"/>
              </w:rPr>
              <w:t>及水利设施用地</w:t>
            </w:r>
          </w:p>
        </w:tc>
        <w:tc>
          <w:tcPr>
            <w:tcW w:w="779" w:type="pct"/>
            <w:vAlign w:val="center"/>
          </w:tcPr>
          <w:p w14:paraId="1FEB1C15">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1101</w:t>
            </w:r>
          </w:p>
        </w:tc>
        <w:tc>
          <w:tcPr>
            <w:tcW w:w="1189" w:type="pct"/>
            <w:vAlign w:val="center"/>
          </w:tcPr>
          <w:p w14:paraId="37A9B87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河流水面</w:t>
            </w:r>
          </w:p>
        </w:tc>
        <w:tc>
          <w:tcPr>
            <w:tcW w:w="911" w:type="pct"/>
            <w:vAlign w:val="center"/>
          </w:tcPr>
          <w:p w14:paraId="34AD3966">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2.837</w:t>
            </w:r>
          </w:p>
        </w:tc>
        <w:tc>
          <w:tcPr>
            <w:tcW w:w="864" w:type="pct"/>
            <w:vAlign w:val="center"/>
          </w:tcPr>
          <w:p w14:paraId="07F481E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0.65</w:t>
            </w:r>
          </w:p>
        </w:tc>
      </w:tr>
      <w:tr w14:paraId="677E30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08E84640">
            <w:pPr>
              <w:pageBreakBefore w:val="0"/>
              <w:wordWrap/>
              <w:topLinePunct w:val="0"/>
              <w:bidi w:val="0"/>
              <w:spacing w:line="240" w:lineRule="auto"/>
              <w:ind w:firstLine="0" w:firstLineChars="0"/>
              <w:jc w:val="center"/>
              <w:rPr>
                <w:rFonts w:hint="eastAsia"/>
                <w:color w:val="000000" w:themeColor="text1"/>
                <w:sz w:val="21"/>
                <w:szCs w:val="21"/>
                <w:highlight w:val="none"/>
              </w:rPr>
            </w:pPr>
          </w:p>
        </w:tc>
        <w:tc>
          <w:tcPr>
            <w:tcW w:w="779" w:type="pct"/>
            <w:vAlign w:val="center"/>
          </w:tcPr>
          <w:p w14:paraId="4F9F038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1104</w:t>
            </w:r>
          </w:p>
        </w:tc>
        <w:tc>
          <w:tcPr>
            <w:tcW w:w="1189" w:type="pct"/>
            <w:vAlign w:val="center"/>
          </w:tcPr>
          <w:p w14:paraId="772F0C49">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坑塘水面</w:t>
            </w:r>
          </w:p>
        </w:tc>
        <w:tc>
          <w:tcPr>
            <w:tcW w:w="911" w:type="pct"/>
            <w:vAlign w:val="center"/>
          </w:tcPr>
          <w:p w14:paraId="409D7408">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0.447</w:t>
            </w:r>
          </w:p>
        </w:tc>
        <w:tc>
          <w:tcPr>
            <w:tcW w:w="864" w:type="pct"/>
            <w:vAlign w:val="center"/>
          </w:tcPr>
          <w:p w14:paraId="1F4B81B7">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0.10</w:t>
            </w:r>
          </w:p>
        </w:tc>
      </w:tr>
      <w:tr w14:paraId="486D21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1256" w:type="pct"/>
            <w:vMerge w:val="continue"/>
            <w:vAlign w:val="center"/>
          </w:tcPr>
          <w:p w14:paraId="52974E39">
            <w:pPr>
              <w:pageBreakBefore w:val="0"/>
              <w:wordWrap/>
              <w:topLinePunct w:val="0"/>
              <w:bidi w:val="0"/>
              <w:spacing w:line="240" w:lineRule="auto"/>
              <w:ind w:firstLine="0" w:firstLineChars="0"/>
              <w:jc w:val="center"/>
              <w:rPr>
                <w:color w:val="000000" w:themeColor="text1"/>
                <w:sz w:val="21"/>
                <w:szCs w:val="21"/>
                <w:highlight w:val="none"/>
              </w:rPr>
            </w:pPr>
          </w:p>
        </w:tc>
        <w:tc>
          <w:tcPr>
            <w:tcW w:w="779" w:type="pct"/>
            <w:vAlign w:val="center"/>
          </w:tcPr>
          <w:p w14:paraId="6D3A11F7">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1107</w:t>
            </w:r>
          </w:p>
        </w:tc>
        <w:tc>
          <w:tcPr>
            <w:tcW w:w="1189" w:type="pct"/>
            <w:vAlign w:val="center"/>
          </w:tcPr>
          <w:p w14:paraId="709D09CD">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沟渠</w:t>
            </w:r>
          </w:p>
        </w:tc>
        <w:tc>
          <w:tcPr>
            <w:tcW w:w="911" w:type="pct"/>
            <w:vAlign w:val="center"/>
          </w:tcPr>
          <w:p w14:paraId="615F5EAD">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19.958</w:t>
            </w:r>
          </w:p>
        </w:tc>
        <w:tc>
          <w:tcPr>
            <w:tcW w:w="864" w:type="pct"/>
            <w:vAlign w:val="center"/>
          </w:tcPr>
          <w:p w14:paraId="7E8E535E">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4.60</w:t>
            </w:r>
          </w:p>
        </w:tc>
      </w:tr>
      <w:bookmarkEnd w:id="331"/>
      <w:tr w14:paraId="39F6A5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28" w:type="dxa"/>
            <w:bottom w:w="28" w:type="dxa"/>
            <w:right w:w="28" w:type="dxa"/>
          </w:tblCellMar>
        </w:tblPrEx>
        <w:trPr>
          <w:trHeight w:val="369" w:hRule="atLeast"/>
        </w:trPr>
        <w:tc>
          <w:tcPr>
            <w:tcW w:w="3224" w:type="pct"/>
            <w:gridSpan w:val="3"/>
            <w:vAlign w:val="center"/>
          </w:tcPr>
          <w:p w14:paraId="064096E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合计</w:t>
            </w:r>
          </w:p>
        </w:tc>
        <w:tc>
          <w:tcPr>
            <w:tcW w:w="911" w:type="pct"/>
            <w:vAlign w:val="center"/>
          </w:tcPr>
          <w:p w14:paraId="46A091B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433.100</w:t>
            </w:r>
          </w:p>
        </w:tc>
        <w:tc>
          <w:tcPr>
            <w:tcW w:w="864" w:type="pct"/>
            <w:vAlign w:val="center"/>
          </w:tcPr>
          <w:p w14:paraId="32FC265A">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100</w:t>
            </w:r>
          </w:p>
        </w:tc>
      </w:tr>
    </w:tbl>
    <w:p w14:paraId="24B938E4">
      <w:pPr>
        <w:pageBreakBefore w:val="0"/>
        <w:wordWrap/>
        <w:topLinePunct w:val="0"/>
        <w:bidi w:val="0"/>
        <w:spacing w:line="360" w:lineRule="auto"/>
        <w:rPr>
          <w:snapToGrid w:val="0"/>
          <w:color w:val="000000" w:themeColor="text1"/>
          <w:highlight w:val="none"/>
        </w:rPr>
      </w:pPr>
      <w:r>
        <w:rPr>
          <w:snapToGrid w:val="0"/>
          <w:color w:val="000000" w:themeColor="text1"/>
          <w:highlight w:val="none"/>
        </w:rPr>
        <w:t>根据遥感解译获取的</w:t>
      </w:r>
      <w:r>
        <w:rPr>
          <w:color w:val="000000" w:themeColor="text1"/>
          <w:highlight w:val="none"/>
        </w:rPr>
        <w:t>线路中心线向两侧外延</w:t>
      </w:r>
      <w:r>
        <w:rPr>
          <w:rFonts w:hint="eastAsia"/>
          <w:color w:val="000000" w:themeColor="text1"/>
          <w:highlight w:val="none"/>
          <w:lang w:val="en-US" w:eastAsia="zh-CN"/>
        </w:rPr>
        <w:t>3</w:t>
      </w:r>
      <w:r>
        <w:rPr>
          <w:rFonts w:hint="eastAsia"/>
          <w:color w:val="000000" w:themeColor="text1"/>
          <w:highlight w:val="none"/>
        </w:rPr>
        <w:t>00m</w:t>
      </w:r>
      <w:r>
        <w:rPr>
          <w:color w:val="000000" w:themeColor="text1"/>
          <w:highlight w:val="none"/>
        </w:rPr>
        <w:t>的区域</w:t>
      </w:r>
      <w:r>
        <w:rPr>
          <w:snapToGrid w:val="0"/>
          <w:color w:val="000000" w:themeColor="text1"/>
          <w:highlight w:val="none"/>
        </w:rPr>
        <w:t>调查范围内的土地利用现状，本项目生态调查面积为</w:t>
      </w:r>
      <w:r>
        <w:rPr>
          <w:rFonts w:hint="eastAsia"/>
          <w:color w:val="000000" w:themeColor="text1"/>
          <w:highlight w:val="none"/>
          <w:lang w:val="en-US" w:eastAsia="zh-CN"/>
        </w:rPr>
        <w:t>433.100h</w:t>
      </w:r>
      <w:r>
        <w:rPr>
          <w:snapToGrid w:val="0"/>
          <w:color w:val="000000" w:themeColor="text1"/>
          <w:highlight w:val="none"/>
        </w:rPr>
        <w:t>m</w:t>
      </w:r>
      <w:r>
        <w:rPr>
          <w:snapToGrid w:val="0"/>
          <w:color w:val="000000" w:themeColor="text1"/>
          <w:highlight w:val="none"/>
          <w:vertAlign w:val="superscript"/>
        </w:rPr>
        <w:t>2</w:t>
      </w:r>
      <w:r>
        <w:rPr>
          <w:snapToGrid w:val="0"/>
          <w:color w:val="000000" w:themeColor="text1"/>
          <w:highlight w:val="none"/>
        </w:rPr>
        <w:t>，其中以耕地面积最大，占总面积的</w:t>
      </w:r>
      <w:r>
        <w:rPr>
          <w:rFonts w:hint="eastAsia"/>
          <w:snapToGrid w:val="0"/>
          <w:color w:val="000000" w:themeColor="text1"/>
          <w:highlight w:val="none"/>
          <w:lang w:val="en-US" w:eastAsia="zh-CN"/>
        </w:rPr>
        <w:t>77.68</w:t>
      </w:r>
      <w:r>
        <w:rPr>
          <w:snapToGrid w:val="0"/>
          <w:color w:val="000000" w:themeColor="text1"/>
          <w:highlight w:val="none"/>
        </w:rPr>
        <w:t>%；其次是</w:t>
      </w:r>
      <w:r>
        <w:rPr>
          <w:rFonts w:hint="eastAsia"/>
          <w:snapToGrid w:val="0"/>
          <w:color w:val="000000" w:themeColor="text1"/>
          <w:highlight w:val="none"/>
          <w:lang w:val="en-US" w:eastAsia="zh-CN"/>
        </w:rPr>
        <w:t>林地</w:t>
      </w:r>
      <w:r>
        <w:rPr>
          <w:rFonts w:hint="eastAsia"/>
          <w:snapToGrid w:val="0"/>
          <w:color w:val="000000" w:themeColor="text1"/>
          <w:highlight w:val="none"/>
        </w:rPr>
        <w:t>占总面积</w:t>
      </w:r>
      <w:r>
        <w:rPr>
          <w:rFonts w:hint="eastAsia"/>
          <w:snapToGrid w:val="0"/>
          <w:color w:val="000000" w:themeColor="text1"/>
          <w:highlight w:val="none"/>
          <w:lang w:val="en-US" w:eastAsia="zh-CN"/>
        </w:rPr>
        <w:t>12.99</w:t>
      </w:r>
      <w:r>
        <w:rPr>
          <w:snapToGrid w:val="0"/>
          <w:color w:val="000000" w:themeColor="text1"/>
          <w:highlight w:val="none"/>
        </w:rPr>
        <w:t>%；再次是</w:t>
      </w:r>
      <w:r>
        <w:rPr>
          <w:rFonts w:hint="eastAsia"/>
          <w:snapToGrid w:val="0"/>
          <w:color w:val="000000" w:themeColor="text1"/>
          <w:highlight w:val="none"/>
          <w:lang w:val="en-US" w:eastAsia="zh-CN"/>
        </w:rPr>
        <w:t>水域及水利设施用地</w:t>
      </w:r>
      <w:r>
        <w:rPr>
          <w:snapToGrid w:val="0"/>
          <w:color w:val="000000" w:themeColor="text1"/>
          <w:highlight w:val="none"/>
        </w:rPr>
        <w:t>，</w:t>
      </w:r>
      <w:r>
        <w:rPr>
          <w:rFonts w:hint="eastAsia"/>
          <w:snapToGrid w:val="0"/>
          <w:color w:val="000000" w:themeColor="text1"/>
          <w:highlight w:val="none"/>
        </w:rPr>
        <w:t>占</w:t>
      </w:r>
      <w:r>
        <w:rPr>
          <w:snapToGrid w:val="0"/>
          <w:color w:val="000000" w:themeColor="text1"/>
          <w:highlight w:val="none"/>
        </w:rPr>
        <w:t>总面积的</w:t>
      </w:r>
      <w:r>
        <w:rPr>
          <w:rFonts w:hint="eastAsia"/>
          <w:snapToGrid w:val="0"/>
          <w:color w:val="000000" w:themeColor="text1"/>
          <w:highlight w:val="none"/>
          <w:lang w:val="en-US" w:eastAsia="zh-CN"/>
        </w:rPr>
        <w:t>5.35</w:t>
      </w:r>
      <w:r>
        <w:rPr>
          <w:snapToGrid w:val="0"/>
          <w:color w:val="000000" w:themeColor="text1"/>
          <w:highlight w:val="none"/>
        </w:rPr>
        <w:t>%；</w:t>
      </w:r>
      <w:r>
        <w:rPr>
          <w:rFonts w:hint="eastAsia"/>
          <w:snapToGrid w:val="0"/>
          <w:color w:val="000000" w:themeColor="text1"/>
          <w:highlight w:val="none"/>
          <w:lang w:val="en-US" w:eastAsia="zh-CN"/>
        </w:rPr>
        <w:t>草地和</w:t>
      </w:r>
      <w:r>
        <w:rPr>
          <w:snapToGrid w:val="0"/>
          <w:color w:val="000000" w:themeColor="text1"/>
          <w:highlight w:val="none"/>
        </w:rPr>
        <w:t>交通用地面积均较小，沿线土地利用类型以耕地为主，其次为</w:t>
      </w:r>
      <w:r>
        <w:rPr>
          <w:rFonts w:hint="eastAsia"/>
          <w:snapToGrid w:val="0"/>
          <w:color w:val="000000" w:themeColor="text1"/>
          <w:highlight w:val="none"/>
          <w:lang w:val="en-US" w:eastAsia="zh-CN"/>
        </w:rPr>
        <w:t>林地</w:t>
      </w:r>
      <w:r>
        <w:rPr>
          <w:snapToGrid w:val="0"/>
          <w:color w:val="000000" w:themeColor="text1"/>
          <w:highlight w:val="none"/>
        </w:rPr>
        <w:t>。公路沿线土地利用现状图详见附图</w:t>
      </w:r>
      <w:r>
        <w:rPr>
          <w:rFonts w:hint="eastAsia"/>
          <w:snapToGrid w:val="0"/>
          <w:color w:val="000000" w:themeColor="text1"/>
          <w:highlight w:val="none"/>
          <w:lang w:val="en-US" w:eastAsia="zh-CN"/>
        </w:rPr>
        <w:t>6</w:t>
      </w:r>
      <w:r>
        <w:rPr>
          <w:snapToGrid w:val="0"/>
          <w:color w:val="000000" w:themeColor="text1"/>
          <w:highlight w:val="none"/>
        </w:rPr>
        <w:t>。</w:t>
      </w:r>
    </w:p>
    <w:p w14:paraId="14FB661B">
      <w:pPr>
        <w:pageBreakBefore w:val="0"/>
        <w:wordWrap/>
        <w:topLinePunct w:val="0"/>
        <w:bidi w:val="0"/>
        <w:spacing w:line="360" w:lineRule="auto"/>
        <w:rPr>
          <w:rFonts w:hint="eastAsia"/>
          <w:snapToGrid w:val="0"/>
          <w:color w:val="000000" w:themeColor="text1"/>
          <w:highlight w:val="none"/>
          <w:lang w:val="en-US" w:eastAsia="zh-CN"/>
        </w:rPr>
      </w:pPr>
      <w:r>
        <w:rPr>
          <w:rFonts w:hint="eastAsia"/>
          <w:snapToGrid w:val="0"/>
          <w:color w:val="000000" w:themeColor="text1"/>
          <w:highlight w:val="none"/>
          <w:lang w:val="en-US" w:eastAsia="zh-CN"/>
        </w:rPr>
        <w:t>（2）工程占地</w:t>
      </w:r>
    </w:p>
    <w:p w14:paraId="6F0B8E1D">
      <w:pPr>
        <w:pageBreakBefore w:val="0"/>
        <w:wordWrap/>
        <w:topLinePunct w:val="0"/>
        <w:bidi w:val="0"/>
        <w:spacing w:line="360" w:lineRule="auto"/>
        <w:rPr>
          <w:rFonts w:hint="eastAsia" w:cs="宋体"/>
          <w:color w:val="000000" w:themeColor="text1"/>
          <w:kern w:val="0"/>
          <w:highlight w:val="none"/>
        </w:rPr>
      </w:pPr>
      <w:r>
        <w:rPr>
          <w:rFonts w:hint="eastAsia" w:cs="宋体"/>
          <w:color w:val="000000" w:themeColor="text1"/>
          <w:kern w:val="0"/>
          <w:highlight w:val="none"/>
        </w:rPr>
        <w:t>本项目</w:t>
      </w:r>
      <w:r>
        <w:rPr>
          <w:rFonts w:hint="eastAsia"/>
          <w:color w:val="000000" w:themeColor="text1"/>
          <w:highlight w:val="none"/>
          <w:lang w:val="en-US" w:eastAsia="zh-CN"/>
        </w:rPr>
        <w:t>永久占地共19.1083hm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s="宋体"/>
          <w:color w:val="000000" w:themeColor="text1"/>
          <w:kern w:val="0"/>
          <w:highlight w:val="none"/>
          <w:lang w:eastAsia="zh-CN"/>
        </w:rPr>
        <w:t>工程占地均属</w:t>
      </w:r>
      <w:r>
        <w:rPr>
          <w:rFonts w:hint="eastAsia" w:cs="宋体"/>
          <w:color w:val="000000" w:themeColor="text1"/>
          <w:kern w:val="0"/>
          <w:highlight w:val="none"/>
          <w:lang w:val="en-US" w:eastAsia="zh-CN"/>
        </w:rPr>
        <w:t>鹤岗市</w:t>
      </w:r>
      <w:r>
        <w:rPr>
          <w:rFonts w:hint="eastAsia" w:cs="宋体"/>
          <w:color w:val="000000" w:themeColor="text1"/>
          <w:kern w:val="0"/>
          <w:highlight w:val="none"/>
          <w:lang w:eastAsia="zh-CN"/>
        </w:rPr>
        <w:t>行政管辖。</w:t>
      </w:r>
      <w:r>
        <w:rPr>
          <w:rFonts w:hint="default"/>
          <w:color w:val="000000" w:themeColor="text1"/>
          <w:highlight w:val="none"/>
          <w:lang w:val="en-US"/>
        </w:rPr>
        <w:t>根据《土地利用现状分类》（GB/T 21010-2017）一级类别，本工程土地类型划</w:t>
      </w:r>
      <w:r>
        <w:rPr>
          <w:rFonts w:hint="default"/>
          <w:color w:val="000000" w:themeColor="text1"/>
          <w:sz w:val="24"/>
          <w:highlight w:val="none"/>
          <w:lang w:val="en-US"/>
        </w:rPr>
        <w:t>分为</w:t>
      </w:r>
      <w:r>
        <w:rPr>
          <w:rFonts w:hint="eastAsia"/>
          <w:color w:val="000000" w:themeColor="text1"/>
          <w:sz w:val="24"/>
          <w:highlight w:val="none"/>
          <w:lang w:val="en-US" w:eastAsia="zh-CN"/>
        </w:rPr>
        <w:t>占用</w:t>
      </w:r>
      <w:r>
        <w:rPr>
          <w:rFonts w:hint="eastAsia"/>
          <w:color w:val="000000" w:themeColor="text1"/>
          <w:highlight w:val="none"/>
          <w:lang w:val="en-US" w:eastAsia="zh-CN"/>
        </w:rPr>
        <w:t>水田0.6573hm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s="宋体"/>
          <w:color w:val="000000" w:themeColor="text1"/>
          <w:kern w:val="0"/>
          <w:highlight w:val="none"/>
        </w:rPr>
        <w:t>占地各用地类别及面积见表</w:t>
      </w:r>
      <w:r>
        <w:rPr>
          <w:rFonts w:hint="eastAsia" w:cs="宋体"/>
          <w:color w:val="000000" w:themeColor="text1"/>
          <w:kern w:val="0"/>
          <w:highlight w:val="none"/>
          <w:lang w:val="en-US" w:eastAsia="zh-CN"/>
        </w:rPr>
        <w:t>4.3-2</w:t>
      </w:r>
      <w:r>
        <w:rPr>
          <w:rFonts w:hint="eastAsia" w:cs="宋体"/>
          <w:color w:val="000000" w:themeColor="text1"/>
          <w:kern w:val="0"/>
          <w:highlight w:val="none"/>
        </w:rPr>
        <w:t>。</w:t>
      </w:r>
    </w:p>
    <w:p w14:paraId="77376197">
      <w:pPr>
        <w:pageBreakBefore w:val="0"/>
        <w:widowControl/>
        <w:wordWrap/>
        <w:topLinePunct w:val="0"/>
        <w:bidi w:val="0"/>
        <w:spacing w:line="360" w:lineRule="auto"/>
        <w:ind w:left="0" w:leftChars="0" w:firstLine="0" w:firstLineChars="0"/>
        <w:jc w:val="center"/>
        <w:rPr>
          <w:b/>
          <w:color w:val="000000" w:themeColor="text1"/>
          <w:highlight w:val="none"/>
          <w:vertAlign w:val="superscript"/>
        </w:rPr>
      </w:pPr>
      <w:r>
        <w:rPr>
          <w:b/>
          <w:color w:val="000000" w:themeColor="text1"/>
          <w:highlight w:val="none"/>
        </w:rPr>
        <w:t>表</w:t>
      </w:r>
      <w:r>
        <w:rPr>
          <w:rFonts w:hint="eastAsia"/>
          <w:b/>
          <w:color w:val="000000" w:themeColor="text1"/>
          <w:highlight w:val="none"/>
          <w:lang w:val="en-US" w:eastAsia="zh-CN"/>
        </w:rPr>
        <w:t xml:space="preserve">4.3-2 </w:t>
      </w:r>
      <w:r>
        <w:rPr>
          <w:b/>
          <w:color w:val="000000" w:themeColor="text1"/>
          <w:highlight w:val="none"/>
        </w:rPr>
        <w:t xml:space="preserve"> </w:t>
      </w:r>
      <w:r>
        <w:rPr>
          <w:rFonts w:hint="eastAsia"/>
          <w:b/>
          <w:color w:val="000000" w:themeColor="text1"/>
          <w:highlight w:val="none"/>
          <w:lang w:val="en-US" w:eastAsia="zh-CN"/>
        </w:rPr>
        <w:t>本</w:t>
      </w:r>
      <w:r>
        <w:rPr>
          <w:rFonts w:hint="eastAsia"/>
          <w:b/>
          <w:color w:val="000000" w:themeColor="text1"/>
          <w:highlight w:val="none"/>
        </w:rPr>
        <w:t xml:space="preserve">项目永久占地情况表  </w:t>
      </w:r>
      <w:r>
        <w:rPr>
          <w:b/>
          <w:color w:val="000000" w:themeColor="text1"/>
          <w:highlight w:val="none"/>
        </w:rPr>
        <w:t>单位：hm</w:t>
      </w:r>
      <w:r>
        <w:rPr>
          <w:b/>
          <w:color w:val="000000" w:themeColor="text1"/>
          <w:highlight w:val="none"/>
          <w:vertAlign w:val="superscript"/>
        </w:rPr>
        <w:t>2</w:t>
      </w:r>
    </w:p>
    <w:tbl>
      <w:tblPr>
        <w:tblStyle w:val="33"/>
        <w:tblW w:w="4998" w:type="pct"/>
        <w:jc w:val="center"/>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Layout w:type="fixed"/>
        <w:tblCellMar>
          <w:top w:w="0" w:type="dxa"/>
          <w:left w:w="108" w:type="dxa"/>
          <w:bottom w:w="0" w:type="dxa"/>
          <w:right w:w="108" w:type="dxa"/>
        </w:tblCellMar>
      </w:tblPr>
      <w:tblGrid>
        <w:gridCol w:w="754"/>
        <w:gridCol w:w="915"/>
        <w:gridCol w:w="735"/>
        <w:gridCol w:w="765"/>
        <w:gridCol w:w="675"/>
        <w:gridCol w:w="720"/>
        <w:gridCol w:w="1080"/>
        <w:gridCol w:w="765"/>
        <w:gridCol w:w="750"/>
        <w:gridCol w:w="645"/>
        <w:gridCol w:w="715"/>
      </w:tblGrid>
      <w:tr w14:paraId="6CF82EAD">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442" w:type="pct"/>
            <w:vMerge w:val="restart"/>
            <w:tcBorders>
              <w:tl2br w:val="nil"/>
              <w:tr2bl w:val="nil"/>
            </w:tcBorders>
            <w:noWrap w:val="0"/>
            <w:vAlign w:val="center"/>
          </w:tcPr>
          <w:p w14:paraId="1E06B1A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rPr>
              <w:t>项目组成及名称</w:t>
            </w:r>
          </w:p>
        </w:tc>
        <w:tc>
          <w:tcPr>
            <w:tcW w:w="537" w:type="pct"/>
            <w:tcBorders>
              <w:right w:val="single" w:color="000000" w:sz="2" w:space="0"/>
              <w:tl2br w:val="nil"/>
              <w:tr2bl w:val="nil"/>
            </w:tcBorders>
            <w:noWrap w:val="0"/>
            <w:vAlign w:val="center"/>
          </w:tcPr>
          <w:p w14:paraId="4D0E756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占地性质</w:t>
            </w:r>
          </w:p>
        </w:tc>
        <w:tc>
          <w:tcPr>
            <w:tcW w:w="3600" w:type="pct"/>
            <w:gridSpan w:val="8"/>
            <w:tcBorders>
              <w:tl2br w:val="nil"/>
              <w:tr2bl w:val="nil"/>
            </w:tcBorders>
            <w:noWrap w:val="0"/>
            <w:vAlign w:val="center"/>
          </w:tcPr>
          <w:p w14:paraId="2494B94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r>
              <w:rPr>
                <w:rFonts w:hint="default" w:ascii="Times New Roman" w:hAnsi="Times New Roman" w:eastAsia="宋体" w:cs="Times New Roman"/>
                <w:color w:val="000000" w:themeColor="text1"/>
                <w:sz w:val="21"/>
                <w:szCs w:val="21"/>
                <w:highlight w:val="none"/>
                <w:lang w:val="en-US"/>
              </w:rPr>
              <w:t>占地类型</w:t>
            </w:r>
          </w:p>
        </w:tc>
        <w:tc>
          <w:tcPr>
            <w:tcW w:w="419" w:type="pct"/>
            <w:tcBorders>
              <w:left w:val="single" w:color="000000" w:sz="2" w:space="0"/>
              <w:tl2br w:val="nil"/>
              <w:tr2bl w:val="nil"/>
            </w:tcBorders>
            <w:noWrap w:val="0"/>
            <w:vAlign w:val="center"/>
          </w:tcPr>
          <w:p w14:paraId="30BF271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r>
      <w:tr w14:paraId="4CA17C13">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442" w:type="pct"/>
            <w:vMerge w:val="continue"/>
            <w:tcBorders>
              <w:tl2br w:val="nil"/>
              <w:tr2bl w:val="nil"/>
            </w:tcBorders>
            <w:noWrap w:val="0"/>
            <w:vAlign w:val="center"/>
          </w:tcPr>
          <w:p w14:paraId="7ABAF59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c>
          <w:tcPr>
            <w:tcW w:w="537" w:type="pct"/>
            <w:vMerge w:val="restart"/>
            <w:tcBorders>
              <w:tl2br w:val="nil"/>
              <w:tr2bl w:val="nil"/>
            </w:tcBorders>
            <w:noWrap w:val="0"/>
            <w:vAlign w:val="center"/>
          </w:tcPr>
          <w:p w14:paraId="67238C0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永久占地</w:t>
            </w:r>
          </w:p>
        </w:tc>
        <w:tc>
          <w:tcPr>
            <w:tcW w:w="880" w:type="pct"/>
            <w:gridSpan w:val="2"/>
            <w:tcBorders>
              <w:tl2br w:val="nil"/>
              <w:tr2bl w:val="nil"/>
            </w:tcBorders>
            <w:noWrap w:val="0"/>
            <w:vAlign w:val="center"/>
          </w:tcPr>
          <w:p w14:paraId="1735208D">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耕地</w:t>
            </w:r>
          </w:p>
        </w:tc>
        <w:tc>
          <w:tcPr>
            <w:tcW w:w="396" w:type="pct"/>
            <w:vMerge w:val="restart"/>
            <w:tcBorders>
              <w:tl2br w:val="nil"/>
              <w:tr2bl w:val="nil"/>
            </w:tcBorders>
            <w:noWrap w:val="0"/>
            <w:vAlign w:val="center"/>
          </w:tcPr>
          <w:p w14:paraId="217F88E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林地</w:t>
            </w:r>
          </w:p>
        </w:tc>
        <w:tc>
          <w:tcPr>
            <w:tcW w:w="422" w:type="pct"/>
            <w:vMerge w:val="restart"/>
            <w:tcBorders>
              <w:tl2br w:val="nil"/>
              <w:tr2bl w:val="nil"/>
            </w:tcBorders>
            <w:noWrap w:val="0"/>
            <w:vAlign w:val="center"/>
          </w:tcPr>
          <w:p w14:paraId="1A62E3E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r>
              <w:rPr>
                <w:rFonts w:hint="eastAsia" w:cs="Times New Roman"/>
                <w:color w:val="000000" w:themeColor="text1"/>
                <w:sz w:val="21"/>
                <w:szCs w:val="21"/>
                <w:highlight w:val="none"/>
                <w:lang w:val="en-US" w:eastAsia="zh-CN"/>
              </w:rPr>
              <w:t>草地</w:t>
            </w:r>
          </w:p>
        </w:tc>
        <w:tc>
          <w:tcPr>
            <w:tcW w:w="633" w:type="pct"/>
            <w:tcBorders>
              <w:tl2br w:val="nil"/>
              <w:tr2bl w:val="nil"/>
            </w:tcBorders>
            <w:noWrap w:val="0"/>
            <w:vAlign w:val="center"/>
          </w:tcPr>
          <w:p w14:paraId="25544C2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交通用地</w:t>
            </w:r>
          </w:p>
        </w:tc>
        <w:tc>
          <w:tcPr>
            <w:tcW w:w="1267" w:type="pct"/>
            <w:gridSpan w:val="3"/>
            <w:tcBorders>
              <w:tl2br w:val="nil"/>
              <w:tr2bl w:val="nil"/>
            </w:tcBorders>
            <w:noWrap w:val="0"/>
            <w:vAlign w:val="center"/>
          </w:tcPr>
          <w:p w14:paraId="2D99E40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color w:val="000000" w:themeColor="text1"/>
                <w:sz w:val="21"/>
                <w:szCs w:val="21"/>
                <w:highlight w:val="none"/>
              </w:rPr>
            </w:pPr>
            <w:r>
              <w:rPr>
                <w:rFonts w:hint="eastAsia"/>
                <w:color w:val="000000" w:themeColor="text1"/>
                <w:sz w:val="21"/>
                <w:szCs w:val="21"/>
                <w:highlight w:val="none"/>
              </w:rPr>
              <w:t>水域</w:t>
            </w:r>
            <w:r>
              <w:rPr>
                <w:rFonts w:hint="eastAsia"/>
                <w:color w:val="000000" w:themeColor="text1"/>
                <w:sz w:val="21"/>
                <w:szCs w:val="21"/>
                <w:highlight w:val="none"/>
                <w:lang w:val="en-US" w:eastAsia="zh-CN"/>
              </w:rPr>
              <w:t>及水利设施用地</w:t>
            </w:r>
          </w:p>
        </w:tc>
        <w:tc>
          <w:tcPr>
            <w:tcW w:w="419" w:type="pct"/>
            <w:vMerge w:val="restart"/>
            <w:tcBorders>
              <w:tl2br w:val="nil"/>
              <w:tr2bl w:val="nil"/>
            </w:tcBorders>
            <w:noWrap w:val="0"/>
            <w:vAlign w:val="center"/>
          </w:tcPr>
          <w:p w14:paraId="3F185B18">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小计</w:t>
            </w:r>
          </w:p>
        </w:tc>
      </w:tr>
      <w:tr w14:paraId="317C5DC4">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442" w:type="pct"/>
            <w:vMerge w:val="continue"/>
            <w:tcBorders>
              <w:tl2br w:val="nil"/>
              <w:tr2bl w:val="nil"/>
            </w:tcBorders>
            <w:noWrap w:val="0"/>
            <w:vAlign w:val="center"/>
          </w:tcPr>
          <w:p w14:paraId="4F118E4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c>
          <w:tcPr>
            <w:tcW w:w="537" w:type="pct"/>
            <w:vMerge w:val="continue"/>
            <w:tcBorders>
              <w:tl2br w:val="nil"/>
              <w:tr2bl w:val="nil"/>
            </w:tcBorders>
            <w:noWrap w:val="0"/>
            <w:vAlign w:val="center"/>
          </w:tcPr>
          <w:p w14:paraId="7BA7359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c>
          <w:tcPr>
            <w:tcW w:w="431" w:type="pct"/>
            <w:tcBorders>
              <w:tl2br w:val="nil"/>
              <w:tr2bl w:val="nil"/>
            </w:tcBorders>
            <w:noWrap w:val="0"/>
            <w:vAlign w:val="center"/>
          </w:tcPr>
          <w:p w14:paraId="56E5732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水田</w:t>
            </w:r>
          </w:p>
        </w:tc>
        <w:tc>
          <w:tcPr>
            <w:tcW w:w="448" w:type="pct"/>
            <w:tcBorders>
              <w:tl2br w:val="nil"/>
              <w:tr2bl w:val="nil"/>
            </w:tcBorders>
            <w:noWrap w:val="0"/>
            <w:vAlign w:val="center"/>
          </w:tcPr>
          <w:p w14:paraId="6CCE296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旱田</w:t>
            </w:r>
          </w:p>
        </w:tc>
        <w:tc>
          <w:tcPr>
            <w:tcW w:w="396" w:type="pct"/>
            <w:vMerge w:val="continue"/>
            <w:tcBorders>
              <w:tl2br w:val="nil"/>
              <w:tr2bl w:val="nil"/>
            </w:tcBorders>
            <w:noWrap w:val="0"/>
            <w:vAlign w:val="center"/>
          </w:tcPr>
          <w:p w14:paraId="3A35673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rPr>
            </w:pPr>
          </w:p>
        </w:tc>
        <w:tc>
          <w:tcPr>
            <w:tcW w:w="422" w:type="pct"/>
            <w:vMerge w:val="continue"/>
            <w:tcBorders>
              <w:tl2br w:val="nil"/>
              <w:tr2bl w:val="nil"/>
            </w:tcBorders>
            <w:noWrap w:val="0"/>
            <w:vAlign w:val="center"/>
          </w:tcPr>
          <w:p w14:paraId="5743F82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c>
          <w:tcPr>
            <w:tcW w:w="633" w:type="pct"/>
            <w:tcBorders>
              <w:tl2br w:val="nil"/>
              <w:tr2bl w:val="nil"/>
            </w:tcBorders>
            <w:noWrap w:val="0"/>
            <w:vAlign w:val="center"/>
          </w:tcPr>
          <w:p w14:paraId="62C3DA42">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农村道路</w:t>
            </w:r>
          </w:p>
        </w:tc>
        <w:tc>
          <w:tcPr>
            <w:tcW w:w="448" w:type="pct"/>
            <w:tcBorders>
              <w:tl2br w:val="nil"/>
              <w:tr2bl w:val="nil"/>
            </w:tcBorders>
            <w:noWrap w:val="0"/>
            <w:vAlign w:val="center"/>
          </w:tcPr>
          <w:p w14:paraId="394C56F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沟渠</w:t>
            </w:r>
          </w:p>
        </w:tc>
        <w:tc>
          <w:tcPr>
            <w:tcW w:w="440" w:type="pct"/>
            <w:tcBorders>
              <w:tl2br w:val="nil"/>
              <w:tr2bl w:val="nil"/>
            </w:tcBorders>
            <w:noWrap w:val="0"/>
            <w:vAlign w:val="center"/>
          </w:tcPr>
          <w:p w14:paraId="5FADF7A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池塘</w:t>
            </w:r>
          </w:p>
        </w:tc>
        <w:tc>
          <w:tcPr>
            <w:tcW w:w="378" w:type="pct"/>
            <w:tcBorders>
              <w:tl2br w:val="nil"/>
              <w:tr2bl w:val="nil"/>
            </w:tcBorders>
            <w:noWrap w:val="0"/>
            <w:vAlign w:val="center"/>
          </w:tcPr>
          <w:p w14:paraId="27CAB37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水域</w:t>
            </w:r>
          </w:p>
        </w:tc>
        <w:tc>
          <w:tcPr>
            <w:tcW w:w="419" w:type="pct"/>
            <w:vMerge w:val="continue"/>
            <w:tcBorders>
              <w:tl2br w:val="nil"/>
              <w:tr2bl w:val="nil"/>
            </w:tcBorders>
            <w:noWrap w:val="0"/>
            <w:vAlign w:val="center"/>
          </w:tcPr>
          <w:p w14:paraId="3C0F0E1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color w:val="000000" w:themeColor="text1"/>
                <w:sz w:val="21"/>
                <w:szCs w:val="21"/>
                <w:highlight w:val="none"/>
              </w:rPr>
            </w:pPr>
          </w:p>
        </w:tc>
      </w:tr>
      <w:tr w14:paraId="2B89EAB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442" w:type="pct"/>
            <w:tcBorders>
              <w:tl2br w:val="nil"/>
              <w:tr2bl w:val="nil"/>
            </w:tcBorders>
            <w:noWrap w:val="0"/>
            <w:vAlign w:val="center"/>
          </w:tcPr>
          <w:p w14:paraId="09FD79B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sz w:val="21"/>
                <w:szCs w:val="21"/>
                <w:highlight w:val="none"/>
                <w:u w:val="none" w:color="000000"/>
                <w:lang w:val="en-US" w:eastAsia="zh-CN" w:bidi="ar-SA"/>
              </w:rPr>
            </w:pPr>
            <w:r>
              <w:rPr>
                <w:rFonts w:hint="eastAsia" w:cs="Times New Roman"/>
                <w:color w:val="000000" w:themeColor="text1"/>
                <w:sz w:val="21"/>
                <w:szCs w:val="21"/>
                <w:highlight w:val="none"/>
                <w:u w:val="none" w:color="000000"/>
                <w:lang w:val="en-US" w:eastAsia="zh-CN" w:bidi="ar-SA"/>
              </w:rPr>
              <w:t>机场进场路</w:t>
            </w:r>
          </w:p>
        </w:tc>
        <w:tc>
          <w:tcPr>
            <w:tcW w:w="537" w:type="pct"/>
            <w:tcBorders>
              <w:tl2br w:val="nil"/>
              <w:tr2bl w:val="nil"/>
            </w:tcBorders>
            <w:noWrap w:val="0"/>
            <w:vAlign w:val="center"/>
          </w:tcPr>
          <w:p w14:paraId="4EC27A17">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19.1083</w:t>
            </w:r>
          </w:p>
        </w:tc>
        <w:tc>
          <w:tcPr>
            <w:tcW w:w="431" w:type="pct"/>
            <w:tcBorders>
              <w:tl2br w:val="nil"/>
              <w:tr2bl w:val="nil"/>
            </w:tcBorders>
            <w:noWrap w:val="0"/>
            <w:vAlign w:val="center"/>
          </w:tcPr>
          <w:p w14:paraId="69CFC52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0.6573</w:t>
            </w:r>
          </w:p>
        </w:tc>
        <w:tc>
          <w:tcPr>
            <w:tcW w:w="448" w:type="pct"/>
            <w:tcBorders>
              <w:tl2br w:val="nil"/>
              <w:tr2bl w:val="nil"/>
            </w:tcBorders>
            <w:noWrap w:val="0"/>
            <w:vAlign w:val="center"/>
          </w:tcPr>
          <w:p w14:paraId="56A94AF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11.364</w:t>
            </w:r>
          </w:p>
        </w:tc>
        <w:tc>
          <w:tcPr>
            <w:tcW w:w="396" w:type="pct"/>
            <w:tcBorders>
              <w:tl2br w:val="nil"/>
              <w:tr2bl w:val="nil"/>
            </w:tcBorders>
            <w:noWrap w:val="0"/>
            <w:vAlign w:val="center"/>
          </w:tcPr>
          <w:p w14:paraId="23A086CE">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4.611</w:t>
            </w:r>
          </w:p>
        </w:tc>
        <w:tc>
          <w:tcPr>
            <w:tcW w:w="422" w:type="pct"/>
            <w:tcBorders>
              <w:tl2br w:val="nil"/>
              <w:tr2bl w:val="nil"/>
            </w:tcBorders>
            <w:noWrap w:val="0"/>
            <w:vAlign w:val="center"/>
          </w:tcPr>
          <w:p w14:paraId="7E7672A3">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0.208</w:t>
            </w:r>
          </w:p>
        </w:tc>
        <w:tc>
          <w:tcPr>
            <w:tcW w:w="633" w:type="pct"/>
            <w:tcBorders>
              <w:tl2br w:val="nil"/>
              <w:tr2bl w:val="nil"/>
            </w:tcBorders>
            <w:noWrap w:val="0"/>
            <w:vAlign w:val="center"/>
          </w:tcPr>
          <w:p w14:paraId="1CF5FFC1">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1.1899</w:t>
            </w:r>
          </w:p>
        </w:tc>
        <w:tc>
          <w:tcPr>
            <w:tcW w:w="448" w:type="pct"/>
            <w:tcBorders>
              <w:tl2br w:val="nil"/>
              <w:tr2bl w:val="nil"/>
            </w:tcBorders>
            <w:noWrap w:val="0"/>
            <w:vAlign w:val="center"/>
          </w:tcPr>
          <w:p w14:paraId="0090BF34">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0.8197</w:t>
            </w:r>
          </w:p>
        </w:tc>
        <w:tc>
          <w:tcPr>
            <w:tcW w:w="440" w:type="pct"/>
            <w:tcBorders>
              <w:tl2br w:val="nil"/>
              <w:tr2bl w:val="nil"/>
            </w:tcBorders>
            <w:noWrap w:val="0"/>
            <w:vAlign w:val="center"/>
          </w:tcPr>
          <w:p w14:paraId="622DDF3A">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0.1645</w:t>
            </w:r>
          </w:p>
        </w:tc>
        <w:tc>
          <w:tcPr>
            <w:tcW w:w="378" w:type="pct"/>
            <w:tcBorders>
              <w:tl2br w:val="nil"/>
              <w:tr2bl w:val="nil"/>
            </w:tcBorders>
            <w:noWrap w:val="0"/>
            <w:vAlign w:val="center"/>
          </w:tcPr>
          <w:p w14:paraId="1157654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0.0939</w:t>
            </w:r>
          </w:p>
        </w:tc>
        <w:tc>
          <w:tcPr>
            <w:tcW w:w="419" w:type="pct"/>
            <w:tcBorders>
              <w:tl2br w:val="nil"/>
              <w:tr2bl w:val="nil"/>
            </w:tcBorders>
            <w:noWrap w:val="0"/>
            <w:vAlign w:val="center"/>
          </w:tcPr>
          <w:p w14:paraId="4EF577AC">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19.1083</w:t>
            </w:r>
          </w:p>
        </w:tc>
      </w:tr>
      <w:tr w14:paraId="47F72B8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425" w:hRule="atLeast"/>
          <w:jc w:val="center"/>
        </w:trPr>
        <w:tc>
          <w:tcPr>
            <w:tcW w:w="442" w:type="pct"/>
            <w:tcBorders>
              <w:tl2br w:val="nil"/>
              <w:tr2bl w:val="nil"/>
            </w:tcBorders>
            <w:noWrap w:val="0"/>
            <w:vAlign w:val="center"/>
          </w:tcPr>
          <w:p w14:paraId="6929064C">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lang w:val="en-US"/>
              </w:rPr>
              <w:t>总计</w:t>
            </w:r>
          </w:p>
        </w:tc>
        <w:tc>
          <w:tcPr>
            <w:tcW w:w="537" w:type="pct"/>
            <w:tcBorders>
              <w:tl2br w:val="nil"/>
              <w:tr2bl w:val="nil"/>
            </w:tcBorders>
            <w:shd w:val="clear" w:color="auto" w:fill="auto"/>
            <w:noWrap w:val="0"/>
            <w:vAlign w:val="center"/>
          </w:tcPr>
          <w:p w14:paraId="2638498E">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19.1083</w:t>
            </w:r>
          </w:p>
        </w:tc>
        <w:tc>
          <w:tcPr>
            <w:tcW w:w="431" w:type="pct"/>
            <w:tcBorders>
              <w:tl2br w:val="nil"/>
              <w:tr2bl w:val="nil"/>
            </w:tcBorders>
            <w:shd w:val="clear" w:color="auto" w:fill="auto"/>
            <w:noWrap w:val="0"/>
            <w:vAlign w:val="center"/>
          </w:tcPr>
          <w:p w14:paraId="6D43906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0.6573</w:t>
            </w:r>
          </w:p>
        </w:tc>
        <w:tc>
          <w:tcPr>
            <w:tcW w:w="448" w:type="pct"/>
            <w:tcBorders>
              <w:tl2br w:val="nil"/>
              <w:tr2bl w:val="nil"/>
            </w:tcBorders>
            <w:shd w:val="clear" w:color="auto" w:fill="auto"/>
            <w:noWrap w:val="0"/>
            <w:vAlign w:val="center"/>
          </w:tcPr>
          <w:p w14:paraId="61EB62B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11.364</w:t>
            </w:r>
          </w:p>
        </w:tc>
        <w:tc>
          <w:tcPr>
            <w:tcW w:w="396" w:type="pct"/>
            <w:tcBorders>
              <w:tl2br w:val="nil"/>
              <w:tr2bl w:val="nil"/>
            </w:tcBorders>
            <w:shd w:val="clear" w:color="auto" w:fill="auto"/>
            <w:noWrap w:val="0"/>
            <w:vAlign w:val="center"/>
          </w:tcPr>
          <w:p w14:paraId="64BAAC1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4.611</w:t>
            </w:r>
          </w:p>
        </w:tc>
        <w:tc>
          <w:tcPr>
            <w:tcW w:w="422" w:type="pct"/>
            <w:tcBorders>
              <w:tl2br w:val="nil"/>
              <w:tr2bl w:val="nil"/>
            </w:tcBorders>
            <w:shd w:val="clear" w:color="auto" w:fill="auto"/>
            <w:noWrap w:val="0"/>
            <w:vAlign w:val="center"/>
          </w:tcPr>
          <w:p w14:paraId="18B78F95">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0.208</w:t>
            </w:r>
          </w:p>
        </w:tc>
        <w:tc>
          <w:tcPr>
            <w:tcW w:w="633" w:type="pct"/>
            <w:tcBorders>
              <w:tl2br w:val="nil"/>
              <w:tr2bl w:val="nil"/>
            </w:tcBorders>
            <w:shd w:val="clear" w:color="auto" w:fill="auto"/>
            <w:noWrap w:val="0"/>
            <w:vAlign w:val="center"/>
          </w:tcPr>
          <w:p w14:paraId="135B3C69">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default"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1.1899</w:t>
            </w:r>
          </w:p>
        </w:tc>
        <w:tc>
          <w:tcPr>
            <w:tcW w:w="448" w:type="pct"/>
            <w:tcBorders>
              <w:tl2br w:val="nil"/>
              <w:tr2bl w:val="nil"/>
            </w:tcBorders>
            <w:shd w:val="clear" w:color="auto" w:fill="auto"/>
            <w:noWrap w:val="0"/>
            <w:vAlign w:val="center"/>
          </w:tcPr>
          <w:p w14:paraId="12C9808D">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0.8197</w:t>
            </w:r>
          </w:p>
        </w:tc>
        <w:tc>
          <w:tcPr>
            <w:tcW w:w="440" w:type="pct"/>
            <w:tcBorders>
              <w:tl2br w:val="nil"/>
              <w:tr2bl w:val="nil"/>
            </w:tcBorders>
            <w:shd w:val="clear" w:color="auto" w:fill="auto"/>
            <w:noWrap w:val="0"/>
            <w:vAlign w:val="center"/>
          </w:tcPr>
          <w:p w14:paraId="591719AB">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0.1645</w:t>
            </w:r>
          </w:p>
        </w:tc>
        <w:tc>
          <w:tcPr>
            <w:tcW w:w="378" w:type="pct"/>
            <w:tcBorders>
              <w:tl2br w:val="nil"/>
              <w:tr2bl w:val="nil"/>
            </w:tcBorders>
            <w:shd w:val="clear" w:color="auto" w:fill="auto"/>
            <w:noWrap w:val="0"/>
            <w:vAlign w:val="center"/>
          </w:tcPr>
          <w:p w14:paraId="20AF48B2">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0.0939</w:t>
            </w:r>
          </w:p>
        </w:tc>
        <w:tc>
          <w:tcPr>
            <w:tcW w:w="419" w:type="pct"/>
            <w:tcBorders>
              <w:tl2br w:val="nil"/>
              <w:tr2bl w:val="nil"/>
            </w:tcBorders>
            <w:shd w:val="clear" w:color="auto" w:fill="auto"/>
            <w:noWrap w:val="0"/>
            <w:vAlign w:val="center"/>
          </w:tcPr>
          <w:p w14:paraId="7BC29653">
            <w:pPr>
              <w:pStyle w:val="131"/>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color w:val="000000" w:themeColor="text1"/>
                <w:kern w:val="2"/>
                <w:sz w:val="21"/>
                <w:szCs w:val="21"/>
                <w:highlight w:val="none"/>
                <w:lang w:val="en-US" w:eastAsia="zh-CN" w:bidi="ar-SA"/>
              </w:rPr>
            </w:pPr>
            <w:r>
              <w:rPr>
                <w:rFonts w:hint="eastAsia" w:cs="Times New Roman"/>
                <w:color w:val="000000" w:themeColor="text1"/>
                <w:sz w:val="21"/>
                <w:szCs w:val="21"/>
                <w:highlight w:val="none"/>
                <w:lang w:val="en-US" w:eastAsia="zh-CN"/>
              </w:rPr>
              <w:t>19.1083</w:t>
            </w:r>
          </w:p>
        </w:tc>
      </w:tr>
    </w:tbl>
    <w:p w14:paraId="6A8F89BE">
      <w:pPr>
        <w:pageBreakBefore w:val="0"/>
        <w:wordWrap/>
        <w:topLinePunct w:val="0"/>
        <w:bidi w:val="0"/>
        <w:spacing w:line="360" w:lineRule="auto"/>
        <w:rPr>
          <w:rFonts w:hint="default" w:ascii="Times New Roman" w:hAnsi="Times New Roman" w:cs="Times New Roman"/>
          <w:snapToGrid w:val="0"/>
          <w:color w:val="000000" w:themeColor="text1"/>
          <w:highlight w:val="none"/>
          <w:lang w:val="en-US" w:eastAsia="zh-CN"/>
        </w:rPr>
      </w:pPr>
      <w:r>
        <w:rPr>
          <w:rFonts w:hint="eastAsia" w:ascii="Times New Roman" w:hAnsi="Times New Roman" w:cs="Times New Roman"/>
          <w:snapToGrid w:val="0"/>
          <w:color w:val="000000" w:themeColor="text1"/>
          <w:highlight w:val="none"/>
          <w:lang w:val="en-US" w:eastAsia="zh-CN"/>
        </w:rPr>
        <w:t>（3）永久基本农田</w:t>
      </w:r>
    </w:p>
    <w:p w14:paraId="38E7B406">
      <w:pPr>
        <w:pageBreakBefore w:val="0"/>
        <w:wordWrap/>
        <w:topLinePunct w:val="0"/>
        <w:bidi w:val="0"/>
        <w:spacing w:line="360" w:lineRule="auto"/>
        <w:rPr>
          <w:rFonts w:hint="eastAsia" w:ascii="Times New Roman" w:hAnsi="Times New Roman" w:cs="Times New Roman"/>
          <w:snapToGrid w:val="0"/>
          <w:color w:val="000000" w:themeColor="text1"/>
          <w:highlight w:val="none"/>
          <w:vertAlign w:val="baseline"/>
          <w:lang w:val="en-US" w:eastAsia="zh-CN"/>
        </w:rPr>
      </w:pPr>
      <w:r>
        <w:rPr>
          <w:rFonts w:hint="eastAsia" w:ascii="Times New Roman" w:hAnsi="Times New Roman" w:cs="Times New Roman"/>
          <w:snapToGrid w:val="0"/>
          <w:color w:val="000000" w:themeColor="text1"/>
          <w:highlight w:val="none"/>
        </w:rPr>
        <w:t>本项目</w:t>
      </w:r>
      <w:r>
        <w:rPr>
          <w:rFonts w:hint="eastAsia" w:ascii="Times New Roman" w:hAnsi="Times New Roman" w:cs="Times New Roman"/>
          <w:snapToGrid w:val="0"/>
          <w:color w:val="000000" w:themeColor="text1"/>
          <w:highlight w:val="none"/>
          <w:lang w:val="en-US" w:eastAsia="zh-CN"/>
        </w:rPr>
        <w:t>全线位于鹤岗市东山区境内，永久占地</w:t>
      </w:r>
      <w:r>
        <w:rPr>
          <w:rFonts w:hint="eastAsia"/>
          <w:color w:val="000000" w:themeColor="text1"/>
          <w:highlight w:val="none"/>
          <w:lang w:val="en-US" w:eastAsia="zh-CN"/>
        </w:rPr>
        <w:t>所占耕地均为永久基本农田，合计12.0213hm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p>
    <w:p w14:paraId="0AF48287">
      <w:pPr>
        <w:pageBreakBefore w:val="0"/>
        <w:wordWrap/>
        <w:topLinePunct w:val="0"/>
        <w:bidi w:val="0"/>
        <w:spacing w:line="360" w:lineRule="auto"/>
        <w:rPr>
          <w:rFonts w:ascii="Times New Roman" w:hAnsi="Times New Roman" w:cs="Times New Roman"/>
          <w:snapToGrid w:val="0"/>
          <w:color w:val="000000" w:themeColor="text1"/>
          <w:highlight w:val="none"/>
        </w:rPr>
      </w:pPr>
      <w:r>
        <w:rPr>
          <w:rFonts w:hint="eastAsia"/>
          <w:color w:val="000000" w:themeColor="text1"/>
          <w:highlight w:val="none"/>
          <w:lang w:val="en-US" w:eastAsia="zh-CN"/>
        </w:rPr>
        <w:t>根据</w:t>
      </w:r>
      <w:r>
        <w:rPr>
          <w:rFonts w:hint="eastAsia"/>
          <w:color w:val="000000" w:themeColor="text1"/>
          <w:highlight w:val="none"/>
        </w:rPr>
        <w:t>《自然资源部办公厅关于新建黑龙江鹤岗机场项目建设用地预审意见的函</w:t>
      </w:r>
      <w:r>
        <w:rPr>
          <w:rFonts w:hint="eastAsia"/>
          <w:color w:val="000000" w:themeColor="text1"/>
          <w:highlight w:val="none"/>
          <w:lang w:eastAsia="zh-CN"/>
        </w:rPr>
        <w:t>》</w:t>
      </w:r>
      <w:r>
        <w:rPr>
          <w:rFonts w:hint="eastAsia"/>
          <w:color w:val="000000" w:themeColor="text1"/>
          <w:highlight w:val="none"/>
        </w:rPr>
        <w:t>（自然资办函〔202</w:t>
      </w:r>
      <w:r>
        <w:rPr>
          <w:rFonts w:hint="eastAsia"/>
          <w:color w:val="000000" w:themeColor="text1"/>
          <w:highlight w:val="none"/>
          <w:lang w:val="en-US" w:eastAsia="zh-CN"/>
        </w:rPr>
        <w:t>3</w:t>
      </w:r>
      <w:r>
        <w:rPr>
          <w:rFonts w:hint="eastAsia"/>
          <w:color w:val="000000" w:themeColor="text1"/>
          <w:highlight w:val="none"/>
        </w:rPr>
        <w:t>〕1655号）</w:t>
      </w:r>
      <w:r>
        <w:rPr>
          <w:rFonts w:hint="eastAsia"/>
          <w:color w:val="000000" w:themeColor="text1"/>
          <w:highlight w:val="none"/>
          <w:lang w:val="en-US" w:eastAsia="zh-CN"/>
        </w:rPr>
        <w:t>及机场环评</w:t>
      </w:r>
      <w:r>
        <w:rPr>
          <w:rFonts w:hint="eastAsia"/>
          <w:color w:val="000000" w:themeColor="text1"/>
          <w:highlight w:val="none"/>
          <w:lang w:eastAsia="zh-CN"/>
        </w:rPr>
        <w:t>，</w:t>
      </w:r>
      <w:r>
        <w:rPr>
          <w:rFonts w:hint="eastAsia"/>
          <w:color w:val="000000" w:themeColor="text1"/>
          <w:highlight w:val="none"/>
          <w:lang w:val="en-US" w:eastAsia="zh-CN"/>
        </w:rPr>
        <w:t>新建黑龙江鹤岗机场项目共占用永久基本农田31.64公顷，其中进场道路占用永久基本农田9.9014公顷</w:t>
      </w:r>
      <w:r>
        <w:rPr>
          <w:rFonts w:hint="eastAsia"/>
          <w:color w:val="000000" w:themeColor="text1"/>
          <w:highlight w:val="none"/>
          <w:lang w:eastAsia="zh-CN"/>
        </w:rPr>
        <w:t>。</w:t>
      </w:r>
      <w:r>
        <w:rPr>
          <w:rFonts w:hint="eastAsia"/>
          <w:color w:val="000000" w:themeColor="text1"/>
          <w:highlight w:val="none"/>
          <w:lang w:val="en-US" w:eastAsia="zh-CN"/>
        </w:rPr>
        <w:t>在项目施工图设计过程中，根据实际情况，核算出用地面积约为191083m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其中永久基本农田120213m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），项目新增永久基本农田21199m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，征占手续正在办理中。</w:t>
      </w:r>
    </w:p>
    <w:p w14:paraId="7F87FA75">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4.3.1</w:t>
      </w:r>
      <w:r>
        <w:rPr>
          <w:rFonts w:hint="eastAsia"/>
          <w:color w:val="000000" w:themeColor="text1"/>
          <w:highlight w:val="none"/>
          <w:lang w:val="en-US" w:eastAsia="zh-CN"/>
        </w:rPr>
        <w:t>.2</w:t>
      </w:r>
      <w:r>
        <w:rPr>
          <w:color w:val="000000" w:themeColor="text1"/>
          <w:highlight w:val="none"/>
        </w:rPr>
        <w:t>土壤</w:t>
      </w:r>
      <w:r>
        <w:rPr>
          <w:rFonts w:hint="eastAsia"/>
          <w:color w:val="000000" w:themeColor="text1"/>
          <w:highlight w:val="none"/>
          <w:lang w:val="en-US" w:eastAsia="zh-CN"/>
        </w:rPr>
        <w:t>现状</w:t>
      </w:r>
    </w:p>
    <w:p w14:paraId="15A1CE1B">
      <w:pPr>
        <w:pageBreakBefore w:val="0"/>
        <w:wordWrap/>
        <w:topLinePunct w:val="0"/>
        <w:bidi w:val="0"/>
        <w:spacing w:line="360" w:lineRule="auto"/>
        <w:rPr>
          <w:color w:val="000000" w:themeColor="text1"/>
          <w:highlight w:val="none"/>
        </w:rPr>
      </w:pPr>
      <w:r>
        <w:rPr>
          <w:color w:val="000000" w:themeColor="text1"/>
          <w:highlight w:val="none"/>
        </w:rPr>
        <w:t>根据所收集现状资料，本项目沿线评价区土壤主要类型为</w:t>
      </w:r>
      <w:r>
        <w:rPr>
          <w:rFonts w:hint="eastAsia"/>
          <w:color w:val="000000" w:themeColor="text1"/>
          <w:highlight w:val="none"/>
        </w:rPr>
        <w:t>潜育水稻土</w:t>
      </w:r>
      <w:r>
        <w:rPr>
          <w:color w:val="000000" w:themeColor="text1"/>
          <w:highlight w:val="none"/>
        </w:rPr>
        <w:t>、</w:t>
      </w:r>
      <w:r>
        <w:rPr>
          <w:rFonts w:hint="eastAsia"/>
          <w:color w:val="000000" w:themeColor="text1"/>
          <w:highlight w:val="none"/>
        </w:rPr>
        <w:t>草甸土、黑土、草甸暗棕壤、潜育草甸土、暗棕壤、草甸</w:t>
      </w:r>
      <w:r>
        <w:rPr>
          <w:color w:val="000000" w:themeColor="text1"/>
          <w:highlight w:val="none"/>
        </w:rPr>
        <w:t>黑土</w:t>
      </w:r>
      <w:r>
        <w:rPr>
          <w:rFonts w:hint="eastAsia"/>
          <w:color w:val="000000" w:themeColor="text1"/>
          <w:highlight w:val="none"/>
        </w:rPr>
        <w:t>、草甸沼泽</w:t>
      </w:r>
      <w:r>
        <w:rPr>
          <w:color w:val="000000" w:themeColor="text1"/>
          <w:highlight w:val="none"/>
        </w:rPr>
        <w:t>土等，土壤有机质含量较高。</w:t>
      </w:r>
    </w:p>
    <w:p w14:paraId="49148907">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4.3.1</w:t>
      </w:r>
      <w:r>
        <w:rPr>
          <w:rFonts w:hint="eastAsia"/>
          <w:color w:val="000000" w:themeColor="text1"/>
          <w:highlight w:val="none"/>
          <w:lang w:val="en-US" w:eastAsia="zh-CN"/>
        </w:rPr>
        <w:t>.3水土流失现状</w:t>
      </w:r>
    </w:p>
    <w:p w14:paraId="5536CB3D">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根据《黑龙江省水土保持规划（2015~2030年）》和《鹤岗市辖区水土保持规划（2019~2030年）》</w:t>
      </w:r>
      <w:r>
        <w:rPr>
          <w:rFonts w:hint="eastAsia"/>
          <w:color w:val="000000" w:themeColor="text1"/>
          <w:highlight w:val="none"/>
        </w:rPr>
        <w:t>，项目</w:t>
      </w:r>
      <w:r>
        <w:rPr>
          <w:rFonts w:hint="eastAsia"/>
          <w:color w:val="000000" w:themeColor="text1"/>
          <w:highlight w:val="none"/>
          <w:lang w:val="en-US" w:eastAsia="zh-CN"/>
        </w:rPr>
        <w:t>区</w:t>
      </w:r>
      <w:r>
        <w:rPr>
          <w:rFonts w:hint="eastAsia"/>
          <w:color w:val="000000" w:themeColor="text1"/>
          <w:highlight w:val="none"/>
        </w:rPr>
        <w:t>属于</w:t>
      </w:r>
      <w:r>
        <w:rPr>
          <w:rFonts w:hint="eastAsia"/>
          <w:color w:val="000000" w:themeColor="text1"/>
          <w:highlight w:val="none"/>
          <w:lang w:val="en-US" w:eastAsia="zh-CN"/>
        </w:rPr>
        <w:t>东北漫川漫岗省级水土流失重点治理区和鹤岗市水土流失重点预防区</w:t>
      </w:r>
      <w:r>
        <w:rPr>
          <w:rFonts w:hint="eastAsia"/>
          <w:color w:val="000000" w:themeColor="text1"/>
          <w:highlight w:val="none"/>
          <w:lang w:eastAsia="zh-CN"/>
        </w:rPr>
        <w:t>。</w:t>
      </w:r>
      <w:r>
        <w:rPr>
          <w:rFonts w:hint="eastAsia"/>
          <w:color w:val="000000" w:themeColor="text1"/>
          <w:highlight w:val="none"/>
        </w:rPr>
        <w:t>项目建设区不处于重要河流、湖泊一级</w:t>
      </w:r>
      <w:r>
        <w:rPr>
          <w:rFonts w:hint="eastAsia"/>
          <w:color w:val="000000" w:themeColor="text1"/>
          <w:highlight w:val="none"/>
          <w:lang w:val="en-US" w:eastAsia="zh-CN"/>
        </w:rPr>
        <w:t>跨省</w:t>
      </w:r>
      <w:r>
        <w:rPr>
          <w:rFonts w:hint="eastAsia"/>
          <w:color w:val="000000" w:themeColor="text1"/>
          <w:highlight w:val="none"/>
        </w:rPr>
        <w:t>（自治区、直辖市）的其他江河、湖泊的水功能一级区和保留区，也不涉及全国水土保持监测网络中的水土保持监测站点和水土保持长期定位观测站，也不涉及自然保护区、森林地质公园、重要湿地。</w:t>
      </w:r>
    </w:p>
    <w:p w14:paraId="0574589A">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根据《黑龙江省水土保持公报（202</w:t>
      </w:r>
      <w:r>
        <w:rPr>
          <w:rFonts w:hint="eastAsia"/>
          <w:color w:val="000000" w:themeColor="text1"/>
          <w:highlight w:val="none"/>
          <w:lang w:val="en-US" w:eastAsia="zh-CN"/>
        </w:rPr>
        <w:t>1</w:t>
      </w:r>
      <w:r>
        <w:rPr>
          <w:rFonts w:hint="eastAsia"/>
          <w:color w:val="000000" w:themeColor="text1"/>
          <w:highlight w:val="none"/>
        </w:rPr>
        <w:t>年）》</w:t>
      </w:r>
      <w:r>
        <w:rPr>
          <w:rFonts w:hint="eastAsia"/>
          <w:color w:val="000000" w:themeColor="text1"/>
          <w:highlight w:val="none"/>
          <w:lang w:eastAsia="zh-CN"/>
        </w:rPr>
        <w:t>，</w:t>
      </w:r>
      <w:r>
        <w:rPr>
          <w:rFonts w:hint="eastAsia"/>
          <w:color w:val="000000" w:themeColor="text1"/>
          <w:highlight w:val="none"/>
        </w:rPr>
        <w:t>项目区土壤侵蚀强度见表4</w:t>
      </w:r>
      <w:r>
        <w:rPr>
          <w:rFonts w:hint="eastAsia"/>
          <w:color w:val="000000" w:themeColor="text1"/>
          <w:highlight w:val="none"/>
          <w:lang w:val="en-US" w:eastAsia="zh-CN"/>
        </w:rPr>
        <w:t>.3-3</w:t>
      </w:r>
      <w:r>
        <w:rPr>
          <w:rFonts w:hint="eastAsia"/>
          <w:color w:val="000000" w:themeColor="text1"/>
          <w:highlight w:val="none"/>
        </w:rPr>
        <w:t>。</w:t>
      </w:r>
    </w:p>
    <w:p w14:paraId="618039EF">
      <w:pPr>
        <w:pageBreakBefore w:val="0"/>
        <w:wordWrap/>
        <w:topLinePunct w:val="0"/>
        <w:bidi w:val="0"/>
        <w:spacing w:line="360" w:lineRule="auto"/>
        <w:ind w:left="0" w:leftChars="0" w:firstLine="0" w:firstLineChars="0"/>
        <w:jc w:val="center"/>
        <w:rPr>
          <w:rFonts w:hint="eastAsia"/>
          <w:b/>
          <w:color w:val="000000" w:themeColor="text1"/>
          <w:highlight w:val="none"/>
        </w:rPr>
      </w:pPr>
      <w:r>
        <w:rPr>
          <w:b/>
          <w:color w:val="000000" w:themeColor="text1"/>
          <w:highlight w:val="none"/>
        </w:rPr>
        <w:t>表</w:t>
      </w:r>
      <w:r>
        <w:rPr>
          <w:rFonts w:hint="eastAsia"/>
          <w:b/>
          <w:color w:val="000000" w:themeColor="text1"/>
          <w:highlight w:val="none"/>
          <w:lang w:val="en-US" w:eastAsia="zh-CN"/>
        </w:rPr>
        <w:t>4.3-3</w:t>
      </w:r>
      <w:r>
        <w:rPr>
          <w:b/>
          <w:color w:val="000000" w:themeColor="text1"/>
          <w:highlight w:val="none"/>
        </w:rPr>
        <w:t xml:space="preserve"> </w:t>
      </w:r>
      <w:r>
        <w:rPr>
          <w:rFonts w:hint="eastAsia"/>
          <w:b/>
          <w:color w:val="000000" w:themeColor="text1"/>
          <w:highlight w:val="none"/>
          <w:lang w:val="en-US" w:eastAsia="zh-CN"/>
        </w:rPr>
        <w:t>项目区水土流失现状表</w:t>
      </w:r>
    </w:p>
    <w:tbl>
      <w:tblPr>
        <w:tblStyle w:val="34"/>
        <w:tblW w:w="8612" w:type="dxa"/>
        <w:jc w:val="center"/>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Layout w:type="fixed"/>
        <w:tblCellMar>
          <w:top w:w="0" w:type="dxa"/>
          <w:left w:w="108" w:type="dxa"/>
          <w:bottom w:w="0" w:type="dxa"/>
          <w:right w:w="108" w:type="dxa"/>
        </w:tblCellMar>
      </w:tblPr>
      <w:tblGrid>
        <w:gridCol w:w="537"/>
        <w:gridCol w:w="1112"/>
        <w:gridCol w:w="1035"/>
        <w:gridCol w:w="1035"/>
        <w:gridCol w:w="1035"/>
        <w:gridCol w:w="1035"/>
        <w:gridCol w:w="1035"/>
        <w:gridCol w:w="1788"/>
      </w:tblGrid>
      <w:tr w14:paraId="6095EF60">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37" w:type="dxa"/>
            <w:vMerge w:val="restart"/>
            <w:tcBorders>
              <w:tl2br w:val="nil"/>
              <w:tr2bl w:val="nil"/>
            </w:tcBorders>
            <w:vAlign w:val="center"/>
          </w:tcPr>
          <w:p w14:paraId="3675CCE7">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序号</w:t>
            </w:r>
          </w:p>
        </w:tc>
        <w:tc>
          <w:tcPr>
            <w:tcW w:w="1112" w:type="dxa"/>
            <w:vMerge w:val="restart"/>
            <w:tcBorders>
              <w:tl2br w:val="nil"/>
              <w:tr2bl w:val="nil"/>
            </w:tcBorders>
            <w:vAlign w:val="center"/>
          </w:tcPr>
          <w:p w14:paraId="1E6CA17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行政区</w:t>
            </w:r>
          </w:p>
        </w:tc>
        <w:tc>
          <w:tcPr>
            <w:tcW w:w="5175" w:type="dxa"/>
            <w:gridSpan w:val="5"/>
            <w:tcBorders>
              <w:tl2br w:val="nil"/>
              <w:tr2bl w:val="nil"/>
            </w:tcBorders>
            <w:vAlign w:val="center"/>
          </w:tcPr>
          <w:p w14:paraId="633C322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水土流失面积（km</w:t>
            </w:r>
            <w:r>
              <w:rPr>
                <w:rFonts w:hint="default" w:ascii="Times New Roman" w:hAnsi="Times New Roman" w:eastAsia="宋体" w:cs="Times New Roman"/>
                <w:color w:val="000000" w:themeColor="text1"/>
                <w:sz w:val="21"/>
                <w:szCs w:val="21"/>
                <w:highlight w:val="none"/>
                <w:vertAlign w:val="superscript"/>
                <w:lang w:val="en-US" w:eastAsia="zh-CN"/>
              </w:rPr>
              <w:t>2</w:t>
            </w:r>
            <w:r>
              <w:rPr>
                <w:rFonts w:hint="default" w:ascii="Times New Roman" w:hAnsi="Times New Roman" w:eastAsia="宋体" w:cs="Times New Roman"/>
                <w:color w:val="000000" w:themeColor="text1"/>
                <w:sz w:val="21"/>
                <w:szCs w:val="21"/>
                <w:highlight w:val="none"/>
                <w:lang w:val="en-US" w:eastAsia="zh-CN"/>
              </w:rPr>
              <w:t>）</w:t>
            </w:r>
          </w:p>
        </w:tc>
        <w:tc>
          <w:tcPr>
            <w:tcW w:w="1788" w:type="dxa"/>
            <w:vMerge w:val="restart"/>
            <w:tcBorders>
              <w:tl2br w:val="nil"/>
              <w:tr2bl w:val="nil"/>
            </w:tcBorders>
            <w:vAlign w:val="center"/>
          </w:tcPr>
          <w:p w14:paraId="47BD5427">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水土流失</w:t>
            </w:r>
          </w:p>
          <w:p w14:paraId="13CD590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总面积（km</w:t>
            </w:r>
            <w:r>
              <w:rPr>
                <w:rFonts w:hint="default" w:ascii="Times New Roman" w:hAnsi="Times New Roman" w:eastAsia="宋体" w:cs="Times New Roman"/>
                <w:color w:val="000000" w:themeColor="text1"/>
                <w:sz w:val="21"/>
                <w:szCs w:val="21"/>
                <w:highlight w:val="none"/>
                <w:vertAlign w:val="superscript"/>
                <w:lang w:val="en-US" w:eastAsia="zh-CN"/>
              </w:rPr>
              <w:t>2</w:t>
            </w:r>
            <w:r>
              <w:rPr>
                <w:rFonts w:hint="default" w:ascii="Times New Roman" w:hAnsi="Times New Roman" w:eastAsia="宋体" w:cs="Times New Roman"/>
                <w:color w:val="000000" w:themeColor="text1"/>
                <w:sz w:val="21"/>
                <w:szCs w:val="21"/>
                <w:highlight w:val="none"/>
                <w:lang w:val="en-US" w:eastAsia="zh-CN"/>
              </w:rPr>
              <w:t>）</w:t>
            </w:r>
          </w:p>
        </w:tc>
      </w:tr>
      <w:tr w14:paraId="3E69CD2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37" w:type="dxa"/>
            <w:vMerge w:val="continue"/>
            <w:tcBorders>
              <w:tl2br w:val="nil"/>
              <w:tr2bl w:val="nil"/>
            </w:tcBorders>
            <w:vAlign w:val="center"/>
          </w:tcPr>
          <w:p w14:paraId="46AA9A8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p>
        </w:tc>
        <w:tc>
          <w:tcPr>
            <w:tcW w:w="1112" w:type="dxa"/>
            <w:vMerge w:val="continue"/>
            <w:tcBorders>
              <w:tl2br w:val="nil"/>
              <w:tr2bl w:val="nil"/>
            </w:tcBorders>
            <w:vAlign w:val="center"/>
          </w:tcPr>
          <w:p w14:paraId="008A1979">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p>
        </w:tc>
        <w:tc>
          <w:tcPr>
            <w:tcW w:w="1035" w:type="dxa"/>
            <w:tcBorders>
              <w:tl2br w:val="nil"/>
              <w:tr2bl w:val="nil"/>
            </w:tcBorders>
            <w:vAlign w:val="center"/>
          </w:tcPr>
          <w:p w14:paraId="0718DAA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轻度</w:t>
            </w:r>
          </w:p>
        </w:tc>
        <w:tc>
          <w:tcPr>
            <w:tcW w:w="1035" w:type="dxa"/>
            <w:tcBorders>
              <w:tl2br w:val="nil"/>
              <w:tr2bl w:val="nil"/>
            </w:tcBorders>
            <w:vAlign w:val="center"/>
          </w:tcPr>
          <w:p w14:paraId="6DE15DD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中度</w:t>
            </w:r>
          </w:p>
        </w:tc>
        <w:tc>
          <w:tcPr>
            <w:tcW w:w="1035" w:type="dxa"/>
            <w:tcBorders>
              <w:tl2br w:val="nil"/>
              <w:tr2bl w:val="nil"/>
            </w:tcBorders>
            <w:vAlign w:val="center"/>
          </w:tcPr>
          <w:p w14:paraId="4B83CF63">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强烈</w:t>
            </w:r>
          </w:p>
        </w:tc>
        <w:tc>
          <w:tcPr>
            <w:tcW w:w="1035" w:type="dxa"/>
            <w:tcBorders>
              <w:tl2br w:val="nil"/>
              <w:tr2bl w:val="nil"/>
            </w:tcBorders>
            <w:vAlign w:val="center"/>
          </w:tcPr>
          <w:p w14:paraId="62CE995D">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极强烈</w:t>
            </w:r>
          </w:p>
        </w:tc>
        <w:tc>
          <w:tcPr>
            <w:tcW w:w="1035" w:type="dxa"/>
            <w:tcBorders>
              <w:tl2br w:val="nil"/>
              <w:tr2bl w:val="nil"/>
            </w:tcBorders>
            <w:vAlign w:val="center"/>
          </w:tcPr>
          <w:p w14:paraId="2F7EBB54">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剧烈</w:t>
            </w:r>
          </w:p>
        </w:tc>
        <w:tc>
          <w:tcPr>
            <w:tcW w:w="1788" w:type="dxa"/>
            <w:vMerge w:val="continue"/>
            <w:tcBorders>
              <w:tl2br w:val="nil"/>
              <w:tr2bl w:val="nil"/>
            </w:tcBorders>
            <w:vAlign w:val="center"/>
          </w:tcPr>
          <w:p w14:paraId="00870735">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rPr>
            </w:pPr>
          </w:p>
        </w:tc>
      </w:tr>
      <w:tr w14:paraId="39E880F6">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37" w:type="dxa"/>
            <w:tcBorders>
              <w:tl2br w:val="nil"/>
              <w:tr2bl w:val="nil"/>
            </w:tcBorders>
            <w:vAlign w:val="center"/>
          </w:tcPr>
          <w:p w14:paraId="6E187FF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1</w:t>
            </w:r>
          </w:p>
        </w:tc>
        <w:tc>
          <w:tcPr>
            <w:tcW w:w="1112" w:type="dxa"/>
            <w:tcBorders>
              <w:tl2br w:val="nil"/>
              <w:tr2bl w:val="nil"/>
            </w:tcBorders>
            <w:vAlign w:val="center"/>
          </w:tcPr>
          <w:p w14:paraId="4B35464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鹤岗市</w:t>
            </w:r>
          </w:p>
          <w:p w14:paraId="040BB04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辖区</w:t>
            </w:r>
          </w:p>
        </w:tc>
        <w:tc>
          <w:tcPr>
            <w:tcW w:w="1035" w:type="dxa"/>
            <w:tcBorders>
              <w:tl2br w:val="nil"/>
              <w:tr2bl w:val="nil"/>
            </w:tcBorders>
            <w:vAlign w:val="center"/>
          </w:tcPr>
          <w:p w14:paraId="6DAB470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229.60</w:t>
            </w:r>
          </w:p>
        </w:tc>
        <w:tc>
          <w:tcPr>
            <w:tcW w:w="1035" w:type="dxa"/>
            <w:tcBorders>
              <w:tl2br w:val="nil"/>
              <w:tr2bl w:val="nil"/>
            </w:tcBorders>
            <w:vAlign w:val="center"/>
          </w:tcPr>
          <w:p w14:paraId="189B6C3A">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69.72</w:t>
            </w:r>
          </w:p>
        </w:tc>
        <w:tc>
          <w:tcPr>
            <w:tcW w:w="1035" w:type="dxa"/>
            <w:tcBorders>
              <w:tl2br w:val="nil"/>
              <w:tr2bl w:val="nil"/>
            </w:tcBorders>
            <w:vAlign w:val="center"/>
          </w:tcPr>
          <w:p w14:paraId="02987590">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33.21</w:t>
            </w:r>
          </w:p>
        </w:tc>
        <w:tc>
          <w:tcPr>
            <w:tcW w:w="1035" w:type="dxa"/>
            <w:tcBorders>
              <w:tl2br w:val="nil"/>
              <w:tr2bl w:val="nil"/>
            </w:tcBorders>
            <w:vAlign w:val="center"/>
          </w:tcPr>
          <w:p w14:paraId="1B6DFB11">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12.82</w:t>
            </w:r>
          </w:p>
        </w:tc>
        <w:tc>
          <w:tcPr>
            <w:tcW w:w="1035" w:type="dxa"/>
            <w:tcBorders>
              <w:tl2br w:val="nil"/>
              <w:tr2bl w:val="nil"/>
            </w:tcBorders>
            <w:vAlign w:val="center"/>
          </w:tcPr>
          <w:p w14:paraId="3983CA5F">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0.51</w:t>
            </w:r>
          </w:p>
        </w:tc>
        <w:tc>
          <w:tcPr>
            <w:tcW w:w="1788" w:type="dxa"/>
            <w:tcBorders>
              <w:tl2br w:val="nil"/>
              <w:tr2bl w:val="nil"/>
            </w:tcBorders>
            <w:vAlign w:val="center"/>
          </w:tcPr>
          <w:p w14:paraId="34DD9C36">
            <w:pPr>
              <w:pStyle w:val="131"/>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sz w:val="21"/>
                <w:szCs w:val="21"/>
                <w:highlight w:val="none"/>
                <w:u w:color="000000"/>
                <w:lang w:val="en-US" w:eastAsia="zh-CN" w:bidi="ar-SA"/>
              </w:rPr>
            </w:pPr>
            <w:r>
              <w:rPr>
                <w:rFonts w:hint="default" w:ascii="Times New Roman" w:hAnsi="Times New Roman" w:eastAsia="宋体" w:cs="Times New Roman"/>
                <w:color w:val="000000" w:themeColor="text1"/>
                <w:sz w:val="21"/>
                <w:szCs w:val="21"/>
                <w:highlight w:val="none"/>
                <w:lang w:val="en-US" w:eastAsia="zh-CN"/>
              </w:rPr>
              <w:t>345.86</w:t>
            </w:r>
          </w:p>
        </w:tc>
      </w:tr>
    </w:tbl>
    <w:p w14:paraId="35B67FF8">
      <w:pPr>
        <w:pageBreakBefore w:val="0"/>
        <w:wordWrap/>
        <w:topLinePunct w:val="0"/>
        <w:bidi w:val="0"/>
        <w:spacing w:line="360" w:lineRule="auto"/>
        <w:rPr>
          <w:rFonts w:hint="eastAsia" w:eastAsia="宋体"/>
          <w:color w:val="000000" w:themeColor="text1"/>
          <w:highlight w:val="none"/>
          <w:lang w:val="en-US" w:eastAsia="zh-CN"/>
        </w:rPr>
      </w:pPr>
      <w:r>
        <w:rPr>
          <w:rFonts w:hint="eastAsia"/>
          <w:color w:val="000000" w:themeColor="text1"/>
          <w:highlight w:val="none"/>
        </w:rPr>
        <w:t>项目区属</w:t>
      </w:r>
      <w:r>
        <w:rPr>
          <w:rFonts w:hint="eastAsia"/>
          <w:color w:val="000000" w:themeColor="text1"/>
          <w:highlight w:val="none"/>
          <w:lang w:val="en-US" w:eastAsia="zh-CN"/>
        </w:rPr>
        <w:t>轻度</w:t>
      </w:r>
      <w:r>
        <w:rPr>
          <w:rFonts w:hint="eastAsia"/>
          <w:color w:val="000000" w:themeColor="text1"/>
          <w:highlight w:val="none"/>
        </w:rPr>
        <w:t>水力侵蚀区，</w:t>
      </w:r>
      <w:r>
        <w:rPr>
          <w:rFonts w:hint="eastAsia"/>
          <w:color w:val="000000" w:themeColor="text1"/>
          <w:highlight w:val="none"/>
          <w:lang w:val="en-US" w:eastAsia="zh-CN"/>
        </w:rPr>
        <w:t>属平原区，</w:t>
      </w:r>
      <w:r>
        <w:rPr>
          <w:rFonts w:hint="eastAsia"/>
          <w:color w:val="000000" w:themeColor="text1"/>
          <w:highlight w:val="none"/>
        </w:rPr>
        <w:t>土壤侵蚀模数背景值为</w:t>
      </w:r>
      <w:r>
        <w:rPr>
          <w:rFonts w:hint="eastAsia"/>
          <w:color w:val="000000" w:themeColor="text1"/>
          <w:highlight w:val="none"/>
          <w:lang w:val="en-US" w:eastAsia="zh-CN"/>
        </w:rPr>
        <w:t>500</w:t>
      </w:r>
      <w:r>
        <w:rPr>
          <w:rFonts w:hint="eastAsia"/>
          <w:color w:val="000000" w:themeColor="text1"/>
          <w:highlight w:val="none"/>
        </w:rPr>
        <w:t>t/km</w:t>
      </w:r>
      <w:r>
        <w:rPr>
          <w:rFonts w:hint="eastAsia"/>
          <w:color w:val="000000" w:themeColor="text1"/>
          <w:highlight w:val="none"/>
          <w:vertAlign w:val="superscript"/>
        </w:rPr>
        <w:t>2</w:t>
      </w:r>
      <w:r>
        <w:rPr>
          <w:rFonts w:hint="eastAsia"/>
          <w:color w:val="000000" w:themeColor="text1"/>
          <w:highlight w:val="none"/>
        </w:rPr>
        <w:t>·a。</w:t>
      </w:r>
      <w:r>
        <w:rPr>
          <w:rFonts w:hint="eastAsia"/>
          <w:color w:val="000000" w:themeColor="text1"/>
          <w:highlight w:val="none"/>
          <w:lang w:val="en-US" w:eastAsia="zh-CN"/>
        </w:rPr>
        <w:t>根据《生产建设项目水土流失防治标准》，本工程采用东北黑土区一级防治标准，</w:t>
      </w:r>
      <w:r>
        <w:rPr>
          <w:rFonts w:hint="eastAsia"/>
          <w:color w:val="000000" w:themeColor="text1"/>
          <w:highlight w:val="none"/>
        </w:rPr>
        <w:t>项目区容许土壤流失量为</w:t>
      </w:r>
      <w:r>
        <w:rPr>
          <w:rFonts w:hint="eastAsia"/>
          <w:color w:val="000000" w:themeColor="text1"/>
          <w:highlight w:val="none"/>
          <w:lang w:val="en-US" w:eastAsia="zh-CN"/>
        </w:rPr>
        <w:t>200</w:t>
      </w:r>
      <w:r>
        <w:rPr>
          <w:rFonts w:hint="eastAsia"/>
          <w:color w:val="000000" w:themeColor="text1"/>
          <w:highlight w:val="none"/>
        </w:rPr>
        <w:t>t/km</w:t>
      </w:r>
      <w:r>
        <w:rPr>
          <w:rFonts w:hint="eastAsia"/>
          <w:color w:val="000000" w:themeColor="text1"/>
          <w:highlight w:val="none"/>
          <w:vertAlign w:val="superscript"/>
        </w:rPr>
        <w:t>2</w:t>
      </w:r>
      <w:r>
        <w:rPr>
          <w:rFonts w:hint="eastAsia"/>
          <w:color w:val="000000" w:themeColor="text1"/>
          <w:highlight w:val="none"/>
        </w:rPr>
        <w:t>·a。</w:t>
      </w:r>
    </w:p>
    <w:p w14:paraId="255DBC65">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4.3.1.4</w:t>
      </w:r>
      <w:r>
        <w:rPr>
          <w:rFonts w:hint="eastAsia"/>
          <w:color w:val="000000" w:themeColor="text1"/>
          <w:highlight w:val="none"/>
          <w:lang w:val="en-US" w:eastAsia="zh-CN"/>
        </w:rPr>
        <w:t>植被现状</w:t>
      </w:r>
    </w:p>
    <w:p w14:paraId="6D44687E">
      <w:pPr>
        <w:pageBreakBefore w:val="0"/>
        <w:widowControl/>
        <w:wordWrap/>
        <w:topLinePunct w:val="0"/>
        <w:bidi w:val="0"/>
        <w:spacing w:line="360" w:lineRule="auto"/>
        <w:rPr>
          <w:rFonts w:hint="eastAsia"/>
          <w:color w:val="000000" w:themeColor="text1"/>
          <w:highlight w:val="none"/>
        </w:rPr>
      </w:pPr>
      <w:bookmarkStart w:id="332" w:name="OLE_LINK14"/>
      <w:r>
        <w:rPr>
          <w:rFonts w:hint="eastAsia"/>
          <w:color w:val="000000" w:themeColor="text1"/>
          <w:highlight w:val="none"/>
          <w:lang w:val="en-US" w:eastAsia="zh-CN"/>
        </w:rPr>
        <w:t xml:space="preserve">环评单位与建设单位多次进行现场踏勘，并走访沿线涉及林草等部门，采用植被型组、植被型、群系等基本单位，在对现存植被进行调查的基础上，结合区域内现有植被中群系建群种与优势种的外貌，以及群系的环境生态与地理分布特征等分析，将评价区自然植被初步划分为5个植被型，5个植被亚型，5个群系组，8个群系。 </w:t>
      </w:r>
    </w:p>
    <w:p w14:paraId="55418683">
      <w:pPr>
        <w:pageBreakBefore w:val="0"/>
        <w:widowControl/>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公路沿线调查范围内植被群落调查结果见表4.3-4，植被类型见附图7。</w:t>
      </w:r>
    </w:p>
    <w:p w14:paraId="353DC48C">
      <w:pPr>
        <w:pageBreakBefore w:val="0"/>
        <w:wordWrap/>
        <w:topLinePunct w:val="0"/>
        <w:bidi w:val="0"/>
        <w:spacing w:line="360" w:lineRule="auto"/>
        <w:ind w:firstLine="0" w:firstLineChars="0"/>
        <w:jc w:val="center"/>
        <w:rPr>
          <w:rFonts w:hint="default" w:ascii="Times New Roman" w:hAnsi="Times New Roman" w:eastAsia="宋体" w:cs="Times New Roman"/>
          <w:b/>
          <w:bCs/>
          <w:color w:val="000000" w:themeColor="text1"/>
          <w:highlight w:val="none"/>
        </w:rPr>
      </w:pPr>
      <w:r>
        <w:rPr>
          <w:rFonts w:hint="default" w:ascii="Times New Roman" w:hAnsi="Times New Roman" w:eastAsia="宋体" w:cs="Times New Roman"/>
          <w:b/>
          <w:bCs/>
          <w:color w:val="000000" w:themeColor="text1"/>
          <w:highlight w:val="none"/>
        </w:rPr>
        <w:t>表4</w:t>
      </w:r>
      <w:r>
        <w:rPr>
          <w:rFonts w:hint="default" w:ascii="Times New Roman" w:hAnsi="Times New Roman" w:eastAsia="宋体" w:cs="Times New Roman"/>
          <w:b/>
          <w:bCs/>
          <w:color w:val="000000" w:themeColor="text1"/>
          <w:highlight w:val="none"/>
          <w:lang w:val="en-US" w:eastAsia="zh-CN"/>
        </w:rPr>
        <w:t>.3-4</w:t>
      </w:r>
      <w:r>
        <w:rPr>
          <w:rFonts w:hint="default" w:ascii="Times New Roman" w:hAnsi="Times New Roman" w:eastAsia="宋体" w:cs="Times New Roman"/>
          <w:b/>
          <w:bCs/>
          <w:color w:val="000000" w:themeColor="text1"/>
          <w:highlight w:val="none"/>
        </w:rPr>
        <w:t xml:space="preserve">  </w:t>
      </w:r>
      <w:r>
        <w:rPr>
          <w:rFonts w:hint="default" w:ascii="Times New Roman" w:hAnsi="Times New Roman" w:eastAsia="宋体" w:cs="Times New Roman"/>
          <w:b/>
          <w:bCs/>
          <w:color w:val="000000" w:themeColor="text1"/>
          <w:highlight w:val="none"/>
          <w:lang w:val="en-US" w:eastAsia="zh-CN"/>
        </w:rPr>
        <w:t>评价区植被群落调查结果统计表</w:t>
      </w:r>
    </w:p>
    <w:tbl>
      <w:tblPr>
        <w:tblStyle w:val="3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1176"/>
        <w:gridCol w:w="1176"/>
        <w:gridCol w:w="1176"/>
        <w:gridCol w:w="1176"/>
        <w:gridCol w:w="1176"/>
        <w:gridCol w:w="1181"/>
      </w:tblGrid>
      <w:tr w14:paraId="52D93B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Merge w:val="restart"/>
            <w:vAlign w:val="center"/>
          </w:tcPr>
          <w:p w14:paraId="458CD898">
            <w:pPr>
              <w:pageBreakBefore w:val="0"/>
              <w:wordWrap/>
              <w:topLinePunct w:val="0"/>
              <w:bidi w:val="0"/>
              <w:spacing w:line="240" w:lineRule="auto"/>
              <w:ind w:firstLine="0" w:firstLineChars="0"/>
              <w:jc w:val="center"/>
              <w:rPr>
                <w:rFonts w:hint="default"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植被型</w:t>
            </w:r>
          </w:p>
        </w:tc>
        <w:tc>
          <w:tcPr>
            <w:tcW w:w="1176" w:type="dxa"/>
            <w:vMerge w:val="restart"/>
            <w:vAlign w:val="center"/>
          </w:tcPr>
          <w:p w14:paraId="6C79F8C2">
            <w:pPr>
              <w:pageBreakBefore w:val="0"/>
              <w:wordWrap/>
              <w:topLinePunct w:val="0"/>
              <w:bidi w:val="0"/>
              <w:spacing w:line="240" w:lineRule="auto"/>
              <w:ind w:firstLine="0" w:firstLineChars="0"/>
              <w:jc w:val="center"/>
              <w:rPr>
                <w:rFonts w:hint="eastAsia"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植被亚型</w:t>
            </w:r>
          </w:p>
        </w:tc>
        <w:tc>
          <w:tcPr>
            <w:tcW w:w="1176" w:type="dxa"/>
            <w:vMerge w:val="restart"/>
            <w:vAlign w:val="center"/>
          </w:tcPr>
          <w:p w14:paraId="242ED435">
            <w:pPr>
              <w:pageBreakBefore w:val="0"/>
              <w:wordWrap/>
              <w:topLinePunct w:val="0"/>
              <w:bidi w:val="0"/>
              <w:spacing w:line="240" w:lineRule="auto"/>
              <w:ind w:firstLine="0" w:firstLineChars="0"/>
              <w:jc w:val="center"/>
              <w:rPr>
                <w:rFonts w:hint="eastAsia"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群系组</w:t>
            </w:r>
          </w:p>
        </w:tc>
        <w:tc>
          <w:tcPr>
            <w:tcW w:w="1176" w:type="dxa"/>
            <w:vMerge w:val="restart"/>
            <w:vAlign w:val="center"/>
          </w:tcPr>
          <w:p w14:paraId="77290E7E">
            <w:pPr>
              <w:pageBreakBefore w:val="0"/>
              <w:wordWrap/>
              <w:topLinePunct w:val="0"/>
              <w:bidi w:val="0"/>
              <w:spacing w:line="240" w:lineRule="auto"/>
              <w:ind w:firstLine="0" w:firstLineChars="0"/>
              <w:jc w:val="center"/>
              <w:rPr>
                <w:rFonts w:hint="eastAsia"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群系</w:t>
            </w:r>
          </w:p>
        </w:tc>
        <w:tc>
          <w:tcPr>
            <w:tcW w:w="1176" w:type="dxa"/>
            <w:vMerge w:val="restart"/>
            <w:vAlign w:val="center"/>
          </w:tcPr>
          <w:p w14:paraId="072608F5">
            <w:pPr>
              <w:pageBreakBefore w:val="0"/>
              <w:wordWrap/>
              <w:topLinePunct w:val="0"/>
              <w:bidi w:val="0"/>
              <w:spacing w:line="240" w:lineRule="auto"/>
              <w:ind w:firstLine="0" w:firstLineChars="0"/>
              <w:jc w:val="center"/>
              <w:rPr>
                <w:rFonts w:hint="eastAsia"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分布区域</w:t>
            </w:r>
          </w:p>
        </w:tc>
        <w:tc>
          <w:tcPr>
            <w:tcW w:w="2357" w:type="dxa"/>
            <w:gridSpan w:val="2"/>
            <w:tcBorders>
              <w:bottom w:val="single" w:color="000000" w:sz="2" w:space="0"/>
            </w:tcBorders>
            <w:vAlign w:val="center"/>
          </w:tcPr>
          <w:p w14:paraId="3D0B8AEB">
            <w:pPr>
              <w:pageBreakBefore w:val="0"/>
              <w:wordWrap/>
              <w:topLinePunct w:val="0"/>
              <w:bidi w:val="0"/>
              <w:spacing w:line="240" w:lineRule="auto"/>
              <w:ind w:firstLine="0" w:firstLineChars="0"/>
              <w:jc w:val="center"/>
              <w:rPr>
                <w:rFonts w:hint="default"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工程占用情况</w:t>
            </w:r>
          </w:p>
        </w:tc>
      </w:tr>
      <w:tr w14:paraId="22614C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Merge w:val="continue"/>
            <w:vAlign w:val="center"/>
          </w:tcPr>
          <w:p w14:paraId="0A319C10">
            <w:pPr>
              <w:pageBreakBefore w:val="0"/>
              <w:wordWrap/>
              <w:topLinePunct w:val="0"/>
              <w:bidi w:val="0"/>
              <w:spacing w:line="240" w:lineRule="auto"/>
              <w:ind w:firstLine="0" w:firstLineChars="0"/>
              <w:jc w:val="center"/>
              <w:rPr>
                <w:rFonts w:hint="eastAsia"/>
                <w:b/>
                <w:color w:val="000000" w:themeColor="text1"/>
                <w:sz w:val="21"/>
                <w:szCs w:val="21"/>
                <w:highlight w:val="none"/>
                <w:lang w:val="en-US" w:eastAsia="zh-CN"/>
              </w:rPr>
            </w:pPr>
          </w:p>
        </w:tc>
        <w:tc>
          <w:tcPr>
            <w:tcW w:w="1176" w:type="dxa"/>
            <w:vMerge w:val="continue"/>
            <w:vAlign w:val="center"/>
          </w:tcPr>
          <w:p w14:paraId="5CACE713">
            <w:pPr>
              <w:pageBreakBefore w:val="0"/>
              <w:wordWrap/>
              <w:topLinePunct w:val="0"/>
              <w:bidi w:val="0"/>
              <w:spacing w:line="240" w:lineRule="auto"/>
              <w:ind w:firstLine="0" w:firstLineChars="0"/>
              <w:jc w:val="center"/>
              <w:rPr>
                <w:rFonts w:hint="eastAsia"/>
                <w:b/>
                <w:color w:val="000000" w:themeColor="text1"/>
                <w:sz w:val="21"/>
                <w:szCs w:val="21"/>
                <w:highlight w:val="none"/>
                <w:lang w:val="en-US" w:eastAsia="zh-CN"/>
              </w:rPr>
            </w:pPr>
          </w:p>
        </w:tc>
        <w:tc>
          <w:tcPr>
            <w:tcW w:w="1176" w:type="dxa"/>
            <w:vMerge w:val="continue"/>
            <w:vAlign w:val="center"/>
          </w:tcPr>
          <w:p w14:paraId="2818F2E8">
            <w:pPr>
              <w:pageBreakBefore w:val="0"/>
              <w:wordWrap/>
              <w:topLinePunct w:val="0"/>
              <w:bidi w:val="0"/>
              <w:spacing w:line="240" w:lineRule="auto"/>
              <w:ind w:firstLine="0" w:firstLineChars="0"/>
              <w:jc w:val="center"/>
              <w:rPr>
                <w:rFonts w:hint="eastAsia"/>
                <w:b/>
                <w:color w:val="000000" w:themeColor="text1"/>
                <w:sz w:val="21"/>
                <w:szCs w:val="21"/>
                <w:highlight w:val="none"/>
                <w:lang w:val="en-US" w:eastAsia="zh-CN"/>
              </w:rPr>
            </w:pPr>
          </w:p>
        </w:tc>
        <w:tc>
          <w:tcPr>
            <w:tcW w:w="1176" w:type="dxa"/>
            <w:vMerge w:val="continue"/>
            <w:vAlign w:val="center"/>
          </w:tcPr>
          <w:p w14:paraId="3BBCAF1E">
            <w:pPr>
              <w:pageBreakBefore w:val="0"/>
              <w:wordWrap/>
              <w:topLinePunct w:val="0"/>
              <w:bidi w:val="0"/>
              <w:spacing w:line="240" w:lineRule="auto"/>
              <w:ind w:firstLine="0" w:firstLineChars="0"/>
              <w:jc w:val="center"/>
              <w:rPr>
                <w:rFonts w:hint="eastAsia"/>
                <w:b/>
                <w:color w:val="000000" w:themeColor="text1"/>
                <w:sz w:val="21"/>
                <w:szCs w:val="21"/>
                <w:highlight w:val="none"/>
                <w:lang w:val="en-US" w:eastAsia="zh-CN"/>
              </w:rPr>
            </w:pPr>
          </w:p>
        </w:tc>
        <w:tc>
          <w:tcPr>
            <w:tcW w:w="1176" w:type="dxa"/>
            <w:vMerge w:val="continue"/>
            <w:vAlign w:val="center"/>
          </w:tcPr>
          <w:p w14:paraId="2B356AB4">
            <w:pPr>
              <w:pageBreakBefore w:val="0"/>
              <w:wordWrap/>
              <w:topLinePunct w:val="0"/>
              <w:bidi w:val="0"/>
              <w:spacing w:line="240" w:lineRule="auto"/>
              <w:ind w:firstLine="0" w:firstLineChars="0"/>
              <w:jc w:val="center"/>
              <w:rPr>
                <w:rFonts w:hint="eastAsia"/>
                <w:b/>
                <w:color w:val="000000" w:themeColor="text1"/>
                <w:sz w:val="21"/>
                <w:szCs w:val="21"/>
                <w:highlight w:val="none"/>
                <w:lang w:val="en-US" w:eastAsia="zh-CN"/>
              </w:rPr>
            </w:pPr>
          </w:p>
        </w:tc>
        <w:tc>
          <w:tcPr>
            <w:tcW w:w="1176" w:type="dxa"/>
            <w:tcBorders>
              <w:top w:val="single" w:color="000000" w:sz="2" w:space="0"/>
            </w:tcBorders>
            <w:vAlign w:val="center"/>
          </w:tcPr>
          <w:p w14:paraId="1595C64E">
            <w:pPr>
              <w:pageBreakBefore w:val="0"/>
              <w:wordWrap/>
              <w:topLinePunct w:val="0"/>
              <w:bidi w:val="0"/>
              <w:spacing w:line="240" w:lineRule="auto"/>
              <w:ind w:firstLine="0" w:firstLineChars="0"/>
              <w:jc w:val="center"/>
              <w:rPr>
                <w:rFonts w:hint="default"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面积（hm</w:t>
            </w:r>
            <w:r>
              <w:rPr>
                <w:rFonts w:hint="eastAsia"/>
                <w:b/>
                <w:color w:val="000000" w:themeColor="text1"/>
                <w:sz w:val="21"/>
                <w:szCs w:val="21"/>
                <w:highlight w:val="none"/>
                <w:vertAlign w:val="superscript"/>
                <w:lang w:val="en-US" w:eastAsia="zh-CN"/>
              </w:rPr>
              <w:t>2</w:t>
            </w:r>
            <w:r>
              <w:rPr>
                <w:rFonts w:hint="eastAsia"/>
                <w:b/>
                <w:color w:val="000000" w:themeColor="text1"/>
                <w:sz w:val="21"/>
                <w:szCs w:val="21"/>
                <w:highlight w:val="none"/>
                <w:lang w:val="en-US" w:eastAsia="zh-CN"/>
              </w:rPr>
              <w:t>）</w:t>
            </w:r>
          </w:p>
        </w:tc>
        <w:tc>
          <w:tcPr>
            <w:tcW w:w="1181" w:type="dxa"/>
            <w:tcBorders>
              <w:top w:val="single" w:color="000000" w:sz="2" w:space="0"/>
            </w:tcBorders>
            <w:vAlign w:val="center"/>
          </w:tcPr>
          <w:p w14:paraId="46DF59E4">
            <w:pPr>
              <w:pageBreakBefore w:val="0"/>
              <w:wordWrap/>
              <w:topLinePunct w:val="0"/>
              <w:bidi w:val="0"/>
              <w:spacing w:line="240" w:lineRule="auto"/>
              <w:ind w:firstLine="0" w:firstLineChars="0"/>
              <w:jc w:val="center"/>
              <w:rPr>
                <w:rFonts w:hint="eastAsia"/>
                <w:b/>
                <w:color w:val="000000" w:themeColor="text1"/>
                <w:sz w:val="21"/>
                <w:szCs w:val="21"/>
                <w:highlight w:val="none"/>
                <w:lang w:val="en-US" w:eastAsia="zh-CN"/>
              </w:rPr>
            </w:pPr>
            <w:r>
              <w:rPr>
                <w:rFonts w:hint="eastAsia"/>
                <w:b/>
                <w:color w:val="000000" w:themeColor="text1"/>
                <w:sz w:val="21"/>
                <w:szCs w:val="21"/>
                <w:highlight w:val="none"/>
                <w:lang w:val="en-US" w:eastAsia="zh-CN"/>
              </w:rPr>
              <w:t>比例</w:t>
            </w:r>
          </w:p>
          <w:p w14:paraId="7397BB3D">
            <w:pPr>
              <w:pageBreakBefore w:val="0"/>
              <w:wordWrap/>
              <w:topLinePunct w:val="0"/>
              <w:bidi w:val="0"/>
              <w:spacing w:line="240" w:lineRule="auto"/>
              <w:ind w:firstLine="0" w:firstLineChars="0"/>
              <w:jc w:val="center"/>
              <w:rPr>
                <w:rFonts w:hint="default" w:eastAsia="宋体"/>
                <w:b/>
                <w:color w:val="000000" w:themeColor="text1"/>
                <w:sz w:val="21"/>
                <w:szCs w:val="21"/>
                <w:highlight w:val="none"/>
                <w:lang w:val="en-US" w:eastAsia="zh-CN"/>
              </w:rPr>
            </w:pPr>
            <w:r>
              <w:rPr>
                <w:rFonts w:hint="eastAsia"/>
                <w:b/>
                <w:color w:val="000000" w:themeColor="text1"/>
                <w:sz w:val="21"/>
                <w:szCs w:val="21"/>
                <w:highlight w:val="none"/>
                <w:lang w:val="en-US" w:eastAsia="zh-CN"/>
              </w:rPr>
              <w:t>（%）</w:t>
            </w:r>
          </w:p>
        </w:tc>
      </w:tr>
      <w:tr w14:paraId="3997DD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6" w:type="dxa"/>
            <w:vAlign w:val="center"/>
          </w:tcPr>
          <w:p w14:paraId="15F080B3">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针叶林</w:t>
            </w:r>
          </w:p>
        </w:tc>
        <w:tc>
          <w:tcPr>
            <w:tcW w:w="1176" w:type="dxa"/>
            <w:vAlign w:val="center"/>
          </w:tcPr>
          <w:p w14:paraId="12FAE75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落叶针叶林</w:t>
            </w:r>
          </w:p>
        </w:tc>
        <w:tc>
          <w:tcPr>
            <w:tcW w:w="1176" w:type="dxa"/>
            <w:vAlign w:val="center"/>
          </w:tcPr>
          <w:p w14:paraId="7F672F0B">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落叶松林</w:t>
            </w:r>
          </w:p>
        </w:tc>
        <w:tc>
          <w:tcPr>
            <w:tcW w:w="1176" w:type="dxa"/>
            <w:vAlign w:val="center"/>
          </w:tcPr>
          <w:p w14:paraId="5B2C5B6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樟子松、落叶松</w:t>
            </w:r>
          </w:p>
        </w:tc>
        <w:tc>
          <w:tcPr>
            <w:tcW w:w="1176" w:type="dxa"/>
            <w:vAlign w:val="center"/>
          </w:tcPr>
          <w:p w14:paraId="7999047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线路两侧成块分布</w:t>
            </w:r>
          </w:p>
        </w:tc>
        <w:tc>
          <w:tcPr>
            <w:tcW w:w="1176" w:type="dxa"/>
            <w:shd w:val="clear" w:color="auto" w:fill="auto"/>
            <w:vAlign w:val="center"/>
          </w:tcPr>
          <w:p w14:paraId="05E4EDA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54.230</w:t>
            </w:r>
          </w:p>
        </w:tc>
        <w:tc>
          <w:tcPr>
            <w:tcW w:w="1181" w:type="dxa"/>
            <w:shd w:val="clear" w:color="auto" w:fill="auto"/>
            <w:vAlign w:val="center"/>
          </w:tcPr>
          <w:p w14:paraId="0F1EE43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12.52</w:t>
            </w:r>
          </w:p>
        </w:tc>
      </w:tr>
      <w:tr w14:paraId="0A0759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Align w:val="center"/>
          </w:tcPr>
          <w:p w14:paraId="10FAB59F">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阔叶林</w:t>
            </w:r>
          </w:p>
        </w:tc>
        <w:tc>
          <w:tcPr>
            <w:tcW w:w="1176" w:type="dxa"/>
            <w:vAlign w:val="center"/>
          </w:tcPr>
          <w:p w14:paraId="3CC53F63">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落叶阔叶林</w:t>
            </w:r>
          </w:p>
        </w:tc>
        <w:tc>
          <w:tcPr>
            <w:tcW w:w="1176" w:type="dxa"/>
            <w:vAlign w:val="center"/>
          </w:tcPr>
          <w:p w14:paraId="6662C3A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杨、桦林</w:t>
            </w:r>
          </w:p>
        </w:tc>
        <w:tc>
          <w:tcPr>
            <w:tcW w:w="1176" w:type="dxa"/>
            <w:vAlign w:val="center"/>
          </w:tcPr>
          <w:p w14:paraId="08B9B4C6">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杨树林、白桦林</w:t>
            </w:r>
          </w:p>
        </w:tc>
        <w:tc>
          <w:tcPr>
            <w:tcW w:w="1176" w:type="dxa"/>
            <w:vAlign w:val="center"/>
          </w:tcPr>
          <w:p w14:paraId="50507B5F">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线路两侧零星分布</w:t>
            </w:r>
          </w:p>
        </w:tc>
        <w:tc>
          <w:tcPr>
            <w:tcW w:w="1176" w:type="dxa"/>
            <w:vAlign w:val="center"/>
          </w:tcPr>
          <w:p w14:paraId="11ED63CE">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2.018</w:t>
            </w:r>
          </w:p>
        </w:tc>
        <w:tc>
          <w:tcPr>
            <w:tcW w:w="1181" w:type="dxa"/>
            <w:vAlign w:val="center"/>
          </w:tcPr>
          <w:p w14:paraId="7827ACF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0.47</w:t>
            </w:r>
          </w:p>
        </w:tc>
      </w:tr>
      <w:tr w14:paraId="3A2EC5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Align w:val="center"/>
          </w:tcPr>
          <w:p w14:paraId="54C3F59C">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草甸</w:t>
            </w:r>
          </w:p>
        </w:tc>
        <w:tc>
          <w:tcPr>
            <w:tcW w:w="1176" w:type="dxa"/>
            <w:vAlign w:val="center"/>
          </w:tcPr>
          <w:p w14:paraId="2AD02648">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典型草甸</w:t>
            </w:r>
          </w:p>
        </w:tc>
        <w:tc>
          <w:tcPr>
            <w:tcW w:w="1176" w:type="dxa"/>
            <w:vAlign w:val="center"/>
          </w:tcPr>
          <w:p w14:paraId="6388A31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根茎禾草草甸</w:t>
            </w:r>
          </w:p>
        </w:tc>
        <w:tc>
          <w:tcPr>
            <w:tcW w:w="1176" w:type="dxa"/>
            <w:vAlign w:val="center"/>
          </w:tcPr>
          <w:p w14:paraId="414E265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大叶章草甸</w:t>
            </w:r>
          </w:p>
        </w:tc>
        <w:tc>
          <w:tcPr>
            <w:tcW w:w="1176" w:type="dxa"/>
            <w:vAlign w:val="center"/>
          </w:tcPr>
          <w:p w14:paraId="7A92450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线路两侧零星分布</w:t>
            </w:r>
          </w:p>
        </w:tc>
        <w:tc>
          <w:tcPr>
            <w:tcW w:w="1176" w:type="dxa"/>
            <w:shd w:val="clear" w:color="auto" w:fill="auto"/>
            <w:vAlign w:val="center"/>
          </w:tcPr>
          <w:p w14:paraId="0135FDF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5.678</w:t>
            </w:r>
          </w:p>
        </w:tc>
        <w:tc>
          <w:tcPr>
            <w:tcW w:w="1181" w:type="dxa"/>
            <w:shd w:val="clear" w:color="auto" w:fill="auto"/>
            <w:vAlign w:val="center"/>
          </w:tcPr>
          <w:p w14:paraId="7E1CE21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1.31</w:t>
            </w:r>
          </w:p>
        </w:tc>
      </w:tr>
      <w:tr w14:paraId="0B23C6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Align w:val="center"/>
          </w:tcPr>
          <w:p w14:paraId="1A3344B2">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沼泽</w:t>
            </w:r>
          </w:p>
        </w:tc>
        <w:tc>
          <w:tcPr>
            <w:tcW w:w="1176" w:type="dxa"/>
            <w:vAlign w:val="center"/>
          </w:tcPr>
          <w:p w14:paraId="26394E7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草本沼泽</w:t>
            </w:r>
          </w:p>
        </w:tc>
        <w:tc>
          <w:tcPr>
            <w:tcW w:w="1176" w:type="dxa"/>
            <w:vAlign w:val="center"/>
          </w:tcPr>
          <w:p w14:paraId="050FC62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苔草沼泽</w:t>
            </w:r>
          </w:p>
        </w:tc>
        <w:tc>
          <w:tcPr>
            <w:tcW w:w="1176" w:type="dxa"/>
            <w:vAlign w:val="center"/>
          </w:tcPr>
          <w:p w14:paraId="35FFF66E">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eastAsia="宋体"/>
                <w:color w:val="000000" w:themeColor="text1"/>
                <w:sz w:val="21"/>
                <w:szCs w:val="21"/>
                <w:highlight w:val="none"/>
                <w:lang w:val="en-US" w:eastAsia="zh-CN"/>
              </w:rPr>
              <w:t>莎苔草沼泽</w:t>
            </w:r>
          </w:p>
        </w:tc>
        <w:tc>
          <w:tcPr>
            <w:tcW w:w="1176" w:type="dxa"/>
            <w:vAlign w:val="center"/>
          </w:tcPr>
          <w:p w14:paraId="4D87E2B5">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跨河路段两侧零星分布</w:t>
            </w:r>
          </w:p>
        </w:tc>
        <w:tc>
          <w:tcPr>
            <w:tcW w:w="1176" w:type="dxa"/>
            <w:shd w:val="clear" w:color="auto" w:fill="auto"/>
            <w:vAlign w:val="center"/>
          </w:tcPr>
          <w:p w14:paraId="0DFAC2E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0.071</w:t>
            </w:r>
          </w:p>
        </w:tc>
        <w:tc>
          <w:tcPr>
            <w:tcW w:w="1181" w:type="dxa"/>
            <w:shd w:val="clear" w:color="auto" w:fill="auto"/>
            <w:vAlign w:val="center"/>
          </w:tcPr>
          <w:p w14:paraId="34C1979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4"/>
                <w:szCs w:val="24"/>
                <w:highlight w:val="none"/>
                <w:lang w:val="en-US" w:eastAsia="zh-CN" w:bidi="ar-SA"/>
              </w:rPr>
            </w:pPr>
            <w:r>
              <w:rPr>
                <w:rFonts w:hint="eastAsia"/>
                <w:color w:val="000000" w:themeColor="text1"/>
                <w:sz w:val="21"/>
                <w:szCs w:val="21"/>
                <w:highlight w:val="none"/>
                <w:lang w:val="en-US" w:eastAsia="zh-CN"/>
              </w:rPr>
              <w:t>0.02</w:t>
            </w:r>
          </w:p>
        </w:tc>
      </w:tr>
      <w:tr w14:paraId="38DCB1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Align w:val="center"/>
          </w:tcPr>
          <w:p w14:paraId="4F0E2071">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栽培植被</w:t>
            </w:r>
          </w:p>
        </w:tc>
        <w:tc>
          <w:tcPr>
            <w:tcW w:w="1176" w:type="dxa"/>
            <w:vAlign w:val="center"/>
          </w:tcPr>
          <w:p w14:paraId="1CB230D4">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农业栽培植被</w:t>
            </w:r>
          </w:p>
        </w:tc>
        <w:tc>
          <w:tcPr>
            <w:tcW w:w="1176" w:type="dxa"/>
            <w:vAlign w:val="center"/>
          </w:tcPr>
          <w:p w14:paraId="5B223F25">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粮食作物</w:t>
            </w:r>
          </w:p>
        </w:tc>
        <w:tc>
          <w:tcPr>
            <w:tcW w:w="1176" w:type="dxa"/>
            <w:vAlign w:val="center"/>
          </w:tcPr>
          <w:p w14:paraId="59DFF99B">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水稻、玉米</w:t>
            </w:r>
          </w:p>
        </w:tc>
        <w:tc>
          <w:tcPr>
            <w:tcW w:w="1176" w:type="dxa"/>
            <w:vAlign w:val="center"/>
          </w:tcPr>
          <w:p w14:paraId="0C1F14F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评价区广分分布</w:t>
            </w:r>
          </w:p>
        </w:tc>
        <w:tc>
          <w:tcPr>
            <w:tcW w:w="1176" w:type="dxa"/>
            <w:vAlign w:val="center"/>
          </w:tcPr>
          <w:p w14:paraId="1BF6DB3E">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336.448</w:t>
            </w:r>
          </w:p>
        </w:tc>
        <w:tc>
          <w:tcPr>
            <w:tcW w:w="1181" w:type="dxa"/>
            <w:vAlign w:val="center"/>
          </w:tcPr>
          <w:p w14:paraId="2147B82D">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77.68</w:t>
            </w:r>
          </w:p>
        </w:tc>
      </w:tr>
      <w:tr w14:paraId="41A638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6" w:type="dxa"/>
            <w:vAlign w:val="center"/>
          </w:tcPr>
          <w:p w14:paraId="6CF92B5A">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w:t>
            </w:r>
          </w:p>
        </w:tc>
        <w:tc>
          <w:tcPr>
            <w:tcW w:w="1176" w:type="dxa"/>
            <w:vAlign w:val="center"/>
          </w:tcPr>
          <w:p w14:paraId="36B7A73F">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w:t>
            </w:r>
          </w:p>
        </w:tc>
        <w:tc>
          <w:tcPr>
            <w:tcW w:w="1176" w:type="dxa"/>
            <w:vAlign w:val="center"/>
          </w:tcPr>
          <w:p w14:paraId="5C0B4706">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w:t>
            </w:r>
          </w:p>
        </w:tc>
        <w:tc>
          <w:tcPr>
            <w:tcW w:w="1176" w:type="dxa"/>
            <w:vAlign w:val="center"/>
          </w:tcPr>
          <w:p w14:paraId="2FB81A16">
            <w:pPr>
              <w:pageBreakBefore w:val="0"/>
              <w:wordWrap/>
              <w:topLinePunct w:val="0"/>
              <w:bidi w:val="0"/>
              <w:spacing w:line="240" w:lineRule="auto"/>
              <w:ind w:firstLine="0" w:firstLineChars="0"/>
              <w:jc w:val="center"/>
              <w:rPr>
                <w:rFonts w:hint="default"/>
                <w:color w:val="000000" w:themeColor="text1"/>
                <w:sz w:val="21"/>
                <w:szCs w:val="21"/>
                <w:highlight w:val="none"/>
                <w:lang w:val="en-US" w:eastAsia="zh-CN"/>
              </w:rPr>
            </w:pPr>
            <w:r>
              <w:rPr>
                <w:rFonts w:hint="eastAsia"/>
                <w:color w:val="000000" w:themeColor="text1"/>
                <w:sz w:val="21"/>
                <w:szCs w:val="21"/>
                <w:highlight w:val="none"/>
                <w:lang w:val="en-US" w:eastAsia="zh-CN"/>
              </w:rPr>
              <w:t>非植被区（居民点、道路、河流水域等）</w:t>
            </w:r>
          </w:p>
        </w:tc>
        <w:tc>
          <w:tcPr>
            <w:tcW w:w="1176" w:type="dxa"/>
            <w:vAlign w:val="center"/>
          </w:tcPr>
          <w:p w14:paraId="60F881E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评价区零星分布</w:t>
            </w:r>
          </w:p>
        </w:tc>
        <w:tc>
          <w:tcPr>
            <w:tcW w:w="1176" w:type="dxa"/>
            <w:vAlign w:val="center"/>
          </w:tcPr>
          <w:p w14:paraId="62B98BE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34.654</w:t>
            </w:r>
          </w:p>
        </w:tc>
        <w:tc>
          <w:tcPr>
            <w:tcW w:w="1181" w:type="dxa"/>
            <w:vAlign w:val="center"/>
          </w:tcPr>
          <w:p w14:paraId="56E54ED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7.99</w:t>
            </w:r>
          </w:p>
        </w:tc>
      </w:tr>
      <w:tr w14:paraId="3F21AC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0" w:type="dxa"/>
            <w:gridSpan w:val="5"/>
            <w:vAlign w:val="center"/>
          </w:tcPr>
          <w:p w14:paraId="75E4C67B">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合计</w:t>
            </w:r>
          </w:p>
        </w:tc>
        <w:tc>
          <w:tcPr>
            <w:tcW w:w="1176" w:type="dxa"/>
            <w:vAlign w:val="center"/>
          </w:tcPr>
          <w:p w14:paraId="08C72C63">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433.100</w:t>
            </w:r>
          </w:p>
        </w:tc>
        <w:tc>
          <w:tcPr>
            <w:tcW w:w="1181" w:type="dxa"/>
            <w:vAlign w:val="center"/>
          </w:tcPr>
          <w:p w14:paraId="774836C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100</w:t>
            </w:r>
          </w:p>
        </w:tc>
      </w:tr>
    </w:tbl>
    <w:p w14:paraId="7E801E64">
      <w:pPr>
        <w:pageBreakBefore w:val="0"/>
        <w:widowControl/>
        <w:wordWrap/>
        <w:topLinePunct w:val="0"/>
        <w:bidi w:val="0"/>
        <w:spacing w:line="360" w:lineRule="auto"/>
        <w:rPr>
          <w:color w:val="000000" w:themeColor="text1"/>
          <w:kern w:val="0"/>
          <w:highlight w:val="none"/>
        </w:rPr>
      </w:pPr>
      <w:r>
        <w:rPr>
          <w:rFonts w:hint="eastAsia"/>
          <w:color w:val="000000" w:themeColor="text1"/>
          <w:kern w:val="0"/>
          <w:highlight w:val="none"/>
          <w:lang w:val="en-US" w:eastAsia="zh-CN"/>
        </w:rPr>
        <w:t>根据资料收集、现场调查及上述调查结果统计表可知，受农田开垦及人类经济活动影响，区域内植被以农田植被为主。沿线区域未发现国家级重点保护珍稀濒危物种、黑龙江省重点保护物种和古树名木。</w:t>
      </w:r>
    </w:p>
    <w:bookmarkEnd w:id="332"/>
    <w:p w14:paraId="673B078A">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4.3.1.5</w:t>
      </w:r>
      <w:r>
        <w:rPr>
          <w:color w:val="000000" w:themeColor="text1"/>
          <w:highlight w:val="none"/>
        </w:rPr>
        <w:t>动物</w:t>
      </w:r>
      <w:r>
        <w:rPr>
          <w:rFonts w:hint="eastAsia"/>
          <w:color w:val="000000" w:themeColor="text1"/>
          <w:highlight w:val="none"/>
          <w:lang w:val="en-US" w:eastAsia="zh-CN"/>
        </w:rPr>
        <w:t>现状</w:t>
      </w:r>
    </w:p>
    <w:p w14:paraId="10907A9E">
      <w:pPr>
        <w:pageBreakBefore w:val="0"/>
        <w:wordWrap/>
        <w:topLinePunct w:val="0"/>
        <w:bidi w:val="0"/>
        <w:spacing w:line="360" w:lineRule="auto"/>
        <w:rPr>
          <w:color w:val="000000" w:themeColor="text1"/>
          <w:kern w:val="0"/>
          <w:highlight w:val="none"/>
        </w:rPr>
      </w:pPr>
      <w:bookmarkStart w:id="333" w:name="_Toc145645589"/>
      <w:bookmarkStart w:id="334" w:name="_Toc145474062"/>
      <w:bookmarkStart w:id="335" w:name="_Toc204416017"/>
      <w:bookmarkStart w:id="336" w:name="_Toc212535507"/>
      <w:bookmarkStart w:id="337" w:name="_Toc145474060"/>
      <w:bookmarkStart w:id="338" w:name="_Toc145645587"/>
      <w:r>
        <w:rPr>
          <w:color w:val="000000" w:themeColor="text1"/>
          <w:kern w:val="0"/>
          <w:highlight w:val="none"/>
        </w:rPr>
        <w:t>通过收集资料、专家咨询、走访当地林草部门和沿线居民等多种途经对项目所在区域内的野生动物进行了调查。</w:t>
      </w:r>
    </w:p>
    <w:p w14:paraId="2556F90F">
      <w:pPr>
        <w:pageBreakBefore w:val="0"/>
        <w:wordWrap/>
        <w:topLinePunct w:val="0"/>
        <w:bidi w:val="0"/>
        <w:spacing w:line="360" w:lineRule="auto"/>
        <w:rPr>
          <w:rFonts w:hint="eastAsia"/>
          <w:color w:val="000000" w:themeColor="text1"/>
          <w:kern w:val="0"/>
          <w:highlight w:val="none"/>
        </w:rPr>
      </w:pPr>
      <w:r>
        <w:rPr>
          <w:color w:val="000000" w:themeColor="text1"/>
          <w:kern w:val="0"/>
          <w:highlight w:val="none"/>
        </w:rPr>
        <w:t>本项目</w:t>
      </w:r>
      <w:r>
        <w:rPr>
          <w:rFonts w:hint="eastAsia"/>
          <w:color w:val="000000" w:themeColor="text1"/>
          <w:kern w:val="0"/>
          <w:highlight w:val="none"/>
        </w:rPr>
        <w:t>线路</w:t>
      </w:r>
      <w:r>
        <w:rPr>
          <w:color w:val="000000" w:themeColor="text1"/>
          <w:kern w:val="0"/>
          <w:highlight w:val="none"/>
        </w:rPr>
        <w:t>位于平原区，</w:t>
      </w:r>
      <w:r>
        <w:rPr>
          <w:rFonts w:hint="eastAsia"/>
          <w:color w:val="000000" w:themeColor="text1"/>
          <w:kern w:val="0"/>
          <w:highlight w:val="none"/>
          <w:lang w:val="en-US" w:eastAsia="zh-CN"/>
        </w:rPr>
        <w:t>农田</w:t>
      </w:r>
      <w:r>
        <w:rPr>
          <w:rFonts w:hint="eastAsia"/>
          <w:color w:val="000000" w:themeColor="text1"/>
          <w:kern w:val="0"/>
          <w:highlight w:val="none"/>
        </w:rPr>
        <w:t>较多，</w:t>
      </w:r>
      <w:r>
        <w:rPr>
          <w:color w:val="000000" w:themeColor="text1"/>
          <w:kern w:val="0"/>
          <w:highlight w:val="none"/>
        </w:rPr>
        <w:t>人类活动频繁，开发程度高，受人类活动干扰，大型野生动物已难寻觅，主要野生动物为一些较常见的小型啮齿类动物、两爬类动物及鸟类</w:t>
      </w:r>
      <w:r>
        <w:rPr>
          <w:rFonts w:hint="eastAsia"/>
          <w:color w:val="000000" w:themeColor="text1"/>
          <w:kern w:val="0"/>
          <w:highlight w:val="none"/>
        </w:rPr>
        <w:t>。</w:t>
      </w:r>
    </w:p>
    <w:p w14:paraId="4BB6A8AD">
      <w:pPr>
        <w:pageBreakBefore w:val="0"/>
        <w:wordWrap/>
        <w:topLinePunct w:val="0"/>
        <w:bidi w:val="0"/>
        <w:spacing w:line="360" w:lineRule="auto"/>
        <w:rPr>
          <w:rFonts w:hint="eastAsia"/>
          <w:color w:val="000000" w:themeColor="text1"/>
          <w:kern w:val="0"/>
          <w:highlight w:val="none"/>
        </w:rPr>
      </w:pPr>
      <w:r>
        <w:rPr>
          <w:rFonts w:hint="eastAsia"/>
          <w:color w:val="000000" w:themeColor="text1"/>
          <w:kern w:val="0"/>
          <w:highlight w:val="none"/>
        </w:rPr>
        <w:t>综合相关文献资料及调查分析确认</w:t>
      </w:r>
      <w:r>
        <w:rPr>
          <w:rFonts w:hint="eastAsia"/>
          <w:color w:val="000000" w:themeColor="text1"/>
          <w:kern w:val="0"/>
          <w:highlight w:val="none"/>
          <w:lang w:eastAsia="zh-CN"/>
        </w:rPr>
        <w:t>，</w:t>
      </w:r>
      <w:r>
        <w:rPr>
          <w:rFonts w:hint="eastAsia"/>
          <w:color w:val="000000" w:themeColor="text1"/>
          <w:kern w:val="0"/>
          <w:highlight w:val="none"/>
        </w:rPr>
        <w:t>影响评价区内共有兽类1目2科2种，全部为啮齿目</w:t>
      </w:r>
      <w:r>
        <w:rPr>
          <w:rFonts w:hint="eastAsia"/>
          <w:color w:val="000000" w:themeColor="text1"/>
          <w:kern w:val="0"/>
          <w:highlight w:val="none"/>
          <w:lang w:eastAsia="zh-CN"/>
        </w:rPr>
        <w:t>，</w:t>
      </w:r>
      <w:r>
        <w:rPr>
          <w:rFonts w:hint="eastAsia"/>
          <w:color w:val="000000" w:themeColor="text1"/>
          <w:kern w:val="0"/>
          <w:highlight w:val="none"/>
          <w:lang w:val="en-US" w:eastAsia="zh-CN"/>
        </w:rPr>
        <w:t>分别为小家鼠和东方田鼠</w:t>
      </w:r>
      <w:r>
        <w:rPr>
          <w:rFonts w:hint="eastAsia"/>
          <w:color w:val="000000" w:themeColor="text1"/>
          <w:kern w:val="0"/>
          <w:highlight w:val="none"/>
        </w:rPr>
        <w:t>。影响评价区兽类区系主体为农田。东方田鼠(</w:t>
      </w:r>
      <w:r>
        <w:rPr>
          <w:rFonts w:hint="eastAsia"/>
          <w:i/>
          <w:iCs/>
          <w:color w:val="000000" w:themeColor="text1"/>
          <w:kern w:val="0"/>
          <w:highlight w:val="none"/>
        </w:rPr>
        <w:t>Microtusfortis</w:t>
      </w:r>
      <w:r>
        <w:rPr>
          <w:rFonts w:hint="eastAsia"/>
          <w:color w:val="000000" w:themeColor="text1"/>
          <w:kern w:val="0"/>
          <w:highlight w:val="none"/>
        </w:rPr>
        <w:t>)在本区数量多，分布广，主要栖息在农田内。评价区内共有鸟类2日3科3种，鸟类区系组成以古北界种类为主，广布种次之。影响评价区内的农田、草原、林地为鸟类提供了一定的栖息环境。分布广的种有麻雀(</w:t>
      </w:r>
      <w:r>
        <w:rPr>
          <w:rFonts w:hint="eastAsia"/>
          <w:i/>
          <w:iCs/>
          <w:color w:val="000000" w:themeColor="text1"/>
          <w:kern w:val="0"/>
          <w:highlight w:val="none"/>
        </w:rPr>
        <w:t>Passer</w:t>
      </w:r>
      <w:r>
        <w:rPr>
          <w:rFonts w:hint="eastAsia"/>
          <w:color w:val="000000" w:themeColor="text1"/>
          <w:kern w:val="0"/>
          <w:highlight w:val="none"/>
        </w:rPr>
        <w:t>)</w:t>
      </w:r>
      <w:r>
        <w:rPr>
          <w:rFonts w:hint="eastAsia"/>
          <w:color w:val="000000" w:themeColor="text1"/>
          <w:kern w:val="0"/>
          <w:highlight w:val="none"/>
          <w:lang w:eastAsia="zh-CN"/>
        </w:rPr>
        <w:t>、</w:t>
      </w:r>
      <w:r>
        <w:rPr>
          <w:rFonts w:hint="eastAsia"/>
          <w:color w:val="000000" w:themeColor="text1"/>
          <w:kern w:val="0"/>
          <w:highlight w:val="none"/>
          <w:lang w:val="en-US" w:eastAsia="zh-CN"/>
        </w:rPr>
        <w:t>喜鹊（</w:t>
      </w:r>
      <w:r>
        <w:rPr>
          <w:rFonts w:hint="eastAsia"/>
          <w:i/>
          <w:iCs/>
          <w:color w:val="000000" w:themeColor="text1"/>
          <w:kern w:val="0"/>
          <w:highlight w:val="none"/>
          <w:lang w:val="en-US" w:eastAsia="zh-CN"/>
        </w:rPr>
        <w:t>Pica pica</w:t>
      </w:r>
      <w:r>
        <w:rPr>
          <w:rFonts w:hint="eastAsia"/>
          <w:color w:val="000000" w:themeColor="text1"/>
          <w:kern w:val="0"/>
          <w:highlight w:val="none"/>
          <w:lang w:val="en-US" w:eastAsia="zh-CN"/>
        </w:rPr>
        <w:t>）、大杜鹃（</w:t>
      </w:r>
      <w:r>
        <w:rPr>
          <w:rFonts w:hint="eastAsia"/>
          <w:i/>
          <w:iCs/>
          <w:color w:val="000000" w:themeColor="text1"/>
          <w:kern w:val="0"/>
          <w:highlight w:val="none"/>
          <w:lang w:val="en-US" w:eastAsia="zh-CN"/>
        </w:rPr>
        <w:t>Cuculus canorus</w:t>
      </w:r>
      <w:r>
        <w:rPr>
          <w:rFonts w:hint="eastAsia"/>
          <w:color w:val="000000" w:themeColor="text1"/>
          <w:kern w:val="0"/>
          <w:highlight w:val="none"/>
          <w:lang w:val="en-US" w:eastAsia="zh-CN"/>
        </w:rPr>
        <w:t>）</w:t>
      </w:r>
      <w:r>
        <w:rPr>
          <w:rFonts w:hint="eastAsia"/>
          <w:color w:val="000000" w:themeColor="text1"/>
          <w:kern w:val="0"/>
          <w:highlight w:val="none"/>
        </w:rPr>
        <w:t>等，栖息在城镇和农田中。按从属区系统计，均为古北界鸟类。影响评价区内有两栖类动物1目1科1种，即蟾蜍科中华蟾蜍(</w:t>
      </w:r>
      <w:r>
        <w:rPr>
          <w:rFonts w:hint="eastAsia"/>
          <w:i/>
          <w:iCs/>
          <w:color w:val="000000" w:themeColor="text1"/>
          <w:kern w:val="0"/>
          <w:highlight w:val="none"/>
        </w:rPr>
        <w:t>Bufo gargarizans</w:t>
      </w:r>
      <w:r>
        <w:rPr>
          <w:rFonts w:hint="eastAsia"/>
          <w:color w:val="000000" w:themeColor="text1"/>
          <w:kern w:val="0"/>
          <w:highlight w:val="none"/>
        </w:rPr>
        <w:t>)。</w:t>
      </w:r>
    </w:p>
    <w:p w14:paraId="47FC3B4B">
      <w:pPr>
        <w:pageBreakBefore w:val="0"/>
        <w:wordWrap/>
        <w:topLinePunct w:val="0"/>
        <w:bidi w:val="0"/>
        <w:spacing w:line="360" w:lineRule="auto"/>
        <w:rPr>
          <w:rFonts w:hint="eastAsia"/>
          <w:color w:val="000000" w:themeColor="text1"/>
          <w:kern w:val="0"/>
          <w:highlight w:val="none"/>
        </w:rPr>
      </w:pPr>
      <w:r>
        <w:rPr>
          <w:rFonts w:hint="eastAsia"/>
          <w:color w:val="000000" w:themeColor="text1"/>
          <w:kern w:val="0"/>
          <w:highlight w:val="none"/>
        </w:rPr>
        <w:t>项目区及周边不涉及国家级及省级重点保护野生动物资源及其栖息地。</w:t>
      </w:r>
    </w:p>
    <w:p w14:paraId="6FD69C2D">
      <w:pPr>
        <w:pageBreakBefore w:val="0"/>
        <w:wordWrap/>
        <w:topLinePunct w:val="0"/>
        <w:bidi w:val="0"/>
        <w:spacing w:line="360" w:lineRule="auto"/>
        <w:rPr>
          <w:rFonts w:hint="eastAsia"/>
          <w:color w:val="000000" w:themeColor="text1"/>
          <w:kern w:val="0"/>
          <w:highlight w:val="none"/>
        </w:rPr>
      </w:pPr>
      <w:r>
        <w:rPr>
          <w:rFonts w:hint="eastAsia"/>
          <w:color w:val="000000" w:themeColor="text1"/>
          <w:kern w:val="0"/>
          <w:highlight w:val="none"/>
        </w:rPr>
        <w:t>经资料检索和调查影响评价区共有陆生动物4目6科6种，其中，兽类1目2科2种</w:t>
      </w:r>
      <w:r>
        <w:rPr>
          <w:rFonts w:hint="eastAsia"/>
          <w:color w:val="000000" w:themeColor="text1"/>
          <w:kern w:val="0"/>
          <w:highlight w:val="none"/>
          <w:lang w:eastAsia="zh-CN"/>
        </w:rPr>
        <w:t>；</w:t>
      </w:r>
      <w:r>
        <w:rPr>
          <w:rFonts w:hint="eastAsia"/>
          <w:color w:val="000000" w:themeColor="text1"/>
          <w:kern w:val="0"/>
          <w:highlight w:val="none"/>
        </w:rPr>
        <w:t>鸟类2目3科3种</w:t>
      </w:r>
      <w:r>
        <w:rPr>
          <w:rFonts w:hint="eastAsia"/>
          <w:color w:val="000000" w:themeColor="text1"/>
          <w:kern w:val="0"/>
          <w:highlight w:val="none"/>
          <w:lang w:eastAsia="zh-CN"/>
        </w:rPr>
        <w:t>；</w:t>
      </w:r>
      <w:r>
        <w:rPr>
          <w:rFonts w:hint="eastAsia"/>
          <w:color w:val="000000" w:themeColor="text1"/>
          <w:kern w:val="0"/>
          <w:highlight w:val="none"/>
        </w:rPr>
        <w:t>两栖类1目</w:t>
      </w:r>
      <w:r>
        <w:rPr>
          <w:rFonts w:hint="eastAsia"/>
          <w:color w:val="000000" w:themeColor="text1"/>
          <w:kern w:val="0"/>
          <w:highlight w:val="none"/>
          <w:lang w:val="en-US" w:eastAsia="zh-CN"/>
        </w:rPr>
        <w:t>1</w:t>
      </w:r>
      <w:r>
        <w:rPr>
          <w:rFonts w:hint="eastAsia"/>
          <w:color w:val="000000" w:themeColor="text1"/>
          <w:kern w:val="0"/>
          <w:highlight w:val="none"/>
        </w:rPr>
        <w:t>科1种，常见的种为麻雀(</w:t>
      </w:r>
      <w:r>
        <w:rPr>
          <w:rFonts w:hint="eastAsia"/>
          <w:i/>
          <w:iCs/>
          <w:color w:val="000000" w:themeColor="text1"/>
          <w:kern w:val="0"/>
          <w:highlight w:val="none"/>
        </w:rPr>
        <w:t>Passer</w:t>
      </w:r>
      <w:r>
        <w:rPr>
          <w:rFonts w:hint="eastAsia"/>
          <w:color w:val="000000" w:themeColor="text1"/>
          <w:kern w:val="0"/>
          <w:highlight w:val="none"/>
        </w:rPr>
        <w:t>)，主要分布在农田、城镇。评价范围内没有保护动物出没，项目评价范围内无珍稀保护动物栖息地，调查范围内人类活动较频繁，无大型野生保护动物活动，涉及的动物主要为林地、城镇鸟类和农田常见的小型动物等，工程占地范围内不占用这些动物的栖息地，不会破坏其生境环境和减少其生境面积。</w:t>
      </w:r>
    </w:p>
    <w:bookmarkEnd w:id="333"/>
    <w:bookmarkEnd w:id="334"/>
    <w:p w14:paraId="3BF78C5A">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4.3.1.6水生生态</w:t>
      </w:r>
      <w:r>
        <w:rPr>
          <w:rFonts w:hint="eastAsia"/>
          <w:color w:val="000000" w:themeColor="text1"/>
          <w:highlight w:val="none"/>
          <w:lang w:val="en-US" w:eastAsia="zh-CN"/>
        </w:rPr>
        <w:t>现状调查</w:t>
      </w:r>
    </w:p>
    <w:p w14:paraId="58727996">
      <w:pPr>
        <w:pStyle w:val="42"/>
        <w:pageBreakBefore w:val="0"/>
        <w:wordWrap/>
        <w:topLinePunct w:val="0"/>
        <w:bidi w:val="0"/>
        <w:spacing w:line="360" w:lineRule="auto"/>
        <w:ind w:firstLine="482"/>
        <w:jc w:val="both"/>
        <w:rPr>
          <w:rFonts w:ascii="Times New Roman" w:eastAsia="宋体"/>
          <w:color w:val="000000" w:themeColor="text1"/>
          <w:kern w:val="2"/>
          <w:highlight w:val="none"/>
        </w:rPr>
      </w:pPr>
      <w:r>
        <w:rPr>
          <w:rFonts w:hint="eastAsia" w:ascii="Times New Roman" w:eastAsia="宋体"/>
          <w:color w:val="000000" w:themeColor="text1"/>
          <w:kern w:val="2"/>
          <w:highlight w:val="none"/>
        </w:rPr>
        <w:t>本项目调查范围内地表水体主要为</w:t>
      </w:r>
      <w:r>
        <w:rPr>
          <w:rFonts w:hint="eastAsia" w:ascii="Times New Roman" w:eastAsia="宋体"/>
          <w:color w:val="000000" w:themeColor="text1"/>
          <w:kern w:val="2"/>
          <w:highlight w:val="none"/>
          <w:lang w:val="en-US" w:eastAsia="zh-CN"/>
        </w:rPr>
        <w:t>路北一支干渠和朝鲜河</w:t>
      </w:r>
      <w:r>
        <w:rPr>
          <w:rFonts w:hint="eastAsia" w:ascii="Times New Roman" w:eastAsia="宋体"/>
          <w:color w:val="000000" w:themeColor="text1"/>
          <w:kern w:val="2"/>
          <w:highlight w:val="none"/>
        </w:rPr>
        <w:t>。</w:t>
      </w:r>
    </w:p>
    <w:p w14:paraId="6E426B10">
      <w:pPr>
        <w:pStyle w:val="42"/>
        <w:keepNext w:val="0"/>
        <w:keepLines w:val="0"/>
        <w:pageBreakBefore w:val="0"/>
        <w:widowControl w:val="0"/>
        <w:kinsoku/>
        <w:wordWrap/>
        <w:overflowPunct/>
        <w:topLinePunct w:val="0"/>
        <w:bidi w:val="0"/>
        <w:adjustRightInd w:val="0"/>
        <w:spacing w:line="360" w:lineRule="auto"/>
        <w:ind w:firstLine="482"/>
        <w:jc w:val="both"/>
        <w:rPr>
          <w:rFonts w:hint="eastAsia" w:ascii="Times New Roman" w:eastAsia="宋体"/>
          <w:color w:val="000000" w:themeColor="text1"/>
          <w:kern w:val="2"/>
          <w:highlight w:val="none"/>
          <w:lang w:val="en-US" w:eastAsia="zh-CN"/>
        </w:rPr>
      </w:pPr>
      <w:r>
        <w:rPr>
          <w:rFonts w:hint="eastAsia" w:ascii="Times New Roman" w:eastAsia="宋体"/>
          <w:color w:val="000000" w:themeColor="text1"/>
          <w:kern w:val="2"/>
          <w:highlight w:val="none"/>
          <w:lang w:val="en-US" w:eastAsia="zh-CN"/>
        </w:rPr>
        <w:t>根据现场调查及资料收集，朝鲜河内浮游植物优势种为尺骨针杆藻（</w:t>
      </w:r>
      <w:r>
        <w:rPr>
          <w:rFonts w:hint="eastAsia" w:ascii="Times New Roman" w:eastAsia="宋体"/>
          <w:i/>
          <w:iCs/>
          <w:color w:val="000000" w:themeColor="text1"/>
          <w:kern w:val="2"/>
          <w:highlight w:val="none"/>
          <w:lang w:val="en-US" w:eastAsia="zh-CN"/>
        </w:rPr>
        <w:t>Synedra ulna</w:t>
      </w:r>
      <w:r>
        <w:rPr>
          <w:rFonts w:hint="eastAsia" w:ascii="Times New Roman" w:eastAsia="宋体"/>
          <w:color w:val="000000" w:themeColor="text1"/>
          <w:kern w:val="2"/>
          <w:highlight w:val="none"/>
          <w:lang w:val="en-US" w:eastAsia="zh-CN"/>
        </w:rPr>
        <w:t>）、水绵（</w:t>
      </w:r>
      <w:r>
        <w:rPr>
          <w:rFonts w:hint="eastAsia" w:ascii="Times New Roman" w:eastAsia="宋体"/>
          <w:i/>
          <w:iCs/>
          <w:color w:val="000000" w:themeColor="text1"/>
          <w:kern w:val="2"/>
          <w:highlight w:val="none"/>
          <w:lang w:val="en-US" w:eastAsia="zh-CN"/>
        </w:rPr>
        <w:t>Spirogyra sp.</w:t>
      </w:r>
      <w:r>
        <w:rPr>
          <w:rFonts w:hint="eastAsia" w:ascii="Times New Roman" w:eastAsia="宋体"/>
          <w:color w:val="000000" w:themeColor="text1"/>
          <w:kern w:val="2"/>
          <w:highlight w:val="none"/>
          <w:lang w:val="en-US" w:eastAsia="zh-CN"/>
        </w:rPr>
        <w:t>）等；浮游动物优势种为原生动物的球形沙壳虫（</w:t>
      </w:r>
      <w:r>
        <w:rPr>
          <w:rFonts w:hint="eastAsia" w:ascii="Times New Roman" w:eastAsia="宋体"/>
          <w:i/>
          <w:iCs/>
          <w:color w:val="000000" w:themeColor="text1"/>
          <w:kern w:val="2"/>
          <w:highlight w:val="none"/>
          <w:lang w:val="en-US" w:eastAsia="zh-CN"/>
        </w:rPr>
        <w:t>D. globulosa Dujardin</w:t>
      </w:r>
      <w:r>
        <w:rPr>
          <w:rFonts w:hint="eastAsia" w:ascii="Times New Roman" w:eastAsia="宋体"/>
          <w:color w:val="000000" w:themeColor="text1"/>
          <w:kern w:val="2"/>
          <w:highlight w:val="none"/>
          <w:lang w:val="en-US" w:eastAsia="zh-CN"/>
        </w:rPr>
        <w:t>）、轮虫的蒲达臂尾轮虫（</w:t>
      </w:r>
      <w:r>
        <w:rPr>
          <w:rFonts w:hint="eastAsia" w:ascii="Times New Roman" w:eastAsia="宋体"/>
          <w:i/>
          <w:iCs/>
          <w:color w:val="000000" w:themeColor="text1"/>
          <w:kern w:val="2"/>
          <w:highlight w:val="none"/>
          <w:lang w:val="en-US" w:eastAsia="zh-CN"/>
        </w:rPr>
        <w:t>Brachionus budapestiensis</w:t>
      </w:r>
      <w:r>
        <w:rPr>
          <w:rFonts w:hint="eastAsia" w:ascii="Times New Roman" w:eastAsia="宋体"/>
          <w:color w:val="000000" w:themeColor="text1"/>
          <w:kern w:val="2"/>
          <w:highlight w:val="none"/>
          <w:lang w:val="en-US" w:eastAsia="zh-CN"/>
        </w:rPr>
        <w:t>）等；底栖动物主要为绿石蝇（</w:t>
      </w:r>
      <w:r>
        <w:rPr>
          <w:rFonts w:hint="eastAsia" w:ascii="Times New Roman" w:eastAsia="宋体"/>
          <w:i/>
          <w:iCs/>
          <w:color w:val="000000" w:themeColor="text1"/>
          <w:kern w:val="2"/>
          <w:highlight w:val="none"/>
          <w:lang w:val="en-US" w:eastAsia="zh-CN"/>
        </w:rPr>
        <w:t>Chloraperla sp.</w:t>
      </w:r>
      <w:r>
        <w:rPr>
          <w:rFonts w:hint="eastAsia" w:ascii="Times New Roman" w:eastAsia="宋体"/>
          <w:color w:val="000000" w:themeColor="text1"/>
          <w:kern w:val="2"/>
          <w:highlight w:val="none"/>
          <w:lang w:val="en-US" w:eastAsia="zh-CN"/>
        </w:rPr>
        <w:t>）、虫怱（</w:t>
      </w:r>
      <w:r>
        <w:rPr>
          <w:rFonts w:hint="eastAsia" w:ascii="Times New Roman" w:eastAsia="宋体"/>
          <w:i/>
          <w:iCs/>
          <w:color w:val="000000" w:themeColor="text1"/>
          <w:kern w:val="2"/>
          <w:highlight w:val="none"/>
          <w:lang w:val="en-US" w:eastAsia="zh-CN"/>
        </w:rPr>
        <w:t>Coenagrion sp.</w:t>
      </w:r>
      <w:r>
        <w:rPr>
          <w:rFonts w:hint="eastAsia" w:ascii="Times New Roman" w:eastAsia="宋体"/>
          <w:color w:val="000000" w:themeColor="text1"/>
          <w:kern w:val="2"/>
          <w:highlight w:val="none"/>
          <w:lang w:val="en-US" w:eastAsia="zh-CN"/>
        </w:rPr>
        <w:t>）等；鱼类主要为瓦氏雅罗鱼（</w:t>
      </w:r>
      <w:r>
        <w:rPr>
          <w:rFonts w:hint="eastAsia" w:ascii="Times New Roman" w:eastAsia="宋体"/>
          <w:i/>
          <w:iCs/>
          <w:color w:val="000000" w:themeColor="text1"/>
          <w:kern w:val="2"/>
          <w:highlight w:val="none"/>
          <w:lang w:val="en-US" w:eastAsia="zh-CN"/>
        </w:rPr>
        <w:t>Leuciscuswaleckii</w:t>
      </w:r>
      <w:r>
        <w:rPr>
          <w:rFonts w:hint="eastAsia" w:ascii="Times New Roman" w:eastAsia="宋体"/>
          <w:color w:val="000000" w:themeColor="text1"/>
          <w:kern w:val="2"/>
          <w:highlight w:val="none"/>
          <w:lang w:val="en-US" w:eastAsia="zh-CN"/>
        </w:rPr>
        <w:t>）、黑斑狗鱼（</w:t>
      </w:r>
      <w:r>
        <w:rPr>
          <w:rFonts w:hint="eastAsia" w:ascii="Times New Roman" w:eastAsia="宋体"/>
          <w:i/>
          <w:iCs/>
          <w:color w:val="000000" w:themeColor="text1"/>
          <w:kern w:val="2"/>
          <w:highlight w:val="none"/>
          <w:lang w:val="en-US" w:eastAsia="zh-CN"/>
        </w:rPr>
        <w:t>Esox reicherti</w:t>
      </w:r>
      <w:r>
        <w:rPr>
          <w:rFonts w:hint="eastAsia" w:ascii="Times New Roman" w:eastAsia="宋体"/>
          <w:color w:val="000000" w:themeColor="text1"/>
          <w:kern w:val="2"/>
          <w:highlight w:val="none"/>
          <w:lang w:val="en-US" w:eastAsia="zh-CN"/>
        </w:rPr>
        <w:t>）、北鳅（</w:t>
      </w:r>
      <w:r>
        <w:rPr>
          <w:rFonts w:hint="eastAsia" w:ascii="Times New Roman" w:eastAsia="宋体"/>
          <w:i/>
          <w:iCs/>
          <w:color w:val="000000" w:themeColor="text1"/>
          <w:kern w:val="2"/>
          <w:highlight w:val="none"/>
          <w:lang w:val="en-US" w:eastAsia="zh-CN"/>
        </w:rPr>
        <w:t>Lefua costata</w:t>
      </w:r>
      <w:r>
        <w:rPr>
          <w:rFonts w:hint="eastAsia" w:ascii="Times New Roman" w:eastAsia="宋体"/>
          <w:color w:val="000000" w:themeColor="text1"/>
          <w:kern w:val="2"/>
          <w:highlight w:val="none"/>
          <w:lang w:val="en-US" w:eastAsia="zh-CN"/>
        </w:rPr>
        <w:t>）等。</w:t>
      </w:r>
    </w:p>
    <w:p w14:paraId="065539BE">
      <w:pPr>
        <w:keepNext w:val="0"/>
        <w:keepLines w:val="0"/>
        <w:pageBreakBefore w:val="0"/>
        <w:widowControl w:val="0"/>
        <w:kinsoku/>
        <w:wordWrap/>
        <w:overflowPunct/>
        <w:topLinePunct w:val="0"/>
        <w:bidi w:val="0"/>
        <w:adjustRightInd w:val="0"/>
        <w:spacing w:line="360" w:lineRule="auto"/>
        <w:rPr>
          <w:rFonts w:cs="Arial"/>
          <w:color w:val="000000" w:themeColor="text1"/>
          <w:highlight w:val="none"/>
        </w:rPr>
      </w:pPr>
      <w:r>
        <w:rPr>
          <w:rFonts w:hint="eastAsia" w:cs="Arial"/>
          <w:color w:val="000000" w:themeColor="text1"/>
          <w:highlight w:val="none"/>
        </w:rPr>
        <w:t>根据调查结果显示，调查范围内河流不存在国家级及省级野生保护鱼类。</w:t>
      </w:r>
      <w:r>
        <w:rPr>
          <w:rFonts w:hint="eastAsia"/>
          <w:color w:val="000000" w:themeColor="text1"/>
          <w:highlight w:val="none"/>
        </w:rPr>
        <w:t>项目跨越的河流，在评价范围内无重要水生生物的自然产卵场及索饵场、越冬场和洄游通道、天然渔场分布。</w:t>
      </w:r>
    </w:p>
    <w:p w14:paraId="7CB3EB30">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4.3.1.</w:t>
      </w:r>
      <w:r>
        <w:rPr>
          <w:rFonts w:hint="eastAsia"/>
          <w:color w:val="000000" w:themeColor="text1"/>
          <w:highlight w:val="none"/>
          <w:lang w:val="en-US" w:eastAsia="zh-CN"/>
        </w:rPr>
        <w:t>7</w:t>
      </w:r>
      <w:r>
        <w:rPr>
          <w:rFonts w:hint="eastAsia"/>
          <w:color w:val="000000" w:themeColor="text1"/>
          <w:highlight w:val="none"/>
        </w:rPr>
        <w:t>评价区主要生态问题</w:t>
      </w:r>
    </w:p>
    <w:bookmarkEnd w:id="335"/>
    <w:bookmarkEnd w:id="336"/>
    <w:bookmarkEnd w:id="337"/>
    <w:bookmarkEnd w:id="338"/>
    <w:p w14:paraId="5B434609">
      <w:pPr>
        <w:pageBreakBefore w:val="0"/>
        <w:wordWrap/>
        <w:topLinePunct w:val="0"/>
        <w:bidi w:val="0"/>
        <w:spacing w:line="360" w:lineRule="auto"/>
        <w:rPr>
          <w:rFonts w:hint="default"/>
          <w:color w:val="000000" w:themeColor="text1"/>
          <w:highlight w:val="none"/>
          <w:lang w:val="en-US"/>
        </w:rPr>
      </w:pPr>
      <w:bookmarkStart w:id="339" w:name="_Toc7410"/>
      <w:bookmarkStart w:id="340" w:name="_Toc15708"/>
      <w:r>
        <w:rPr>
          <w:rFonts w:hint="eastAsia"/>
          <w:color w:val="000000" w:themeColor="text1"/>
          <w:highlight w:val="none"/>
        </w:rPr>
        <w:t>综上所述，本项目调查区域呈条带状分布，面积较大，</w:t>
      </w:r>
      <w:r>
        <w:rPr>
          <w:rFonts w:hint="eastAsia"/>
          <w:color w:val="000000" w:themeColor="text1"/>
          <w:highlight w:val="none"/>
          <w:lang w:val="en-US" w:eastAsia="zh-CN"/>
        </w:rPr>
        <w:t>区域内多以农田生态系统为主，区域评价区域内群落结构简单，物种数量较少，丰富度不高，总体生态环境质量一般，生态系统服务功能较差。本项目属于东北漫川漫岗省级水土流失重点治理区和鹤岗市水土流失重点预防区。该区域的主要生态环境问题是水土流失。</w:t>
      </w:r>
    </w:p>
    <w:p w14:paraId="5027A5BB">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4.3.1.</w:t>
      </w:r>
      <w:r>
        <w:rPr>
          <w:rFonts w:hint="eastAsia"/>
          <w:color w:val="000000" w:themeColor="text1"/>
          <w:highlight w:val="none"/>
          <w:lang w:val="en-US" w:eastAsia="zh-CN"/>
        </w:rPr>
        <w:t>8生态现状调查结论</w:t>
      </w:r>
    </w:p>
    <w:p w14:paraId="467535ED">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受农田开垦及人类经济活动影响，</w:t>
      </w:r>
      <w:r>
        <w:rPr>
          <w:rFonts w:hint="eastAsia"/>
          <w:color w:val="000000" w:themeColor="text1"/>
          <w:kern w:val="0"/>
          <w:highlight w:val="none"/>
          <w:lang w:val="en-US" w:eastAsia="zh-CN"/>
        </w:rPr>
        <w:t>区域内植被以农田植被为主，</w:t>
      </w:r>
      <w:r>
        <w:rPr>
          <w:rFonts w:hint="eastAsia"/>
          <w:color w:val="000000" w:themeColor="text1"/>
          <w:highlight w:val="none"/>
          <w:lang w:val="en-US" w:eastAsia="zh-CN"/>
        </w:rPr>
        <w:t>线路沿线两侧主要分布的动物为鸟类、小型哺乳动物等。区域评价区域内群落结构简单，物种数量较少，丰富度不高，总体生态环境质量一般。本项目属于东北漫川漫岗省级水土流失重点治理区和鹤岗市水土流失重点预防区。该区域的主要生态环境问题是水土流失。</w:t>
      </w:r>
    </w:p>
    <w:p w14:paraId="43035FDF">
      <w:pPr>
        <w:pageBreakBefore w:val="0"/>
        <w:wordWrap/>
        <w:topLinePunct w:val="0"/>
        <w:bidi w:val="0"/>
        <w:spacing w:line="360" w:lineRule="auto"/>
        <w:rPr>
          <w:rFonts w:hint="eastAsia"/>
          <w:color w:val="000000" w:themeColor="text1"/>
          <w:highlight w:val="none"/>
        </w:rPr>
      </w:pPr>
      <w:r>
        <w:rPr>
          <w:rFonts w:hint="eastAsia"/>
          <w:color w:val="000000" w:themeColor="text1"/>
          <w:kern w:val="0"/>
          <w:highlight w:val="none"/>
          <w:lang w:val="en-US" w:eastAsia="zh-CN"/>
        </w:rPr>
        <w:t>沿线区域未发现国家级重点保护珍稀濒危物种、黑龙江省重点保护物种和古树名木，未发现国家级重点保护野生动物栖息和繁殖，</w:t>
      </w:r>
      <w:r>
        <w:rPr>
          <w:rFonts w:hint="eastAsia" w:cs="Arial"/>
          <w:color w:val="000000" w:themeColor="text1"/>
          <w:highlight w:val="none"/>
        </w:rPr>
        <w:t>调查范围内河流不存在国家级及省级野生保护鱼类。</w:t>
      </w:r>
    </w:p>
    <w:p w14:paraId="0572F0F6">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4.3.2地</w:t>
      </w:r>
      <w:r>
        <w:rPr>
          <w:color w:val="000000" w:themeColor="text1"/>
          <w:highlight w:val="none"/>
        </w:rPr>
        <w:t>表水环境</w:t>
      </w:r>
      <w:bookmarkEnd w:id="339"/>
      <w:bookmarkEnd w:id="340"/>
    </w:p>
    <w:p w14:paraId="22C170D1">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lang w:val="en-US" w:eastAsia="zh-CN"/>
        </w:rPr>
        <w:t>位置关系</w:t>
      </w:r>
    </w:p>
    <w:p w14:paraId="54FF00D6">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本工程在</w:t>
      </w:r>
      <w:r>
        <w:rPr>
          <w:rFonts w:hint="default"/>
          <w:color w:val="000000" w:themeColor="text1"/>
          <w:highlight w:val="none"/>
          <w:lang w:eastAsia="zh-CN"/>
        </w:rPr>
        <w:t>K3+9</w:t>
      </w:r>
      <w:r>
        <w:rPr>
          <w:rFonts w:hint="eastAsia"/>
          <w:color w:val="000000" w:themeColor="text1"/>
          <w:highlight w:val="none"/>
          <w:lang w:val="en-US" w:eastAsia="zh-CN"/>
        </w:rPr>
        <w:t>71段以桥梁形式（</w:t>
      </w:r>
      <w:r>
        <w:rPr>
          <w:rFonts w:hint="default"/>
          <w:color w:val="000000" w:themeColor="text1"/>
          <w:highlight w:val="none"/>
          <w:lang w:eastAsia="zh-CN"/>
        </w:rPr>
        <w:t>机场</w:t>
      </w:r>
      <w:r>
        <w:rPr>
          <w:rFonts w:hint="eastAsia" w:ascii="Times New Roman" w:hAnsi="Times New Roman" w:eastAsia="宋体"/>
          <w:snapToGrid/>
          <w:color w:val="000000" w:themeColor="text1"/>
          <w:spacing w:val="0"/>
          <w:kern w:val="2"/>
          <w:highlight w:val="none"/>
        </w:rPr>
        <w:t>进场路</w:t>
      </w:r>
      <w:r>
        <w:rPr>
          <w:rFonts w:hint="default"/>
          <w:color w:val="000000" w:themeColor="text1"/>
          <w:highlight w:val="none"/>
          <w:lang w:eastAsia="zh-CN"/>
        </w:rPr>
        <w:t>跨朝鲜河桥</w:t>
      </w:r>
      <w:r>
        <w:rPr>
          <w:rFonts w:hint="eastAsia"/>
          <w:color w:val="000000" w:themeColor="text1"/>
          <w:highlight w:val="none"/>
          <w:lang w:eastAsia="zh-CN"/>
        </w:rPr>
        <w:t>，</w:t>
      </w:r>
      <w:r>
        <w:rPr>
          <w:rFonts w:hint="default"/>
          <w:color w:val="000000" w:themeColor="text1"/>
          <w:highlight w:val="none"/>
          <w:lang w:eastAsia="zh-CN"/>
        </w:rPr>
        <w:t>3×20m小箱梁桥</w:t>
      </w:r>
      <w:r>
        <w:rPr>
          <w:rFonts w:hint="eastAsia"/>
          <w:color w:val="000000" w:themeColor="text1"/>
          <w:highlight w:val="none"/>
          <w:lang w:val="en-US" w:eastAsia="zh-CN"/>
        </w:rPr>
        <w:t>）跨越朝鲜河，在</w:t>
      </w:r>
      <w:r>
        <w:rPr>
          <w:rFonts w:hint="default"/>
          <w:color w:val="000000" w:themeColor="text1"/>
          <w:highlight w:val="none"/>
          <w:lang w:eastAsia="zh-CN"/>
        </w:rPr>
        <w:t>K2+52</w:t>
      </w:r>
      <w:r>
        <w:rPr>
          <w:rFonts w:hint="eastAsia"/>
          <w:color w:val="000000" w:themeColor="text1"/>
          <w:highlight w:val="none"/>
          <w:lang w:val="en-US" w:eastAsia="zh-CN"/>
        </w:rPr>
        <w:t>3.5段以桥梁形式（</w:t>
      </w:r>
      <w:r>
        <w:rPr>
          <w:rFonts w:hint="default"/>
          <w:color w:val="000000" w:themeColor="text1"/>
          <w:highlight w:val="none"/>
          <w:lang w:eastAsia="zh-CN"/>
        </w:rPr>
        <w:t>机场</w:t>
      </w:r>
      <w:r>
        <w:rPr>
          <w:rFonts w:hint="eastAsia" w:ascii="Times New Roman" w:hAnsi="Times New Roman" w:eastAsia="宋体"/>
          <w:snapToGrid/>
          <w:color w:val="000000" w:themeColor="text1"/>
          <w:spacing w:val="0"/>
          <w:kern w:val="2"/>
          <w:highlight w:val="none"/>
        </w:rPr>
        <w:t>进场路</w:t>
      </w:r>
      <w:r>
        <w:rPr>
          <w:rFonts w:hint="default"/>
          <w:color w:val="000000" w:themeColor="text1"/>
          <w:highlight w:val="none"/>
          <w:lang w:eastAsia="zh-CN"/>
        </w:rPr>
        <w:t>跨路北一支桥</w:t>
      </w:r>
      <w:r>
        <w:rPr>
          <w:rFonts w:hint="eastAsia"/>
          <w:color w:val="000000" w:themeColor="text1"/>
          <w:highlight w:val="none"/>
          <w:lang w:eastAsia="zh-CN"/>
        </w:rPr>
        <w:t>，</w:t>
      </w:r>
      <w:r>
        <w:rPr>
          <w:rFonts w:hint="default"/>
          <w:color w:val="000000" w:themeColor="text1"/>
          <w:highlight w:val="none"/>
          <w:lang w:eastAsia="zh-CN"/>
        </w:rPr>
        <w:t>2×13m矮T梁桥</w:t>
      </w:r>
      <w:r>
        <w:rPr>
          <w:rFonts w:hint="eastAsia"/>
          <w:color w:val="000000" w:themeColor="text1"/>
          <w:highlight w:val="none"/>
          <w:lang w:val="en-US" w:eastAsia="zh-CN"/>
        </w:rPr>
        <w:t>）跨越路北一支干渠。</w:t>
      </w:r>
    </w:p>
    <w:p w14:paraId="4FB6BEE1">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lang w:val="en-US" w:eastAsia="zh-CN"/>
        </w:rPr>
        <w:t>现状调查与评价</w:t>
      </w:r>
    </w:p>
    <w:p w14:paraId="34309BF1">
      <w:pPr>
        <w:pStyle w:val="9"/>
        <w:pageBreakBefore w:val="0"/>
        <w:wordWrap/>
        <w:topLinePunct w:val="0"/>
        <w:bidi w:val="0"/>
        <w:spacing w:line="360" w:lineRule="auto"/>
        <w:ind w:left="0" w:leftChars="0"/>
        <w:rPr>
          <w:color w:val="000000" w:themeColor="text1"/>
          <w:highlight w:val="none"/>
        </w:rPr>
      </w:pPr>
      <w:r>
        <w:rPr>
          <w:rFonts w:hint="eastAsia" w:ascii="Times New Roman" w:eastAsia="宋体"/>
          <w:color w:val="000000" w:themeColor="text1"/>
          <w:kern w:val="2"/>
          <w:highlight w:val="none"/>
        </w:rPr>
        <w:t>本项目调查范围内地表水体主要为</w:t>
      </w:r>
      <w:r>
        <w:rPr>
          <w:rFonts w:hint="eastAsia" w:ascii="Times New Roman" w:eastAsia="宋体"/>
          <w:color w:val="000000" w:themeColor="text1"/>
          <w:kern w:val="2"/>
          <w:highlight w:val="none"/>
          <w:lang w:val="en-US" w:eastAsia="zh-CN"/>
        </w:rPr>
        <w:t>路北一支干渠和朝鲜河</w:t>
      </w:r>
      <w:r>
        <w:rPr>
          <w:rFonts w:hint="eastAsia" w:ascii="Times New Roman" w:eastAsia="宋体"/>
          <w:color w:val="000000" w:themeColor="text1"/>
          <w:kern w:val="2"/>
          <w:highlight w:val="none"/>
          <w:lang w:eastAsia="zh-CN"/>
        </w:rPr>
        <w:t>，</w:t>
      </w:r>
      <w:r>
        <w:rPr>
          <w:rFonts w:hint="eastAsia"/>
          <w:color w:val="000000" w:themeColor="text1"/>
          <w:highlight w:val="none"/>
          <w:lang w:val="en-US" w:eastAsia="zh-CN"/>
        </w:rPr>
        <w:t>路北一支干渠和朝鲜河均无</w:t>
      </w:r>
      <w:r>
        <w:rPr>
          <w:color w:val="000000" w:themeColor="text1"/>
          <w:highlight w:val="none"/>
        </w:rPr>
        <w:t>规划水体类别</w:t>
      </w:r>
      <w:r>
        <w:rPr>
          <w:rFonts w:hint="eastAsia"/>
          <w:color w:val="000000" w:themeColor="text1"/>
          <w:highlight w:val="none"/>
        </w:rPr>
        <w:t>，</w:t>
      </w:r>
      <w:r>
        <w:rPr>
          <w:rFonts w:hint="eastAsia"/>
          <w:color w:val="000000" w:themeColor="text1"/>
          <w:highlight w:val="none"/>
          <w:lang w:val="en-US" w:eastAsia="zh-CN"/>
        </w:rPr>
        <w:t>其</w:t>
      </w:r>
      <w:r>
        <w:rPr>
          <w:color w:val="000000" w:themeColor="text1"/>
          <w:szCs w:val="20"/>
          <w:highlight w:val="none"/>
        </w:rPr>
        <w:t>最终均汇入</w:t>
      </w:r>
      <w:r>
        <w:rPr>
          <w:rFonts w:hint="eastAsia"/>
          <w:color w:val="000000" w:themeColor="text1"/>
          <w:szCs w:val="20"/>
          <w:highlight w:val="none"/>
          <w:lang w:val="en-US" w:eastAsia="zh-CN"/>
        </w:rPr>
        <w:t>梧桐河</w:t>
      </w:r>
      <w:r>
        <w:rPr>
          <w:rFonts w:hint="eastAsia"/>
          <w:color w:val="000000" w:themeColor="text1"/>
          <w:szCs w:val="20"/>
          <w:highlight w:val="none"/>
        </w:rPr>
        <w:t>。</w:t>
      </w:r>
      <w:r>
        <w:rPr>
          <w:rFonts w:hint="eastAsia"/>
          <w:color w:val="000000" w:themeColor="text1"/>
          <w:kern w:val="0"/>
          <w:szCs w:val="20"/>
          <w:highlight w:val="none"/>
          <w:lang w:val="en-US" w:eastAsia="zh-CN" w:bidi="ar"/>
        </w:rPr>
        <w:t>根据《全国重要江河湖泊水功能区划（2011-2030年）（黑龙江省）》，</w:t>
      </w:r>
      <w:r>
        <w:rPr>
          <w:rFonts w:hint="eastAsia"/>
          <w:color w:val="000000" w:themeColor="text1"/>
          <w:highlight w:val="none"/>
          <w:lang w:val="en-US" w:eastAsia="zh-CN"/>
        </w:rPr>
        <w:t>梧桐河（向阳林场至入松花江河口段）梧桐河鹤岗市农业、渔业用水区，地表水体功能区划</w:t>
      </w:r>
      <w:r>
        <w:rPr>
          <w:rFonts w:hint="default" w:ascii="Times New Roman" w:hAnsi="Times New Roman" w:cs="Times New Roman"/>
          <w:color w:val="000000" w:themeColor="text1"/>
          <w:highlight w:val="none"/>
          <w:lang w:val="en-US" w:eastAsia="zh-CN"/>
        </w:rPr>
        <w:t>为</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类水体，</w:t>
      </w:r>
      <w:r>
        <w:rPr>
          <w:rFonts w:hint="eastAsia" w:cs="Times New Roman"/>
          <w:color w:val="000000" w:themeColor="text1"/>
          <w:highlight w:val="none"/>
          <w:lang w:val="en-US" w:eastAsia="zh-CN"/>
        </w:rPr>
        <w:t>因此本项目地表水体参照执行</w:t>
      </w:r>
      <w:r>
        <w:rPr>
          <w:color w:val="000000" w:themeColor="text1"/>
          <w:szCs w:val="20"/>
          <w:highlight w:val="none"/>
        </w:rPr>
        <w:t>《地表水环境质量标准》（GB3838-2002）中</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ascii="Times New Roman" w:hAnsi="Times New Roman" w:cs="Times New Roman"/>
          <w:color w:val="000000" w:themeColor="text1"/>
          <w:highlight w:val="none"/>
          <w:lang w:val="en-US" w:eastAsia="zh-CN"/>
        </w:rPr>
        <w:t>标准。</w:t>
      </w:r>
    </w:p>
    <w:p w14:paraId="3854AC8E">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rPr>
        <w:t>根据《2024年黑龙江省生态环境质量状况》可知，</w:t>
      </w:r>
      <w:r>
        <w:rPr>
          <w:rFonts w:hint="default" w:ascii="Times New Roman" w:hAnsi="Times New Roman" w:cs="Times New Roman"/>
          <w:color w:val="000000" w:themeColor="text1"/>
          <w:highlight w:val="none"/>
          <w:lang w:val="en-US" w:eastAsia="zh-CN"/>
        </w:rPr>
        <w:t>梧桐河</w:t>
      </w:r>
      <w:r>
        <w:rPr>
          <w:rFonts w:hint="default" w:ascii="Times New Roman" w:hAnsi="Times New Roman" w:cs="Times New Roman"/>
          <w:color w:val="000000" w:themeColor="text1"/>
          <w:highlight w:val="none"/>
        </w:rPr>
        <w:t>水质为Ⅲ类</w:t>
      </w:r>
      <w:r>
        <w:rPr>
          <w:rFonts w:hint="eastAsia"/>
          <w:color w:val="000000" w:themeColor="text1"/>
          <w:highlight w:val="none"/>
        </w:rPr>
        <w:t>，满足《全国重要江河湖泊水功能区划</w:t>
      </w:r>
      <w:r>
        <w:rPr>
          <w:rFonts w:hint="eastAsia"/>
          <w:color w:val="000000" w:themeColor="text1"/>
          <w:highlight w:val="none"/>
          <w:lang w:eastAsia="zh-CN"/>
        </w:rPr>
        <w:t>（</w:t>
      </w:r>
      <w:r>
        <w:rPr>
          <w:rFonts w:hint="eastAsia"/>
          <w:color w:val="000000" w:themeColor="text1"/>
          <w:highlight w:val="none"/>
        </w:rPr>
        <w:t>2011~2030</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水资源[2012]131号</w:t>
      </w:r>
      <w:r>
        <w:rPr>
          <w:rFonts w:hint="eastAsia"/>
          <w:color w:val="000000" w:themeColor="text1"/>
          <w:highlight w:val="none"/>
          <w:lang w:eastAsia="zh-CN"/>
        </w:rPr>
        <w:t>）</w:t>
      </w:r>
      <w:r>
        <w:rPr>
          <w:rFonts w:hint="eastAsia"/>
          <w:color w:val="000000" w:themeColor="text1"/>
          <w:highlight w:val="none"/>
        </w:rPr>
        <w:t>规定的水体功能区划要求。</w:t>
      </w:r>
      <w:r>
        <w:rPr>
          <w:rFonts w:hint="eastAsia"/>
          <w:color w:val="000000" w:themeColor="text1"/>
          <w:highlight w:val="none"/>
          <w:lang w:val="en-US" w:eastAsia="zh-CN"/>
        </w:rPr>
        <w:t>项目区水系图见附图8。</w:t>
      </w:r>
    </w:p>
    <w:p w14:paraId="10E7A916">
      <w:pPr>
        <w:pageBreakBefore w:val="0"/>
        <w:wordWrap/>
        <w:topLinePunct w:val="0"/>
        <w:bidi w:val="0"/>
        <w:spacing w:line="360" w:lineRule="auto"/>
        <w:jc w:val="center"/>
        <w:rPr>
          <w:rFonts w:hint="eastAsia"/>
          <w:color w:val="000000" w:themeColor="text1"/>
          <w:highlight w:val="none"/>
          <w:lang w:val="en-US" w:eastAsia="zh-CN"/>
        </w:rPr>
      </w:pPr>
      <w:r>
        <w:rPr>
          <w:rFonts w:hint="eastAsia"/>
          <w:color w:val="000000" w:themeColor="text1"/>
          <w:highlight w:val="none"/>
          <w:lang w:val="en-US" w:eastAsia="zh-CN"/>
        </w:rPr>
        <w:drawing>
          <wp:inline distT="0" distB="0" distL="114300" distR="114300">
            <wp:extent cx="3037840" cy="4051300"/>
            <wp:effectExtent l="0" t="0" r="10160" b="2540"/>
            <wp:docPr id="1" name="图片 1" descr="微信图片_2025041613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50416131055"/>
                    <pic:cNvPicPr>
                      <a:picLocks noChangeAspect="1"/>
                    </pic:cNvPicPr>
                  </pic:nvPicPr>
                  <pic:blipFill>
                    <a:blip r:embed="rId51"/>
                    <a:stretch>
                      <a:fillRect/>
                    </a:stretch>
                  </pic:blipFill>
                  <pic:spPr>
                    <a:xfrm>
                      <a:off x="0" y="0"/>
                      <a:ext cx="3037840" cy="4051300"/>
                    </a:xfrm>
                    <a:prstGeom prst="rect">
                      <a:avLst/>
                    </a:prstGeom>
                  </pic:spPr>
                </pic:pic>
              </a:graphicData>
            </a:graphic>
          </wp:inline>
        </w:drawing>
      </w:r>
    </w:p>
    <w:p w14:paraId="7EF36561">
      <w:pPr>
        <w:pageBreakBefore w:val="0"/>
        <w:wordWrap/>
        <w:topLinePunct w:val="0"/>
        <w:bidi w:val="0"/>
        <w:spacing w:line="360" w:lineRule="auto"/>
        <w:jc w:val="center"/>
        <w:rPr>
          <w:rFonts w:hint="eastAsia"/>
          <w:b/>
          <w:color w:val="000000" w:themeColor="text1"/>
          <w:sz w:val="24"/>
          <w:szCs w:val="24"/>
          <w:highlight w:val="none"/>
          <w:lang w:val="en-US" w:eastAsia="zh-CN"/>
        </w:rPr>
      </w:pPr>
      <w:r>
        <w:rPr>
          <w:rFonts w:hint="eastAsia"/>
          <w:b/>
          <w:color w:val="000000" w:themeColor="text1"/>
          <w:sz w:val="24"/>
          <w:szCs w:val="24"/>
          <w:highlight w:val="none"/>
          <w:lang w:val="en-US" w:eastAsia="zh-CN"/>
        </w:rPr>
        <w:t>图</w:t>
      </w:r>
      <w:r>
        <w:rPr>
          <w:b/>
          <w:color w:val="000000" w:themeColor="text1"/>
          <w:sz w:val="24"/>
          <w:szCs w:val="24"/>
          <w:highlight w:val="none"/>
        </w:rPr>
        <w:t>4.2-</w:t>
      </w:r>
      <w:r>
        <w:rPr>
          <w:rFonts w:hint="eastAsia"/>
          <w:b/>
          <w:color w:val="000000" w:themeColor="text1"/>
          <w:sz w:val="24"/>
          <w:szCs w:val="24"/>
          <w:highlight w:val="none"/>
          <w:lang w:val="en-US" w:eastAsia="zh-CN"/>
        </w:rPr>
        <w:t>2</w:t>
      </w:r>
      <w:r>
        <w:rPr>
          <w:b/>
          <w:color w:val="000000" w:themeColor="text1"/>
          <w:sz w:val="24"/>
          <w:szCs w:val="24"/>
          <w:highlight w:val="none"/>
        </w:rPr>
        <w:t xml:space="preserve">  </w:t>
      </w:r>
      <w:r>
        <w:rPr>
          <w:rFonts w:hint="eastAsia"/>
          <w:b/>
          <w:color w:val="000000" w:themeColor="text1"/>
          <w:sz w:val="24"/>
          <w:szCs w:val="24"/>
          <w:highlight w:val="none"/>
          <w:lang w:val="en-US" w:eastAsia="zh-CN"/>
        </w:rPr>
        <w:t>朝鲜河上游现状</w:t>
      </w:r>
    </w:p>
    <w:p w14:paraId="7603D7E5">
      <w:pPr>
        <w:pageBreakBefore w:val="0"/>
        <w:wordWrap/>
        <w:topLinePunct w:val="0"/>
        <w:bidi w:val="0"/>
        <w:spacing w:line="360" w:lineRule="auto"/>
        <w:jc w:val="center"/>
        <w:rPr>
          <w:rFonts w:hint="eastAsia"/>
          <w:b/>
          <w:color w:val="000000" w:themeColor="text1"/>
          <w:sz w:val="24"/>
          <w:szCs w:val="24"/>
          <w:highlight w:val="none"/>
          <w:lang w:val="en-US" w:eastAsia="zh-CN"/>
        </w:rPr>
      </w:pPr>
      <w:r>
        <w:rPr>
          <w:rFonts w:hint="eastAsia"/>
          <w:b/>
          <w:color w:val="000000" w:themeColor="text1"/>
          <w:sz w:val="24"/>
          <w:szCs w:val="24"/>
          <w:highlight w:val="none"/>
          <w:lang w:val="en-US" w:eastAsia="zh-CN"/>
        </w:rPr>
        <w:drawing>
          <wp:inline distT="0" distB="0" distL="114300" distR="114300">
            <wp:extent cx="3076575" cy="4102100"/>
            <wp:effectExtent l="0" t="0" r="1905" b="12700"/>
            <wp:docPr id="6" name="图片 6" descr="微信图片_2025041613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50416131026"/>
                    <pic:cNvPicPr>
                      <a:picLocks noChangeAspect="1"/>
                    </pic:cNvPicPr>
                  </pic:nvPicPr>
                  <pic:blipFill>
                    <a:blip r:embed="rId52"/>
                    <a:stretch>
                      <a:fillRect/>
                    </a:stretch>
                  </pic:blipFill>
                  <pic:spPr>
                    <a:xfrm>
                      <a:off x="0" y="0"/>
                      <a:ext cx="3076575" cy="4102100"/>
                    </a:xfrm>
                    <a:prstGeom prst="rect">
                      <a:avLst/>
                    </a:prstGeom>
                  </pic:spPr>
                </pic:pic>
              </a:graphicData>
            </a:graphic>
          </wp:inline>
        </w:drawing>
      </w:r>
    </w:p>
    <w:p w14:paraId="77D27482">
      <w:pPr>
        <w:pageBreakBefore w:val="0"/>
        <w:wordWrap/>
        <w:topLinePunct w:val="0"/>
        <w:bidi w:val="0"/>
        <w:spacing w:line="360" w:lineRule="auto"/>
        <w:jc w:val="center"/>
        <w:rPr>
          <w:rFonts w:hint="default" w:eastAsia="宋体"/>
          <w:color w:val="000000" w:themeColor="text1"/>
          <w:highlight w:val="none"/>
          <w:lang w:val="en-US" w:eastAsia="zh-CN"/>
        </w:rPr>
      </w:pPr>
      <w:r>
        <w:rPr>
          <w:rFonts w:hint="eastAsia"/>
          <w:b/>
          <w:color w:val="000000" w:themeColor="text1"/>
          <w:sz w:val="24"/>
          <w:szCs w:val="24"/>
          <w:highlight w:val="none"/>
          <w:lang w:val="en-US" w:eastAsia="zh-CN"/>
        </w:rPr>
        <w:t>图</w:t>
      </w:r>
      <w:r>
        <w:rPr>
          <w:b/>
          <w:color w:val="000000" w:themeColor="text1"/>
          <w:sz w:val="24"/>
          <w:szCs w:val="24"/>
          <w:highlight w:val="none"/>
        </w:rPr>
        <w:t>4.2-</w:t>
      </w:r>
      <w:r>
        <w:rPr>
          <w:rFonts w:hint="eastAsia"/>
          <w:b/>
          <w:color w:val="000000" w:themeColor="text1"/>
          <w:sz w:val="24"/>
          <w:szCs w:val="24"/>
          <w:highlight w:val="none"/>
          <w:lang w:val="en-US" w:eastAsia="zh-CN"/>
        </w:rPr>
        <w:t>3</w:t>
      </w:r>
      <w:r>
        <w:rPr>
          <w:b/>
          <w:color w:val="000000" w:themeColor="text1"/>
          <w:sz w:val="24"/>
          <w:szCs w:val="24"/>
          <w:highlight w:val="none"/>
        </w:rPr>
        <w:t xml:space="preserve">  </w:t>
      </w:r>
      <w:r>
        <w:rPr>
          <w:rFonts w:hint="eastAsia"/>
          <w:b/>
          <w:color w:val="000000" w:themeColor="text1"/>
          <w:sz w:val="24"/>
          <w:szCs w:val="24"/>
          <w:highlight w:val="none"/>
          <w:lang w:val="en-US" w:eastAsia="zh-CN"/>
        </w:rPr>
        <w:t>朝鲜河下游现状</w:t>
      </w:r>
    </w:p>
    <w:p w14:paraId="6774589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本路线跨越地表水体主要为朝鲜河，本次对朝鲜河进行地表水环境质量现状监测，共布设2个监测断面。</w:t>
      </w:r>
    </w:p>
    <w:p w14:paraId="2B6FE736">
      <w:pPr>
        <w:pageBreakBefore w:val="0"/>
        <w:wordWrap/>
        <w:topLinePunct w:val="0"/>
        <w:bidi w:val="0"/>
        <w:spacing w:line="360" w:lineRule="auto"/>
        <w:rPr>
          <w:rFonts w:hint="default"/>
          <w:color w:val="000000" w:themeColor="text1"/>
          <w:highlight w:val="none"/>
          <w:lang w:val="en-US" w:eastAsia="zh-CN"/>
        </w:rPr>
      </w:pPr>
      <w:r>
        <w:rPr>
          <w:rFonts w:hint="eastAsia"/>
          <w:color w:val="000000" w:themeColor="text1"/>
          <w:highlight w:val="none"/>
          <w:lang w:val="en-US" w:eastAsia="zh-CN"/>
        </w:rPr>
        <w:t>（1）监测项目</w:t>
      </w:r>
    </w:p>
    <w:p w14:paraId="26449F12">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rPr>
        <w:t>pH、流量、高锰酸盐指数、BOD</w:t>
      </w:r>
      <w:r>
        <w:rPr>
          <w:rFonts w:hint="eastAsia"/>
          <w:color w:val="000000" w:themeColor="text1"/>
          <w:highlight w:val="none"/>
          <w:vertAlign w:val="subscript"/>
        </w:rPr>
        <w:t>5</w:t>
      </w:r>
      <w:r>
        <w:rPr>
          <w:rFonts w:hint="eastAsia"/>
          <w:color w:val="000000" w:themeColor="text1"/>
          <w:highlight w:val="none"/>
        </w:rPr>
        <w:t>、氨氮、石油类、悬浮物、总磷、总氮、溶解氧</w:t>
      </w:r>
      <w:r>
        <w:rPr>
          <w:rFonts w:hint="eastAsia"/>
          <w:color w:val="000000" w:themeColor="text1"/>
          <w:highlight w:val="none"/>
          <w:lang w:eastAsia="zh-CN"/>
        </w:rPr>
        <w:t>。</w:t>
      </w:r>
    </w:p>
    <w:p w14:paraId="56D7E200">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lang w:val="en-US" w:eastAsia="zh-CN"/>
        </w:rPr>
        <w:t>监测时间与频率</w:t>
      </w:r>
    </w:p>
    <w:p w14:paraId="7113431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连续监测3天，每天1次。</w:t>
      </w:r>
    </w:p>
    <w:p w14:paraId="656F58E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3</w:t>
      </w:r>
      <w:r>
        <w:rPr>
          <w:rFonts w:hint="eastAsia"/>
          <w:color w:val="000000" w:themeColor="text1"/>
          <w:highlight w:val="none"/>
        </w:rPr>
        <w:t>）监测点位：1#朝鲜河上游200m，2#朝鲜河下游500m共计2个监测点位。</w:t>
      </w:r>
    </w:p>
    <w:p w14:paraId="34D0495C">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rFonts w:hint="eastAsia"/>
          <w:color w:val="000000" w:themeColor="text1"/>
          <w:highlight w:val="none"/>
          <w:lang w:val="en-US" w:eastAsia="zh-CN"/>
        </w:rPr>
        <w:t>通过地表水现状监测可知，</w:t>
      </w:r>
      <w:r>
        <w:rPr>
          <w:rFonts w:hint="eastAsia" w:cs="Times New Roman"/>
          <w:color w:val="000000" w:themeColor="text1"/>
          <w:highlight w:val="none"/>
          <w:lang w:val="en-US" w:eastAsia="zh-CN"/>
        </w:rPr>
        <w:t>本项目地表水体满足</w:t>
      </w:r>
      <w:r>
        <w:rPr>
          <w:color w:val="000000" w:themeColor="text1"/>
          <w:szCs w:val="20"/>
          <w:highlight w:val="none"/>
        </w:rPr>
        <w:t>《地表水环境质量标准》（GB3838-2002）中</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ascii="Times New Roman" w:hAnsi="Times New Roman" w:cs="Times New Roman"/>
          <w:color w:val="000000" w:themeColor="text1"/>
          <w:highlight w:val="none"/>
          <w:lang w:val="en-US" w:eastAsia="zh-CN"/>
        </w:rPr>
        <w:t>标准。</w:t>
      </w:r>
      <w:r>
        <w:rPr>
          <w:rFonts w:hint="eastAsia"/>
          <w:color w:val="000000" w:themeColor="text1"/>
          <w:highlight w:val="none"/>
          <w:lang w:val="en-US" w:eastAsia="zh-CN"/>
        </w:rPr>
        <w:t>监测结果见下表：</w:t>
      </w:r>
    </w:p>
    <w:p w14:paraId="6C61ACA2">
      <w:pPr>
        <w:pageBreakBefore w:val="0"/>
        <w:wordWrap/>
        <w:topLinePunct w:val="0"/>
        <w:bidi w:val="0"/>
        <w:spacing w:line="360" w:lineRule="auto"/>
        <w:ind w:left="0" w:leftChars="0" w:firstLine="0" w:firstLineChars="0"/>
        <w:jc w:val="center"/>
        <w:rPr>
          <w:rFonts w:hint="default" w:ascii="Times New Roman" w:hAnsi="Times New Roman" w:eastAsia="宋体" w:cs="Times New Roman"/>
          <w:b/>
          <w:bCs/>
          <w:color w:val="000000" w:themeColor="text1"/>
          <w:highlight w:val="none"/>
          <w:lang w:val="en-US" w:eastAsia="zh-CN"/>
        </w:rPr>
      </w:pPr>
      <w:r>
        <w:rPr>
          <w:rFonts w:hint="default" w:ascii="Times New Roman" w:hAnsi="Times New Roman" w:eastAsia="宋体" w:cs="Times New Roman"/>
          <w:b/>
          <w:bCs/>
          <w:color w:val="000000" w:themeColor="text1"/>
          <w:highlight w:val="none"/>
        </w:rPr>
        <w:t>表4</w:t>
      </w:r>
      <w:r>
        <w:rPr>
          <w:rFonts w:hint="default" w:ascii="Times New Roman" w:hAnsi="Times New Roman" w:eastAsia="宋体" w:cs="Times New Roman"/>
          <w:b/>
          <w:bCs/>
          <w:color w:val="000000" w:themeColor="text1"/>
          <w:highlight w:val="none"/>
          <w:lang w:val="en-US" w:eastAsia="zh-CN"/>
        </w:rPr>
        <w:t>.3-</w:t>
      </w:r>
      <w:r>
        <w:rPr>
          <w:rFonts w:hint="eastAsia" w:ascii="Times New Roman" w:hAnsi="Times New Roman" w:eastAsia="宋体" w:cs="Times New Roman"/>
          <w:b/>
          <w:bCs/>
          <w:color w:val="000000" w:themeColor="text1"/>
          <w:highlight w:val="none"/>
          <w:lang w:val="en-US" w:eastAsia="zh-CN"/>
        </w:rPr>
        <w:t>5</w:t>
      </w:r>
      <w:r>
        <w:rPr>
          <w:rFonts w:hint="default" w:ascii="Times New Roman" w:hAnsi="Times New Roman" w:eastAsia="宋体" w:cs="Times New Roman"/>
          <w:b/>
          <w:bCs/>
          <w:color w:val="000000" w:themeColor="text1"/>
          <w:highlight w:val="none"/>
        </w:rPr>
        <w:t xml:space="preserve">  </w:t>
      </w:r>
      <w:r>
        <w:rPr>
          <w:rFonts w:hint="default" w:ascii="Times New Roman" w:hAnsi="Times New Roman" w:eastAsia="宋体" w:cs="Times New Roman"/>
          <w:b/>
          <w:bCs/>
          <w:color w:val="000000" w:themeColor="text1"/>
          <w:highlight w:val="none"/>
          <w:lang w:val="en-US" w:eastAsia="zh-CN"/>
        </w:rPr>
        <w:t>地表水</w:t>
      </w:r>
      <w:r>
        <w:rPr>
          <w:rFonts w:hint="eastAsia" w:cs="Times New Roman"/>
          <w:b/>
          <w:bCs/>
          <w:color w:val="000000" w:themeColor="text1"/>
          <w:highlight w:val="none"/>
          <w:lang w:val="en-US" w:eastAsia="zh-CN"/>
        </w:rPr>
        <w:t>现状</w:t>
      </w:r>
      <w:r>
        <w:rPr>
          <w:rFonts w:hint="default" w:ascii="Times New Roman" w:hAnsi="Times New Roman" w:eastAsia="宋体" w:cs="Times New Roman"/>
          <w:b/>
          <w:bCs/>
          <w:color w:val="000000" w:themeColor="text1"/>
          <w:highlight w:val="none"/>
          <w:lang w:val="en-US" w:eastAsia="zh-CN"/>
        </w:rPr>
        <w:t>监测数据及评价结果</w:t>
      </w:r>
      <w:r>
        <w:rPr>
          <w:rFonts w:hint="eastAsia" w:cs="Times New Roman"/>
          <w:b/>
          <w:bCs/>
          <w:color w:val="000000" w:themeColor="text1"/>
          <w:highlight w:val="none"/>
          <w:lang w:val="en-US" w:eastAsia="zh-CN"/>
        </w:rPr>
        <w:t xml:space="preserve"> 单位：mg/L</w:t>
      </w:r>
    </w:p>
    <w:tbl>
      <w:tblPr>
        <w:tblStyle w:val="34"/>
        <w:tblW w:w="4998" w:type="pct"/>
        <w:jc w:val="center"/>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2"/>
        <w:gridCol w:w="1142"/>
        <w:gridCol w:w="1139"/>
        <w:gridCol w:w="1131"/>
        <w:gridCol w:w="1116"/>
        <w:gridCol w:w="1157"/>
        <w:gridCol w:w="1229"/>
        <w:gridCol w:w="1193"/>
      </w:tblGrid>
      <w:tr w14:paraId="008B8264">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2" w:type="pct"/>
            <w:gridSpan w:val="2"/>
            <w:tcBorders>
              <w:tl2br w:val="nil"/>
              <w:tr2bl w:val="nil"/>
            </w:tcBorders>
            <w:noWrap w:val="0"/>
            <w:vAlign w:val="center"/>
          </w:tcPr>
          <w:p w14:paraId="35922C8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采样日期</w:t>
            </w:r>
          </w:p>
        </w:tc>
        <w:tc>
          <w:tcPr>
            <w:tcW w:w="1332" w:type="pct"/>
            <w:gridSpan w:val="2"/>
            <w:tcBorders>
              <w:tl2br w:val="nil"/>
              <w:tr2bl w:val="nil"/>
            </w:tcBorders>
            <w:noWrap w:val="0"/>
            <w:vAlign w:val="center"/>
          </w:tcPr>
          <w:p w14:paraId="083B8A2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2025.04.24</w:t>
            </w:r>
          </w:p>
        </w:tc>
        <w:tc>
          <w:tcPr>
            <w:tcW w:w="1334" w:type="pct"/>
            <w:gridSpan w:val="2"/>
            <w:tcBorders>
              <w:tl2br w:val="nil"/>
              <w:tr2bl w:val="nil"/>
            </w:tcBorders>
            <w:noWrap w:val="0"/>
            <w:vAlign w:val="center"/>
          </w:tcPr>
          <w:p w14:paraId="74DA92B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2025.04.25</w:t>
            </w:r>
          </w:p>
        </w:tc>
        <w:tc>
          <w:tcPr>
            <w:tcW w:w="1421" w:type="pct"/>
            <w:gridSpan w:val="2"/>
            <w:tcBorders>
              <w:tl2br w:val="nil"/>
              <w:tr2bl w:val="nil"/>
            </w:tcBorders>
            <w:noWrap w:val="0"/>
            <w:vAlign w:val="center"/>
          </w:tcPr>
          <w:p w14:paraId="0680B4E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2025.04.26</w:t>
            </w:r>
          </w:p>
        </w:tc>
      </w:tr>
      <w:tr w14:paraId="4C66D1B5">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2" w:type="pct"/>
            <w:gridSpan w:val="2"/>
            <w:tcBorders>
              <w:tl2br w:val="nil"/>
              <w:tr2bl w:val="nil"/>
            </w:tcBorders>
            <w:noWrap w:val="0"/>
            <w:vAlign w:val="center"/>
          </w:tcPr>
          <w:p w14:paraId="3F11810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检测点位</w:t>
            </w:r>
          </w:p>
        </w:tc>
        <w:tc>
          <w:tcPr>
            <w:tcW w:w="1139" w:type="dxa"/>
            <w:tcBorders>
              <w:tl2br w:val="nil"/>
              <w:tr2bl w:val="nil"/>
            </w:tcBorders>
            <w:noWrap w:val="0"/>
            <w:vAlign w:val="center"/>
          </w:tcPr>
          <w:p w14:paraId="366050D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default" w:ascii="Times New Roman" w:hAnsi="Times New Roman" w:eastAsia="宋体" w:cs="Times New Roman"/>
                <w:color w:val="000000" w:themeColor="text1"/>
                <w:sz w:val="21"/>
                <w:szCs w:val="21"/>
                <w:highlight w:val="none"/>
                <w:vertAlign w:val="baseline"/>
                <w:lang w:val="en-US" w:eastAsia="zh-CN"/>
              </w:rPr>
              <w:t>朝鲜河上游200m</w:t>
            </w:r>
            <w:r>
              <w:rPr>
                <w:rFonts w:hint="eastAsia" w:cs="Times New Roman"/>
                <w:color w:val="000000" w:themeColor="text1"/>
                <w:sz w:val="21"/>
                <w:szCs w:val="21"/>
                <w:highlight w:val="none"/>
                <w:vertAlign w:val="baseline"/>
                <w:lang w:val="en-US" w:eastAsia="zh-CN"/>
              </w:rPr>
              <w:t>1</w:t>
            </w:r>
          </w:p>
        </w:tc>
        <w:tc>
          <w:tcPr>
            <w:tcW w:w="1131" w:type="dxa"/>
            <w:tcBorders>
              <w:tl2br w:val="nil"/>
              <w:tr2bl w:val="nil"/>
            </w:tcBorders>
            <w:noWrap w:val="0"/>
            <w:vAlign w:val="center"/>
          </w:tcPr>
          <w:p w14:paraId="32855CE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default" w:ascii="Times New Roman" w:hAnsi="Times New Roman" w:eastAsia="宋体" w:cs="Times New Roman"/>
                <w:color w:val="000000" w:themeColor="text1"/>
                <w:sz w:val="21"/>
                <w:szCs w:val="21"/>
                <w:highlight w:val="none"/>
                <w:vertAlign w:val="baseline"/>
                <w:lang w:val="en-US" w:eastAsia="zh-CN"/>
              </w:rPr>
              <w:t>朝鲜河下游500m</w:t>
            </w:r>
            <w:r>
              <w:rPr>
                <w:rFonts w:hint="eastAsia" w:cs="Times New Roman"/>
                <w:color w:val="000000" w:themeColor="text1"/>
                <w:sz w:val="21"/>
                <w:szCs w:val="21"/>
                <w:highlight w:val="none"/>
                <w:vertAlign w:val="baseline"/>
                <w:lang w:val="en-US" w:eastAsia="zh-CN"/>
              </w:rPr>
              <w:t>2</w:t>
            </w:r>
          </w:p>
        </w:tc>
        <w:tc>
          <w:tcPr>
            <w:tcW w:w="1116" w:type="dxa"/>
            <w:tcBorders>
              <w:tl2br w:val="nil"/>
              <w:tr2bl w:val="nil"/>
            </w:tcBorders>
            <w:noWrap w:val="0"/>
            <w:vAlign w:val="center"/>
          </w:tcPr>
          <w:p w14:paraId="3DC2244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default" w:ascii="Times New Roman" w:hAnsi="Times New Roman" w:eastAsia="宋体" w:cs="Times New Roman"/>
                <w:color w:val="000000" w:themeColor="text1"/>
                <w:sz w:val="21"/>
                <w:szCs w:val="21"/>
                <w:highlight w:val="none"/>
                <w:vertAlign w:val="baseline"/>
                <w:lang w:val="en-US" w:eastAsia="zh-CN"/>
              </w:rPr>
              <w:t>朝鲜河上游200m</w:t>
            </w:r>
            <w:r>
              <w:rPr>
                <w:rFonts w:hint="eastAsia" w:cs="Times New Roman"/>
                <w:color w:val="000000" w:themeColor="text1"/>
                <w:sz w:val="21"/>
                <w:szCs w:val="21"/>
                <w:highlight w:val="none"/>
                <w:vertAlign w:val="baseline"/>
                <w:lang w:val="en-US" w:eastAsia="zh-CN"/>
              </w:rPr>
              <w:t>1</w:t>
            </w:r>
          </w:p>
        </w:tc>
        <w:tc>
          <w:tcPr>
            <w:tcW w:w="1157" w:type="dxa"/>
            <w:tcBorders>
              <w:tl2br w:val="nil"/>
              <w:tr2bl w:val="nil"/>
            </w:tcBorders>
            <w:noWrap w:val="0"/>
            <w:vAlign w:val="center"/>
          </w:tcPr>
          <w:p w14:paraId="5218E84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default" w:ascii="Times New Roman" w:hAnsi="Times New Roman" w:eastAsia="宋体" w:cs="Times New Roman"/>
                <w:color w:val="000000" w:themeColor="text1"/>
                <w:sz w:val="21"/>
                <w:szCs w:val="21"/>
                <w:highlight w:val="none"/>
                <w:vertAlign w:val="baseline"/>
                <w:lang w:val="en-US" w:eastAsia="zh-CN"/>
              </w:rPr>
              <w:t>朝鲜河下游500m</w:t>
            </w:r>
            <w:r>
              <w:rPr>
                <w:rFonts w:hint="eastAsia" w:cs="Times New Roman"/>
                <w:color w:val="000000" w:themeColor="text1"/>
                <w:sz w:val="21"/>
                <w:szCs w:val="21"/>
                <w:highlight w:val="none"/>
                <w:vertAlign w:val="baseline"/>
                <w:lang w:val="en-US" w:eastAsia="zh-CN"/>
              </w:rPr>
              <w:t>2</w:t>
            </w:r>
          </w:p>
        </w:tc>
        <w:tc>
          <w:tcPr>
            <w:tcW w:w="1229" w:type="dxa"/>
            <w:tcBorders>
              <w:tl2br w:val="nil"/>
              <w:tr2bl w:val="nil"/>
            </w:tcBorders>
            <w:noWrap w:val="0"/>
            <w:vAlign w:val="center"/>
          </w:tcPr>
          <w:p w14:paraId="5BB4E53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default" w:ascii="Times New Roman" w:hAnsi="Times New Roman" w:eastAsia="宋体" w:cs="Times New Roman"/>
                <w:color w:val="000000" w:themeColor="text1"/>
                <w:sz w:val="21"/>
                <w:szCs w:val="21"/>
                <w:highlight w:val="none"/>
                <w:vertAlign w:val="baseline"/>
                <w:lang w:val="en-US" w:eastAsia="zh-CN"/>
              </w:rPr>
              <w:t>朝鲜河上游200m</w:t>
            </w:r>
            <w:r>
              <w:rPr>
                <w:rFonts w:hint="eastAsia" w:cs="Times New Roman"/>
                <w:color w:val="000000" w:themeColor="text1"/>
                <w:sz w:val="21"/>
                <w:szCs w:val="21"/>
                <w:highlight w:val="none"/>
                <w:vertAlign w:val="baseline"/>
                <w:lang w:val="en-US" w:eastAsia="zh-CN"/>
              </w:rPr>
              <w:t>1</w:t>
            </w:r>
          </w:p>
        </w:tc>
        <w:tc>
          <w:tcPr>
            <w:tcW w:w="1193" w:type="dxa"/>
            <w:tcBorders>
              <w:tl2br w:val="nil"/>
              <w:tr2bl w:val="nil"/>
            </w:tcBorders>
            <w:noWrap w:val="0"/>
            <w:vAlign w:val="center"/>
          </w:tcPr>
          <w:p w14:paraId="6C8C805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default" w:ascii="Times New Roman" w:hAnsi="Times New Roman" w:eastAsia="宋体" w:cs="Times New Roman"/>
                <w:color w:val="000000" w:themeColor="text1"/>
                <w:sz w:val="21"/>
                <w:szCs w:val="21"/>
                <w:highlight w:val="none"/>
                <w:vertAlign w:val="baseline"/>
                <w:lang w:val="en-US" w:eastAsia="zh-CN"/>
              </w:rPr>
              <w:t>朝鲜河下游500m</w:t>
            </w:r>
            <w:r>
              <w:rPr>
                <w:rFonts w:hint="eastAsia" w:cs="Times New Roman"/>
                <w:color w:val="000000" w:themeColor="text1"/>
                <w:sz w:val="21"/>
                <w:szCs w:val="21"/>
                <w:highlight w:val="none"/>
                <w:vertAlign w:val="baseline"/>
                <w:lang w:val="en-US" w:eastAsia="zh-CN"/>
              </w:rPr>
              <w:t>2</w:t>
            </w:r>
          </w:p>
        </w:tc>
      </w:tr>
      <w:tr w14:paraId="45361BE4">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62EF184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序号</w:t>
            </w:r>
          </w:p>
        </w:tc>
        <w:tc>
          <w:tcPr>
            <w:tcW w:w="670" w:type="pct"/>
            <w:tcBorders>
              <w:tl2br w:val="nil"/>
              <w:tr2bl w:val="nil"/>
            </w:tcBorders>
            <w:noWrap w:val="0"/>
            <w:vAlign w:val="center"/>
          </w:tcPr>
          <w:p w14:paraId="3A89D75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检测项目</w:t>
            </w:r>
          </w:p>
        </w:tc>
        <w:tc>
          <w:tcPr>
            <w:tcW w:w="1139" w:type="dxa"/>
            <w:tcBorders>
              <w:tl2br w:val="nil"/>
              <w:tr2bl w:val="nil"/>
            </w:tcBorders>
            <w:noWrap w:val="0"/>
            <w:vAlign w:val="center"/>
          </w:tcPr>
          <w:p w14:paraId="7E9B0C5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250424宝泉水01</w:t>
            </w:r>
          </w:p>
        </w:tc>
        <w:tc>
          <w:tcPr>
            <w:tcW w:w="1131" w:type="dxa"/>
            <w:tcBorders>
              <w:tl2br w:val="nil"/>
              <w:tr2bl w:val="nil"/>
            </w:tcBorders>
            <w:noWrap w:val="0"/>
            <w:vAlign w:val="center"/>
          </w:tcPr>
          <w:p w14:paraId="3CB9238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250424宝泉水02</w:t>
            </w:r>
          </w:p>
        </w:tc>
        <w:tc>
          <w:tcPr>
            <w:tcW w:w="1116" w:type="dxa"/>
            <w:tcBorders>
              <w:tl2br w:val="nil"/>
              <w:tr2bl w:val="nil"/>
            </w:tcBorders>
            <w:noWrap w:val="0"/>
            <w:vAlign w:val="center"/>
          </w:tcPr>
          <w:p w14:paraId="49B9518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250425宝泉水01</w:t>
            </w:r>
          </w:p>
        </w:tc>
        <w:tc>
          <w:tcPr>
            <w:tcW w:w="1157" w:type="dxa"/>
            <w:tcBorders>
              <w:tl2br w:val="nil"/>
              <w:tr2bl w:val="nil"/>
            </w:tcBorders>
            <w:noWrap w:val="0"/>
            <w:vAlign w:val="center"/>
          </w:tcPr>
          <w:p w14:paraId="0EEB2A0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250425宝泉水02</w:t>
            </w:r>
          </w:p>
        </w:tc>
        <w:tc>
          <w:tcPr>
            <w:tcW w:w="1229" w:type="dxa"/>
            <w:tcBorders>
              <w:tl2br w:val="nil"/>
              <w:tr2bl w:val="nil"/>
            </w:tcBorders>
            <w:noWrap w:val="0"/>
            <w:vAlign w:val="center"/>
          </w:tcPr>
          <w:p w14:paraId="09BC401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250426宝泉水01</w:t>
            </w:r>
          </w:p>
        </w:tc>
        <w:tc>
          <w:tcPr>
            <w:tcW w:w="1193" w:type="dxa"/>
            <w:tcBorders>
              <w:tl2br w:val="nil"/>
              <w:tr2bl w:val="nil"/>
            </w:tcBorders>
            <w:noWrap w:val="0"/>
            <w:vAlign w:val="center"/>
          </w:tcPr>
          <w:p w14:paraId="56325EC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250426宝泉水02</w:t>
            </w:r>
          </w:p>
        </w:tc>
      </w:tr>
      <w:tr w14:paraId="1EA5C548">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PrEx>
        <w:trPr>
          <w:trHeight w:val="340" w:hRule="atLeast"/>
          <w:jc w:val="center"/>
        </w:trPr>
        <w:tc>
          <w:tcPr>
            <w:tcW w:w="241" w:type="pct"/>
            <w:tcBorders>
              <w:tl2br w:val="nil"/>
              <w:tr2bl w:val="nil"/>
            </w:tcBorders>
            <w:noWrap w:val="0"/>
            <w:vAlign w:val="center"/>
          </w:tcPr>
          <w:p w14:paraId="5D796EB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w:t>
            </w:r>
          </w:p>
        </w:tc>
        <w:tc>
          <w:tcPr>
            <w:tcW w:w="670" w:type="pct"/>
            <w:tcBorders>
              <w:tl2br w:val="nil"/>
              <w:tr2bl w:val="nil"/>
            </w:tcBorders>
            <w:noWrap w:val="0"/>
            <w:vAlign w:val="center"/>
          </w:tcPr>
          <w:p w14:paraId="0A551B6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pH</w:t>
            </w:r>
            <w:r>
              <w:rPr>
                <w:rFonts w:hint="eastAsia"/>
                <w:color w:val="000000" w:themeColor="text1"/>
                <w:sz w:val="21"/>
                <w:szCs w:val="21"/>
                <w:highlight w:val="none"/>
                <w:lang w:val="en-US" w:eastAsia="zh-CN"/>
              </w:rPr>
              <w:t>值（无量纲）</w:t>
            </w:r>
          </w:p>
        </w:tc>
        <w:tc>
          <w:tcPr>
            <w:tcW w:w="668" w:type="pct"/>
            <w:tcBorders>
              <w:tl2br w:val="nil"/>
              <w:tr2bl w:val="nil"/>
            </w:tcBorders>
            <w:noWrap w:val="0"/>
            <w:vAlign w:val="center"/>
          </w:tcPr>
          <w:p w14:paraId="5639296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7.5</w:t>
            </w:r>
          </w:p>
        </w:tc>
        <w:tc>
          <w:tcPr>
            <w:tcW w:w="663" w:type="pct"/>
            <w:tcBorders>
              <w:tl2br w:val="nil"/>
              <w:tr2bl w:val="nil"/>
            </w:tcBorders>
            <w:noWrap w:val="0"/>
            <w:vAlign w:val="center"/>
          </w:tcPr>
          <w:p w14:paraId="0E3B45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7.2</w:t>
            </w:r>
          </w:p>
        </w:tc>
        <w:tc>
          <w:tcPr>
            <w:tcW w:w="655" w:type="pct"/>
            <w:tcBorders>
              <w:tl2br w:val="nil"/>
              <w:tr2bl w:val="nil"/>
            </w:tcBorders>
            <w:noWrap w:val="0"/>
            <w:vAlign w:val="center"/>
          </w:tcPr>
          <w:p w14:paraId="5B3BC84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7.4</w:t>
            </w:r>
          </w:p>
        </w:tc>
        <w:tc>
          <w:tcPr>
            <w:tcW w:w="679" w:type="pct"/>
            <w:tcBorders>
              <w:tl2br w:val="nil"/>
              <w:tr2bl w:val="nil"/>
            </w:tcBorders>
            <w:noWrap w:val="0"/>
            <w:vAlign w:val="center"/>
          </w:tcPr>
          <w:p w14:paraId="55B3E9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7.2</w:t>
            </w:r>
          </w:p>
        </w:tc>
        <w:tc>
          <w:tcPr>
            <w:tcW w:w="721" w:type="pct"/>
            <w:tcBorders>
              <w:tl2br w:val="nil"/>
              <w:tr2bl w:val="nil"/>
            </w:tcBorders>
            <w:noWrap w:val="0"/>
            <w:vAlign w:val="center"/>
          </w:tcPr>
          <w:p w14:paraId="49BE24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7.5</w:t>
            </w:r>
          </w:p>
        </w:tc>
        <w:tc>
          <w:tcPr>
            <w:tcW w:w="700" w:type="pct"/>
            <w:tcBorders>
              <w:tl2br w:val="nil"/>
              <w:tr2bl w:val="nil"/>
            </w:tcBorders>
            <w:noWrap w:val="0"/>
            <w:vAlign w:val="center"/>
          </w:tcPr>
          <w:p w14:paraId="2EE69BF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7.3</w:t>
            </w:r>
          </w:p>
        </w:tc>
      </w:tr>
      <w:tr w14:paraId="729DD468">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79CC06C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w:t>
            </w:r>
          </w:p>
        </w:tc>
        <w:tc>
          <w:tcPr>
            <w:tcW w:w="670" w:type="pct"/>
            <w:tcBorders>
              <w:tl2br w:val="nil"/>
              <w:tr2bl w:val="nil"/>
            </w:tcBorders>
            <w:noWrap w:val="0"/>
            <w:vAlign w:val="center"/>
          </w:tcPr>
          <w:p w14:paraId="63DA59C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流量</w:t>
            </w: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m</w:t>
            </w:r>
            <w:r>
              <w:rPr>
                <w:rFonts w:hint="eastAsia"/>
                <w:color w:val="000000" w:themeColor="text1"/>
                <w:sz w:val="21"/>
                <w:szCs w:val="21"/>
                <w:highlight w:val="none"/>
                <w:vertAlign w:val="superscript"/>
                <w:lang w:val="en-US" w:eastAsia="zh-CN"/>
              </w:rPr>
              <w:t>3</w:t>
            </w:r>
            <w:r>
              <w:rPr>
                <w:rFonts w:hint="eastAsia"/>
                <w:color w:val="000000" w:themeColor="text1"/>
                <w:sz w:val="21"/>
                <w:szCs w:val="21"/>
                <w:highlight w:val="none"/>
                <w:lang w:val="en-US" w:eastAsia="zh-CN"/>
              </w:rPr>
              <w:t>/h</w:t>
            </w:r>
            <w:r>
              <w:rPr>
                <w:rFonts w:hint="eastAsia"/>
                <w:color w:val="000000" w:themeColor="text1"/>
                <w:sz w:val="21"/>
                <w:szCs w:val="21"/>
                <w:highlight w:val="none"/>
                <w:lang w:eastAsia="zh-CN"/>
              </w:rPr>
              <w:t>）</w:t>
            </w:r>
          </w:p>
        </w:tc>
        <w:tc>
          <w:tcPr>
            <w:tcW w:w="668" w:type="pct"/>
            <w:tcBorders>
              <w:tl2br w:val="nil"/>
              <w:tr2bl w:val="nil"/>
            </w:tcBorders>
            <w:noWrap w:val="0"/>
            <w:vAlign w:val="center"/>
          </w:tcPr>
          <w:p w14:paraId="52AEC9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1.52</w:t>
            </w:r>
          </w:p>
        </w:tc>
        <w:tc>
          <w:tcPr>
            <w:tcW w:w="663" w:type="pct"/>
            <w:tcBorders>
              <w:tl2br w:val="nil"/>
              <w:tr2bl w:val="nil"/>
            </w:tcBorders>
            <w:noWrap w:val="0"/>
            <w:vAlign w:val="center"/>
          </w:tcPr>
          <w:p w14:paraId="17ACF9D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1.69</w:t>
            </w:r>
          </w:p>
        </w:tc>
        <w:tc>
          <w:tcPr>
            <w:tcW w:w="655" w:type="pct"/>
            <w:tcBorders>
              <w:tl2br w:val="nil"/>
              <w:tr2bl w:val="nil"/>
            </w:tcBorders>
            <w:noWrap w:val="0"/>
            <w:vAlign w:val="center"/>
          </w:tcPr>
          <w:p w14:paraId="64DBE44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1.48</w:t>
            </w:r>
          </w:p>
        </w:tc>
        <w:tc>
          <w:tcPr>
            <w:tcW w:w="679" w:type="pct"/>
            <w:tcBorders>
              <w:tl2br w:val="nil"/>
              <w:tr2bl w:val="nil"/>
            </w:tcBorders>
            <w:noWrap w:val="0"/>
            <w:vAlign w:val="center"/>
          </w:tcPr>
          <w:p w14:paraId="30713C5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1.65</w:t>
            </w:r>
          </w:p>
        </w:tc>
        <w:tc>
          <w:tcPr>
            <w:tcW w:w="721" w:type="pct"/>
            <w:tcBorders>
              <w:tl2br w:val="nil"/>
              <w:tr2bl w:val="nil"/>
            </w:tcBorders>
            <w:noWrap w:val="0"/>
            <w:vAlign w:val="center"/>
          </w:tcPr>
          <w:p w14:paraId="21AC025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1.55</w:t>
            </w:r>
          </w:p>
        </w:tc>
        <w:tc>
          <w:tcPr>
            <w:tcW w:w="700" w:type="pct"/>
            <w:tcBorders>
              <w:tl2br w:val="nil"/>
              <w:tr2bl w:val="nil"/>
            </w:tcBorders>
            <w:noWrap w:val="0"/>
            <w:vAlign w:val="center"/>
          </w:tcPr>
          <w:p w14:paraId="38B309C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1.72</w:t>
            </w:r>
          </w:p>
        </w:tc>
      </w:tr>
      <w:tr w14:paraId="4F04AC23">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413F961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bookmarkStart w:id="341" w:name="_Toc31897"/>
            <w:bookmarkStart w:id="342" w:name="_Toc27899"/>
            <w:r>
              <w:rPr>
                <w:rFonts w:hint="eastAsia" w:cs="Times New Roman"/>
                <w:color w:val="000000" w:themeColor="text1"/>
                <w:sz w:val="21"/>
                <w:szCs w:val="21"/>
                <w:highlight w:val="none"/>
                <w:vertAlign w:val="baseline"/>
                <w:lang w:val="en-US" w:eastAsia="zh-CN"/>
              </w:rPr>
              <w:t>3</w:t>
            </w:r>
          </w:p>
        </w:tc>
        <w:tc>
          <w:tcPr>
            <w:tcW w:w="670" w:type="pct"/>
            <w:tcBorders>
              <w:tl2br w:val="nil"/>
              <w:tr2bl w:val="nil"/>
            </w:tcBorders>
            <w:noWrap w:val="0"/>
            <w:vAlign w:val="center"/>
          </w:tcPr>
          <w:p w14:paraId="3A94832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高锰酸盐指数</w:t>
            </w:r>
          </w:p>
        </w:tc>
        <w:tc>
          <w:tcPr>
            <w:tcW w:w="668" w:type="pct"/>
            <w:tcBorders>
              <w:tl2br w:val="nil"/>
              <w:tr2bl w:val="nil"/>
            </w:tcBorders>
            <w:noWrap w:val="0"/>
            <w:vAlign w:val="center"/>
          </w:tcPr>
          <w:p w14:paraId="0D83091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2.3</w:t>
            </w:r>
          </w:p>
        </w:tc>
        <w:tc>
          <w:tcPr>
            <w:tcW w:w="663" w:type="pct"/>
            <w:tcBorders>
              <w:tl2br w:val="nil"/>
              <w:tr2bl w:val="nil"/>
            </w:tcBorders>
            <w:noWrap w:val="0"/>
            <w:vAlign w:val="center"/>
          </w:tcPr>
          <w:p w14:paraId="1AAA0F2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3.9</w:t>
            </w:r>
          </w:p>
        </w:tc>
        <w:tc>
          <w:tcPr>
            <w:tcW w:w="655" w:type="pct"/>
            <w:tcBorders>
              <w:tl2br w:val="nil"/>
              <w:tr2bl w:val="nil"/>
            </w:tcBorders>
            <w:noWrap w:val="0"/>
            <w:vAlign w:val="center"/>
          </w:tcPr>
          <w:p w14:paraId="69DDC7E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2.7</w:t>
            </w:r>
          </w:p>
        </w:tc>
        <w:tc>
          <w:tcPr>
            <w:tcW w:w="679" w:type="pct"/>
            <w:tcBorders>
              <w:tl2br w:val="nil"/>
              <w:tr2bl w:val="nil"/>
            </w:tcBorders>
            <w:noWrap w:val="0"/>
            <w:vAlign w:val="center"/>
          </w:tcPr>
          <w:p w14:paraId="41FF6DE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4.1</w:t>
            </w:r>
          </w:p>
        </w:tc>
        <w:tc>
          <w:tcPr>
            <w:tcW w:w="721" w:type="pct"/>
            <w:tcBorders>
              <w:tl2br w:val="nil"/>
              <w:tr2bl w:val="nil"/>
            </w:tcBorders>
            <w:noWrap w:val="0"/>
            <w:vAlign w:val="center"/>
          </w:tcPr>
          <w:p w14:paraId="3E990B8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2.5</w:t>
            </w:r>
          </w:p>
        </w:tc>
        <w:tc>
          <w:tcPr>
            <w:tcW w:w="700" w:type="pct"/>
            <w:tcBorders>
              <w:tl2br w:val="nil"/>
              <w:tr2bl w:val="nil"/>
            </w:tcBorders>
            <w:noWrap w:val="0"/>
            <w:vAlign w:val="center"/>
          </w:tcPr>
          <w:p w14:paraId="163233C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3.7</w:t>
            </w:r>
          </w:p>
        </w:tc>
      </w:tr>
      <w:tr w14:paraId="13CAF5B1">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7A39304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4</w:t>
            </w:r>
          </w:p>
        </w:tc>
        <w:tc>
          <w:tcPr>
            <w:tcW w:w="670" w:type="pct"/>
            <w:tcBorders>
              <w:tl2br w:val="nil"/>
              <w:tr2bl w:val="nil"/>
            </w:tcBorders>
            <w:noWrap w:val="0"/>
            <w:vAlign w:val="center"/>
          </w:tcPr>
          <w:p w14:paraId="091A74F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生化需氧量</w:t>
            </w:r>
          </w:p>
        </w:tc>
        <w:tc>
          <w:tcPr>
            <w:tcW w:w="668" w:type="pct"/>
            <w:tcBorders>
              <w:tl2br w:val="nil"/>
              <w:tr2bl w:val="nil"/>
            </w:tcBorders>
            <w:noWrap w:val="0"/>
            <w:vAlign w:val="center"/>
          </w:tcPr>
          <w:p w14:paraId="265B149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3.1</w:t>
            </w:r>
          </w:p>
        </w:tc>
        <w:tc>
          <w:tcPr>
            <w:tcW w:w="663" w:type="pct"/>
            <w:tcBorders>
              <w:tl2br w:val="nil"/>
              <w:tr2bl w:val="nil"/>
            </w:tcBorders>
            <w:noWrap w:val="0"/>
            <w:vAlign w:val="center"/>
          </w:tcPr>
          <w:p w14:paraId="09663CC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4.2</w:t>
            </w:r>
          </w:p>
        </w:tc>
        <w:tc>
          <w:tcPr>
            <w:tcW w:w="655" w:type="pct"/>
            <w:tcBorders>
              <w:tl2br w:val="nil"/>
              <w:tr2bl w:val="nil"/>
            </w:tcBorders>
            <w:noWrap w:val="0"/>
            <w:vAlign w:val="center"/>
          </w:tcPr>
          <w:p w14:paraId="11A954D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3.2</w:t>
            </w:r>
          </w:p>
        </w:tc>
        <w:tc>
          <w:tcPr>
            <w:tcW w:w="679" w:type="pct"/>
            <w:tcBorders>
              <w:tl2br w:val="nil"/>
              <w:tr2bl w:val="nil"/>
            </w:tcBorders>
            <w:noWrap w:val="0"/>
            <w:vAlign w:val="center"/>
          </w:tcPr>
          <w:p w14:paraId="7A34B51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4.5</w:t>
            </w:r>
          </w:p>
        </w:tc>
        <w:tc>
          <w:tcPr>
            <w:tcW w:w="721" w:type="pct"/>
            <w:tcBorders>
              <w:tl2br w:val="nil"/>
              <w:tr2bl w:val="nil"/>
            </w:tcBorders>
            <w:noWrap w:val="0"/>
            <w:vAlign w:val="center"/>
          </w:tcPr>
          <w:p w14:paraId="4186BC8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3.5</w:t>
            </w:r>
          </w:p>
        </w:tc>
        <w:tc>
          <w:tcPr>
            <w:tcW w:w="700" w:type="pct"/>
            <w:tcBorders>
              <w:tl2br w:val="nil"/>
              <w:tr2bl w:val="nil"/>
            </w:tcBorders>
            <w:noWrap w:val="0"/>
            <w:vAlign w:val="center"/>
          </w:tcPr>
          <w:p w14:paraId="1A87B2B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4.8</w:t>
            </w:r>
          </w:p>
        </w:tc>
      </w:tr>
      <w:tr w14:paraId="4B4C0F69">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7BE1515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5</w:t>
            </w:r>
          </w:p>
        </w:tc>
        <w:tc>
          <w:tcPr>
            <w:tcW w:w="670" w:type="pct"/>
            <w:tcBorders>
              <w:tl2br w:val="nil"/>
              <w:tr2bl w:val="nil"/>
            </w:tcBorders>
            <w:noWrap w:val="0"/>
            <w:vAlign w:val="center"/>
          </w:tcPr>
          <w:p w14:paraId="10832D1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氨氮</w:t>
            </w:r>
          </w:p>
        </w:tc>
        <w:tc>
          <w:tcPr>
            <w:tcW w:w="668" w:type="pct"/>
            <w:tcBorders>
              <w:tl2br w:val="nil"/>
              <w:tr2bl w:val="nil"/>
            </w:tcBorders>
            <w:noWrap w:val="0"/>
            <w:vAlign w:val="center"/>
          </w:tcPr>
          <w:p w14:paraId="276A5A5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0.583</w:t>
            </w:r>
          </w:p>
        </w:tc>
        <w:tc>
          <w:tcPr>
            <w:tcW w:w="663" w:type="pct"/>
            <w:tcBorders>
              <w:tl2br w:val="nil"/>
              <w:tr2bl w:val="nil"/>
            </w:tcBorders>
            <w:noWrap w:val="0"/>
            <w:vAlign w:val="center"/>
          </w:tcPr>
          <w:p w14:paraId="263C96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0.756</w:t>
            </w:r>
          </w:p>
        </w:tc>
        <w:tc>
          <w:tcPr>
            <w:tcW w:w="655" w:type="pct"/>
            <w:tcBorders>
              <w:tl2br w:val="nil"/>
              <w:tr2bl w:val="nil"/>
            </w:tcBorders>
            <w:noWrap w:val="0"/>
            <w:vAlign w:val="center"/>
          </w:tcPr>
          <w:p w14:paraId="04C6FE7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0.568</w:t>
            </w:r>
          </w:p>
        </w:tc>
        <w:tc>
          <w:tcPr>
            <w:tcW w:w="679" w:type="pct"/>
            <w:tcBorders>
              <w:tl2br w:val="nil"/>
              <w:tr2bl w:val="nil"/>
            </w:tcBorders>
            <w:noWrap w:val="0"/>
            <w:vAlign w:val="center"/>
          </w:tcPr>
          <w:p w14:paraId="4B9D8EB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0.748</w:t>
            </w:r>
          </w:p>
        </w:tc>
        <w:tc>
          <w:tcPr>
            <w:tcW w:w="721" w:type="pct"/>
            <w:tcBorders>
              <w:tl2br w:val="nil"/>
              <w:tr2bl w:val="nil"/>
            </w:tcBorders>
            <w:noWrap w:val="0"/>
            <w:vAlign w:val="center"/>
          </w:tcPr>
          <w:p w14:paraId="2FD4F89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0.598</w:t>
            </w:r>
          </w:p>
        </w:tc>
        <w:tc>
          <w:tcPr>
            <w:tcW w:w="700" w:type="pct"/>
            <w:tcBorders>
              <w:tl2br w:val="nil"/>
              <w:tr2bl w:val="nil"/>
            </w:tcBorders>
            <w:noWrap w:val="0"/>
            <w:vAlign w:val="center"/>
          </w:tcPr>
          <w:p w14:paraId="388FEF4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0.743</w:t>
            </w:r>
          </w:p>
        </w:tc>
      </w:tr>
      <w:tr w14:paraId="5EC9CD47">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6F9CF44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6</w:t>
            </w:r>
          </w:p>
        </w:tc>
        <w:tc>
          <w:tcPr>
            <w:tcW w:w="670" w:type="pct"/>
            <w:tcBorders>
              <w:tl2br w:val="nil"/>
              <w:tr2bl w:val="nil"/>
            </w:tcBorders>
            <w:noWrap w:val="0"/>
            <w:vAlign w:val="center"/>
          </w:tcPr>
          <w:p w14:paraId="5149EB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石油类</w:t>
            </w:r>
          </w:p>
        </w:tc>
        <w:tc>
          <w:tcPr>
            <w:tcW w:w="668" w:type="pct"/>
            <w:tcBorders>
              <w:tl2br w:val="nil"/>
              <w:tr2bl w:val="nil"/>
            </w:tcBorders>
            <w:noWrap w:val="0"/>
            <w:vAlign w:val="center"/>
          </w:tcPr>
          <w:p w14:paraId="7A86225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0.01L</w:t>
            </w:r>
          </w:p>
        </w:tc>
        <w:tc>
          <w:tcPr>
            <w:tcW w:w="663" w:type="pct"/>
            <w:tcBorders>
              <w:tl2br w:val="nil"/>
              <w:tr2bl w:val="nil"/>
            </w:tcBorders>
            <w:noWrap w:val="0"/>
            <w:vAlign w:val="center"/>
          </w:tcPr>
          <w:p w14:paraId="2767390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0.01L</w:t>
            </w:r>
          </w:p>
        </w:tc>
        <w:tc>
          <w:tcPr>
            <w:tcW w:w="655" w:type="pct"/>
            <w:tcBorders>
              <w:tl2br w:val="nil"/>
              <w:tr2bl w:val="nil"/>
            </w:tcBorders>
            <w:noWrap w:val="0"/>
            <w:vAlign w:val="center"/>
          </w:tcPr>
          <w:p w14:paraId="369B8A7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sz w:val="21"/>
                <w:szCs w:val="21"/>
                <w:highlight w:val="none"/>
                <w:vertAlign w:val="baseline"/>
                <w:lang w:val="en-US" w:eastAsia="zh-CN"/>
              </w:rPr>
              <w:t>0.01L</w:t>
            </w:r>
          </w:p>
        </w:tc>
        <w:tc>
          <w:tcPr>
            <w:tcW w:w="679" w:type="pct"/>
            <w:tcBorders>
              <w:tl2br w:val="nil"/>
              <w:tr2bl w:val="nil"/>
            </w:tcBorders>
            <w:noWrap w:val="0"/>
            <w:vAlign w:val="center"/>
          </w:tcPr>
          <w:p w14:paraId="19B86CA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0.01L</w:t>
            </w:r>
          </w:p>
        </w:tc>
        <w:tc>
          <w:tcPr>
            <w:tcW w:w="721" w:type="pct"/>
            <w:tcBorders>
              <w:tl2br w:val="nil"/>
              <w:tr2bl w:val="nil"/>
            </w:tcBorders>
            <w:noWrap w:val="0"/>
            <w:vAlign w:val="center"/>
          </w:tcPr>
          <w:p w14:paraId="1CDBAF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0.01L</w:t>
            </w:r>
          </w:p>
        </w:tc>
        <w:tc>
          <w:tcPr>
            <w:tcW w:w="700" w:type="pct"/>
            <w:tcBorders>
              <w:tl2br w:val="nil"/>
              <w:tr2bl w:val="nil"/>
            </w:tcBorders>
            <w:noWrap w:val="0"/>
            <w:vAlign w:val="center"/>
          </w:tcPr>
          <w:p w14:paraId="617059A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0.01L</w:t>
            </w:r>
          </w:p>
        </w:tc>
      </w:tr>
      <w:tr w14:paraId="6EB93227">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0B5AEAC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w:t>
            </w:r>
          </w:p>
        </w:tc>
        <w:tc>
          <w:tcPr>
            <w:tcW w:w="670" w:type="pct"/>
            <w:tcBorders>
              <w:tl2br w:val="nil"/>
              <w:tr2bl w:val="nil"/>
            </w:tcBorders>
            <w:noWrap w:val="0"/>
            <w:vAlign w:val="center"/>
          </w:tcPr>
          <w:p w14:paraId="380022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悬浮物</w:t>
            </w:r>
          </w:p>
        </w:tc>
        <w:tc>
          <w:tcPr>
            <w:tcW w:w="668" w:type="pct"/>
            <w:tcBorders>
              <w:tl2br w:val="nil"/>
              <w:tr2bl w:val="nil"/>
            </w:tcBorders>
            <w:noWrap w:val="0"/>
            <w:vAlign w:val="center"/>
          </w:tcPr>
          <w:p w14:paraId="6D982FB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32</w:t>
            </w:r>
          </w:p>
        </w:tc>
        <w:tc>
          <w:tcPr>
            <w:tcW w:w="663" w:type="pct"/>
            <w:tcBorders>
              <w:tl2br w:val="nil"/>
              <w:tr2bl w:val="nil"/>
            </w:tcBorders>
            <w:noWrap w:val="0"/>
            <w:vAlign w:val="center"/>
          </w:tcPr>
          <w:p w14:paraId="2C3B248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35</w:t>
            </w:r>
          </w:p>
        </w:tc>
        <w:tc>
          <w:tcPr>
            <w:tcW w:w="655" w:type="pct"/>
            <w:tcBorders>
              <w:tl2br w:val="nil"/>
              <w:tr2bl w:val="nil"/>
            </w:tcBorders>
            <w:noWrap w:val="0"/>
            <w:vAlign w:val="center"/>
          </w:tcPr>
          <w:p w14:paraId="63AE9DF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28</w:t>
            </w:r>
          </w:p>
        </w:tc>
        <w:tc>
          <w:tcPr>
            <w:tcW w:w="679" w:type="pct"/>
            <w:tcBorders>
              <w:tl2br w:val="nil"/>
              <w:tr2bl w:val="nil"/>
            </w:tcBorders>
            <w:noWrap w:val="0"/>
            <w:vAlign w:val="center"/>
          </w:tcPr>
          <w:p w14:paraId="339F12E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33</w:t>
            </w:r>
          </w:p>
        </w:tc>
        <w:tc>
          <w:tcPr>
            <w:tcW w:w="721" w:type="pct"/>
            <w:tcBorders>
              <w:tl2br w:val="nil"/>
              <w:tr2bl w:val="nil"/>
            </w:tcBorders>
            <w:noWrap w:val="0"/>
            <w:vAlign w:val="center"/>
          </w:tcPr>
          <w:p w14:paraId="5208D82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31</w:t>
            </w:r>
          </w:p>
        </w:tc>
        <w:tc>
          <w:tcPr>
            <w:tcW w:w="700" w:type="pct"/>
            <w:tcBorders>
              <w:tl2br w:val="nil"/>
              <w:tr2bl w:val="nil"/>
            </w:tcBorders>
            <w:noWrap w:val="0"/>
            <w:vAlign w:val="center"/>
          </w:tcPr>
          <w:p w14:paraId="45EC990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29</w:t>
            </w:r>
          </w:p>
        </w:tc>
      </w:tr>
      <w:tr w14:paraId="680B1A1A">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2BBE551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8</w:t>
            </w:r>
          </w:p>
        </w:tc>
        <w:tc>
          <w:tcPr>
            <w:tcW w:w="670" w:type="pct"/>
            <w:tcBorders>
              <w:tl2br w:val="nil"/>
              <w:tr2bl w:val="nil"/>
            </w:tcBorders>
            <w:noWrap w:val="0"/>
            <w:vAlign w:val="center"/>
          </w:tcPr>
          <w:p w14:paraId="2C0AE71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总氮</w:t>
            </w:r>
          </w:p>
        </w:tc>
        <w:tc>
          <w:tcPr>
            <w:tcW w:w="668" w:type="pct"/>
            <w:tcBorders>
              <w:tl2br w:val="nil"/>
              <w:tr2bl w:val="nil"/>
            </w:tcBorders>
            <w:noWrap w:val="0"/>
            <w:vAlign w:val="center"/>
          </w:tcPr>
          <w:p w14:paraId="6DBEEE6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0.68</w:t>
            </w:r>
          </w:p>
        </w:tc>
        <w:tc>
          <w:tcPr>
            <w:tcW w:w="663" w:type="pct"/>
            <w:tcBorders>
              <w:tl2br w:val="nil"/>
              <w:tr2bl w:val="nil"/>
            </w:tcBorders>
            <w:noWrap w:val="0"/>
            <w:vAlign w:val="center"/>
          </w:tcPr>
          <w:p w14:paraId="0BB90AF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0.96</w:t>
            </w:r>
          </w:p>
        </w:tc>
        <w:tc>
          <w:tcPr>
            <w:tcW w:w="655" w:type="pct"/>
            <w:tcBorders>
              <w:tl2br w:val="nil"/>
              <w:tr2bl w:val="nil"/>
            </w:tcBorders>
            <w:noWrap w:val="0"/>
            <w:vAlign w:val="center"/>
          </w:tcPr>
          <w:p w14:paraId="3E9C745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0.71</w:t>
            </w:r>
          </w:p>
        </w:tc>
        <w:tc>
          <w:tcPr>
            <w:tcW w:w="679" w:type="pct"/>
            <w:tcBorders>
              <w:tl2br w:val="nil"/>
              <w:tr2bl w:val="nil"/>
            </w:tcBorders>
            <w:noWrap w:val="0"/>
            <w:vAlign w:val="center"/>
          </w:tcPr>
          <w:p w14:paraId="69B9B88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0.95</w:t>
            </w:r>
          </w:p>
        </w:tc>
        <w:tc>
          <w:tcPr>
            <w:tcW w:w="721" w:type="pct"/>
            <w:tcBorders>
              <w:tl2br w:val="nil"/>
              <w:tr2bl w:val="nil"/>
            </w:tcBorders>
            <w:noWrap w:val="0"/>
            <w:vAlign w:val="center"/>
          </w:tcPr>
          <w:p w14:paraId="3C71D8A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0.76</w:t>
            </w:r>
          </w:p>
        </w:tc>
        <w:tc>
          <w:tcPr>
            <w:tcW w:w="700" w:type="pct"/>
            <w:tcBorders>
              <w:tl2br w:val="nil"/>
              <w:tr2bl w:val="nil"/>
            </w:tcBorders>
            <w:noWrap w:val="0"/>
            <w:vAlign w:val="center"/>
          </w:tcPr>
          <w:p w14:paraId="123E431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0.92</w:t>
            </w:r>
          </w:p>
        </w:tc>
      </w:tr>
      <w:tr w14:paraId="649FCB88">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PrEx>
        <w:trPr>
          <w:trHeight w:val="340" w:hRule="atLeast"/>
          <w:jc w:val="center"/>
        </w:trPr>
        <w:tc>
          <w:tcPr>
            <w:tcW w:w="241" w:type="pct"/>
            <w:tcBorders>
              <w:tl2br w:val="nil"/>
              <w:tr2bl w:val="nil"/>
            </w:tcBorders>
            <w:noWrap w:val="0"/>
            <w:vAlign w:val="center"/>
          </w:tcPr>
          <w:p w14:paraId="32078E1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9</w:t>
            </w:r>
          </w:p>
        </w:tc>
        <w:tc>
          <w:tcPr>
            <w:tcW w:w="670" w:type="pct"/>
            <w:tcBorders>
              <w:tl2br w:val="nil"/>
              <w:tr2bl w:val="nil"/>
            </w:tcBorders>
            <w:noWrap w:val="0"/>
            <w:vAlign w:val="center"/>
          </w:tcPr>
          <w:p w14:paraId="4D00B30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总磷</w:t>
            </w:r>
          </w:p>
        </w:tc>
        <w:tc>
          <w:tcPr>
            <w:tcW w:w="668" w:type="pct"/>
            <w:tcBorders>
              <w:tl2br w:val="nil"/>
              <w:tr2bl w:val="nil"/>
            </w:tcBorders>
            <w:noWrap w:val="0"/>
            <w:vAlign w:val="center"/>
          </w:tcPr>
          <w:p w14:paraId="5C74895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0.03</w:t>
            </w:r>
          </w:p>
        </w:tc>
        <w:tc>
          <w:tcPr>
            <w:tcW w:w="663" w:type="pct"/>
            <w:tcBorders>
              <w:tl2br w:val="nil"/>
              <w:tr2bl w:val="nil"/>
            </w:tcBorders>
            <w:noWrap w:val="0"/>
            <w:vAlign w:val="center"/>
          </w:tcPr>
          <w:p w14:paraId="5163EE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0.08</w:t>
            </w:r>
          </w:p>
        </w:tc>
        <w:tc>
          <w:tcPr>
            <w:tcW w:w="655" w:type="pct"/>
            <w:tcBorders>
              <w:tl2br w:val="nil"/>
              <w:tr2bl w:val="nil"/>
            </w:tcBorders>
            <w:noWrap w:val="0"/>
            <w:vAlign w:val="center"/>
          </w:tcPr>
          <w:p w14:paraId="0ABBD90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0.04</w:t>
            </w:r>
          </w:p>
        </w:tc>
        <w:tc>
          <w:tcPr>
            <w:tcW w:w="679" w:type="pct"/>
            <w:tcBorders>
              <w:tl2br w:val="nil"/>
              <w:tr2bl w:val="nil"/>
            </w:tcBorders>
            <w:noWrap w:val="0"/>
            <w:vAlign w:val="center"/>
          </w:tcPr>
          <w:p w14:paraId="7A1E737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0.07</w:t>
            </w:r>
          </w:p>
        </w:tc>
        <w:tc>
          <w:tcPr>
            <w:tcW w:w="721" w:type="pct"/>
            <w:tcBorders>
              <w:tl2br w:val="nil"/>
              <w:tr2bl w:val="nil"/>
            </w:tcBorders>
            <w:noWrap w:val="0"/>
            <w:vAlign w:val="center"/>
          </w:tcPr>
          <w:p w14:paraId="5D7ADA9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0.03</w:t>
            </w:r>
          </w:p>
        </w:tc>
        <w:tc>
          <w:tcPr>
            <w:tcW w:w="700" w:type="pct"/>
            <w:tcBorders>
              <w:tl2br w:val="nil"/>
              <w:tr2bl w:val="nil"/>
            </w:tcBorders>
            <w:noWrap w:val="0"/>
            <w:vAlign w:val="center"/>
          </w:tcPr>
          <w:p w14:paraId="7E52B44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0.05</w:t>
            </w:r>
          </w:p>
        </w:tc>
      </w:tr>
      <w:tr w14:paraId="7A855B61">
        <w:tblPrEx>
          <w:tblBorders>
            <w:top w:val="single" w:color="auto" w:sz="12" w:space="0"/>
            <w:left w:val="dotted" w:color="auto" w:sz="4" w:space="0"/>
            <w:bottom w:val="single" w:color="auto" w:sz="12" w:space="0"/>
            <w:right w:val="dotted"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1" w:type="pct"/>
            <w:tcBorders>
              <w:tl2br w:val="nil"/>
              <w:tr2bl w:val="nil"/>
            </w:tcBorders>
            <w:noWrap w:val="0"/>
            <w:vAlign w:val="center"/>
          </w:tcPr>
          <w:p w14:paraId="1313F9F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10</w:t>
            </w:r>
          </w:p>
        </w:tc>
        <w:tc>
          <w:tcPr>
            <w:tcW w:w="670" w:type="pct"/>
            <w:tcBorders>
              <w:tl2br w:val="nil"/>
              <w:tr2bl w:val="nil"/>
            </w:tcBorders>
            <w:noWrap w:val="0"/>
            <w:vAlign w:val="center"/>
          </w:tcPr>
          <w:p w14:paraId="189F4DA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olor w:val="000000" w:themeColor="text1"/>
                <w:sz w:val="21"/>
                <w:szCs w:val="21"/>
                <w:highlight w:val="none"/>
              </w:rPr>
              <w:t>溶解氧</w:t>
            </w:r>
          </w:p>
        </w:tc>
        <w:tc>
          <w:tcPr>
            <w:tcW w:w="668" w:type="pct"/>
            <w:tcBorders>
              <w:tl2br w:val="nil"/>
              <w:tr2bl w:val="nil"/>
            </w:tcBorders>
            <w:noWrap w:val="0"/>
            <w:vAlign w:val="center"/>
          </w:tcPr>
          <w:p w14:paraId="351114A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8.3</w:t>
            </w:r>
          </w:p>
        </w:tc>
        <w:tc>
          <w:tcPr>
            <w:tcW w:w="663" w:type="pct"/>
            <w:tcBorders>
              <w:tl2br w:val="nil"/>
              <w:tr2bl w:val="nil"/>
            </w:tcBorders>
            <w:noWrap w:val="0"/>
            <w:vAlign w:val="center"/>
          </w:tcPr>
          <w:p w14:paraId="0ECFE60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8.6</w:t>
            </w:r>
          </w:p>
        </w:tc>
        <w:tc>
          <w:tcPr>
            <w:tcW w:w="655" w:type="pct"/>
            <w:tcBorders>
              <w:tl2br w:val="nil"/>
              <w:tr2bl w:val="nil"/>
            </w:tcBorders>
            <w:noWrap w:val="0"/>
            <w:vAlign w:val="center"/>
          </w:tcPr>
          <w:p w14:paraId="34BED73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rPr>
            </w:pPr>
            <w:r>
              <w:rPr>
                <w:rFonts w:hint="eastAsia" w:cs="Times New Roman"/>
                <w:color w:val="000000" w:themeColor="text1"/>
                <w:kern w:val="2"/>
                <w:sz w:val="21"/>
                <w:szCs w:val="21"/>
                <w:highlight w:val="none"/>
                <w:vertAlign w:val="baseline"/>
                <w:lang w:val="en-US" w:eastAsia="zh-CN" w:bidi="ar-SA"/>
              </w:rPr>
              <w:t>8.1</w:t>
            </w:r>
          </w:p>
        </w:tc>
        <w:tc>
          <w:tcPr>
            <w:tcW w:w="679" w:type="pct"/>
            <w:tcBorders>
              <w:tl2br w:val="nil"/>
              <w:tr2bl w:val="nil"/>
            </w:tcBorders>
            <w:noWrap w:val="0"/>
            <w:vAlign w:val="center"/>
          </w:tcPr>
          <w:p w14:paraId="4459F71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7.7</w:t>
            </w:r>
          </w:p>
        </w:tc>
        <w:tc>
          <w:tcPr>
            <w:tcW w:w="721" w:type="pct"/>
            <w:tcBorders>
              <w:tl2br w:val="nil"/>
              <w:tr2bl w:val="nil"/>
            </w:tcBorders>
            <w:noWrap w:val="0"/>
            <w:vAlign w:val="center"/>
          </w:tcPr>
          <w:p w14:paraId="6ADA9A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7.6</w:t>
            </w:r>
          </w:p>
        </w:tc>
        <w:tc>
          <w:tcPr>
            <w:tcW w:w="700" w:type="pct"/>
            <w:tcBorders>
              <w:tl2br w:val="nil"/>
              <w:tr2bl w:val="nil"/>
            </w:tcBorders>
            <w:noWrap w:val="0"/>
            <w:vAlign w:val="center"/>
          </w:tcPr>
          <w:p w14:paraId="05B235B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rPr>
            </w:pPr>
            <w:r>
              <w:rPr>
                <w:rFonts w:hint="eastAsia" w:cs="Times New Roman"/>
                <w:color w:val="000000" w:themeColor="text1"/>
                <w:sz w:val="21"/>
                <w:szCs w:val="21"/>
                <w:highlight w:val="none"/>
                <w:vertAlign w:val="baseline"/>
                <w:lang w:val="en-US" w:eastAsia="zh-CN"/>
              </w:rPr>
              <w:t>7.9</w:t>
            </w:r>
          </w:p>
        </w:tc>
      </w:tr>
    </w:tbl>
    <w:p w14:paraId="0EEBF4AD">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4.3.3</w:t>
      </w:r>
      <w:r>
        <w:rPr>
          <w:color w:val="000000" w:themeColor="text1"/>
          <w:highlight w:val="none"/>
        </w:rPr>
        <w:t>声环境</w:t>
      </w:r>
      <w:bookmarkEnd w:id="341"/>
      <w:bookmarkEnd w:id="342"/>
    </w:p>
    <w:p w14:paraId="5E8F1FE1">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4.3.3.1</w:t>
      </w:r>
      <w:r>
        <w:rPr>
          <w:color w:val="000000" w:themeColor="text1"/>
          <w:highlight w:val="none"/>
        </w:rPr>
        <w:t>区域噪声源调查</w:t>
      </w:r>
    </w:p>
    <w:p w14:paraId="6C927200">
      <w:pPr>
        <w:pageBreakBefore w:val="0"/>
        <w:wordWrap/>
        <w:topLinePunct w:val="0"/>
        <w:bidi w:val="0"/>
        <w:spacing w:line="360" w:lineRule="auto"/>
        <w:rPr>
          <w:color w:val="000000" w:themeColor="text1"/>
          <w:highlight w:val="none"/>
        </w:rPr>
      </w:pPr>
      <w:r>
        <w:rPr>
          <w:color w:val="000000" w:themeColor="text1"/>
          <w:highlight w:val="none"/>
        </w:rPr>
        <w:t>本项目评价区内噪声污染源主要是社会生活噪声和临路交通噪声。</w:t>
      </w:r>
    </w:p>
    <w:p w14:paraId="0E2446BA">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4.3.3.2</w:t>
      </w:r>
      <w:r>
        <w:rPr>
          <w:color w:val="000000" w:themeColor="text1"/>
          <w:highlight w:val="none"/>
        </w:rPr>
        <w:t>现状监测</w:t>
      </w:r>
    </w:p>
    <w:p w14:paraId="68D71087">
      <w:pPr>
        <w:pageBreakBefore w:val="0"/>
        <w:wordWrap/>
        <w:topLinePunct w:val="0"/>
        <w:bidi w:val="0"/>
        <w:spacing w:line="360" w:lineRule="auto"/>
        <w:rPr>
          <w:color w:val="000000" w:themeColor="text1"/>
          <w:highlight w:val="none"/>
        </w:rPr>
      </w:pPr>
      <w:r>
        <w:rPr>
          <w:color w:val="000000" w:themeColor="text1"/>
          <w:highlight w:val="none"/>
        </w:rPr>
        <w:t>（1）监测布点</w:t>
      </w:r>
    </w:p>
    <w:p w14:paraId="0A6BB983">
      <w:pPr>
        <w:pageBreakBefore w:val="0"/>
        <w:wordWrap/>
        <w:topLinePunct w:val="0"/>
        <w:bidi w:val="0"/>
        <w:spacing w:line="360" w:lineRule="auto"/>
        <w:rPr>
          <w:color w:val="000000" w:themeColor="text1"/>
          <w:highlight w:val="none"/>
        </w:rPr>
      </w:pPr>
      <w:r>
        <w:rPr>
          <w:color w:val="000000" w:themeColor="text1"/>
          <w:highlight w:val="none"/>
        </w:rPr>
        <w:t>本项目沿线共布设</w:t>
      </w:r>
      <w:r>
        <w:rPr>
          <w:rFonts w:hint="eastAsia"/>
          <w:color w:val="000000" w:themeColor="text1"/>
          <w:highlight w:val="none"/>
          <w:lang w:val="en-US" w:eastAsia="zh-CN"/>
        </w:rPr>
        <w:t>2</w:t>
      </w:r>
      <w:r>
        <w:rPr>
          <w:color w:val="000000" w:themeColor="text1"/>
          <w:highlight w:val="none"/>
        </w:rPr>
        <w:t>个噪声监测点，</w:t>
      </w:r>
      <w:r>
        <w:rPr>
          <w:rFonts w:hint="eastAsia"/>
          <w:color w:val="000000" w:themeColor="text1"/>
          <w:highlight w:val="none"/>
        </w:rPr>
        <w:t>均委托</w:t>
      </w:r>
      <w:r>
        <w:rPr>
          <w:rFonts w:hint="eastAsia"/>
          <w:color w:val="000000" w:themeColor="text1"/>
          <w:highlight w:val="none"/>
          <w:lang w:eastAsia="zh-CN"/>
        </w:rPr>
        <w:t>黑龙江省华裕检测技术有限公司</w:t>
      </w:r>
      <w:r>
        <w:rPr>
          <w:color w:val="000000" w:themeColor="text1"/>
          <w:highlight w:val="none"/>
        </w:rPr>
        <w:t>，具体监测点位置见表4.3-</w:t>
      </w:r>
      <w:r>
        <w:rPr>
          <w:rFonts w:hint="eastAsia"/>
          <w:color w:val="000000" w:themeColor="text1"/>
          <w:highlight w:val="none"/>
          <w:lang w:val="en-US" w:eastAsia="zh-CN"/>
        </w:rPr>
        <w:t>6</w:t>
      </w:r>
      <w:r>
        <w:rPr>
          <w:color w:val="000000" w:themeColor="text1"/>
          <w:highlight w:val="none"/>
        </w:rPr>
        <w:t>，监测点位布置图详见</w:t>
      </w:r>
      <w:r>
        <w:rPr>
          <w:rFonts w:hint="eastAsia"/>
          <w:color w:val="000000" w:themeColor="text1"/>
          <w:highlight w:val="none"/>
          <w:lang w:val="en-US" w:eastAsia="zh-CN"/>
        </w:rPr>
        <w:t>图4.3-1</w:t>
      </w:r>
      <w:r>
        <w:rPr>
          <w:color w:val="000000" w:themeColor="text1"/>
          <w:highlight w:val="none"/>
        </w:rPr>
        <w:t>。</w:t>
      </w:r>
    </w:p>
    <w:p w14:paraId="6A2076D9">
      <w:pPr>
        <w:pStyle w:val="119"/>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表4.3-</w:t>
      </w:r>
      <w:r>
        <w:rPr>
          <w:rFonts w:hint="eastAsia"/>
          <w:b/>
          <w:color w:val="000000" w:themeColor="text1"/>
          <w:highlight w:val="none"/>
          <w:lang w:val="en-US" w:eastAsia="zh-CN"/>
        </w:rPr>
        <w:t>6</w:t>
      </w:r>
      <w:r>
        <w:rPr>
          <w:rFonts w:hint="eastAsia"/>
          <w:b/>
          <w:color w:val="000000" w:themeColor="text1"/>
          <w:highlight w:val="none"/>
        </w:rPr>
        <w:t xml:space="preserve"> </w:t>
      </w:r>
      <w:r>
        <w:rPr>
          <w:b/>
          <w:color w:val="000000" w:themeColor="text1"/>
          <w:highlight w:val="none"/>
        </w:rPr>
        <w:t xml:space="preserve"> </w:t>
      </w:r>
      <w:r>
        <w:rPr>
          <w:rFonts w:hint="eastAsia"/>
          <w:b/>
          <w:color w:val="000000" w:themeColor="text1"/>
          <w:highlight w:val="none"/>
          <w:lang w:val="en-US" w:eastAsia="zh-CN"/>
        </w:rPr>
        <w:t>声环境质量现状监测点位布设情况一览表</w:t>
      </w:r>
    </w:p>
    <w:tbl>
      <w:tblPr>
        <w:tblStyle w:val="33"/>
        <w:tblW w:w="842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769"/>
        <w:gridCol w:w="1892"/>
        <w:gridCol w:w="1835"/>
        <w:gridCol w:w="1467"/>
        <w:gridCol w:w="2463"/>
      </w:tblGrid>
      <w:tr w14:paraId="6F4263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69" w:type="dxa"/>
            <w:vAlign w:val="center"/>
          </w:tcPr>
          <w:p w14:paraId="7BAB01AE">
            <w:pPr>
              <w:pageBreakBefore w:val="0"/>
              <w:wordWrap/>
              <w:topLinePunct w:val="0"/>
              <w:bidi w:val="0"/>
              <w:spacing w:line="240" w:lineRule="auto"/>
              <w:ind w:firstLine="0" w:firstLineChars="0"/>
              <w:jc w:val="center"/>
              <w:rPr>
                <w:bCs/>
                <w:color w:val="000000" w:themeColor="text1"/>
                <w:sz w:val="21"/>
                <w:szCs w:val="21"/>
                <w:highlight w:val="none"/>
              </w:rPr>
            </w:pPr>
            <w:r>
              <w:rPr>
                <w:color w:val="000000" w:themeColor="text1"/>
                <w:sz w:val="21"/>
                <w:szCs w:val="21"/>
                <w:highlight w:val="none"/>
              </w:rPr>
              <w:t>序号</w:t>
            </w:r>
          </w:p>
        </w:tc>
        <w:tc>
          <w:tcPr>
            <w:tcW w:w="1892" w:type="dxa"/>
            <w:vAlign w:val="center"/>
          </w:tcPr>
          <w:p w14:paraId="78944A2A">
            <w:pPr>
              <w:pageBreakBefore w:val="0"/>
              <w:wordWrap/>
              <w:topLinePunct w:val="0"/>
              <w:bidi w:val="0"/>
              <w:spacing w:line="240" w:lineRule="auto"/>
              <w:ind w:firstLine="0" w:firstLineChars="0"/>
              <w:jc w:val="center"/>
              <w:rPr>
                <w:bCs/>
                <w:color w:val="000000" w:themeColor="text1"/>
                <w:sz w:val="21"/>
                <w:szCs w:val="21"/>
                <w:highlight w:val="none"/>
              </w:rPr>
            </w:pPr>
            <w:r>
              <w:rPr>
                <w:color w:val="000000" w:themeColor="text1"/>
                <w:sz w:val="21"/>
                <w:szCs w:val="21"/>
                <w:highlight w:val="none"/>
              </w:rPr>
              <w:t>测点名称</w:t>
            </w:r>
          </w:p>
        </w:tc>
        <w:tc>
          <w:tcPr>
            <w:tcW w:w="1835" w:type="dxa"/>
            <w:vAlign w:val="center"/>
          </w:tcPr>
          <w:p w14:paraId="7C89386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监测位置</w:t>
            </w:r>
          </w:p>
        </w:tc>
        <w:tc>
          <w:tcPr>
            <w:tcW w:w="1467" w:type="dxa"/>
            <w:vAlign w:val="center"/>
          </w:tcPr>
          <w:p w14:paraId="3443B1C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现状声功能区</w:t>
            </w:r>
          </w:p>
        </w:tc>
        <w:tc>
          <w:tcPr>
            <w:tcW w:w="2463" w:type="dxa"/>
            <w:vAlign w:val="center"/>
          </w:tcPr>
          <w:p w14:paraId="24745D40">
            <w:pPr>
              <w:pageBreakBefore w:val="0"/>
              <w:wordWrap/>
              <w:topLinePunct w:val="0"/>
              <w:bidi w:val="0"/>
              <w:spacing w:line="240" w:lineRule="auto"/>
              <w:ind w:firstLine="0" w:firstLineChars="0"/>
              <w:jc w:val="center"/>
              <w:rPr>
                <w:bCs/>
                <w:color w:val="000000" w:themeColor="text1"/>
                <w:sz w:val="21"/>
                <w:szCs w:val="21"/>
                <w:highlight w:val="none"/>
              </w:rPr>
            </w:pPr>
            <w:r>
              <w:rPr>
                <w:color w:val="000000" w:themeColor="text1"/>
                <w:sz w:val="21"/>
                <w:szCs w:val="21"/>
                <w:highlight w:val="none"/>
              </w:rPr>
              <w:t>监测项目</w:t>
            </w:r>
          </w:p>
        </w:tc>
      </w:tr>
      <w:tr w14:paraId="50A512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69" w:type="dxa"/>
            <w:vAlign w:val="center"/>
          </w:tcPr>
          <w:p w14:paraId="56E71107">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1</w:t>
            </w:r>
          </w:p>
        </w:tc>
        <w:tc>
          <w:tcPr>
            <w:tcW w:w="1892" w:type="dxa"/>
            <w:shd w:val="clear" w:color="auto" w:fill="auto"/>
            <w:vAlign w:val="center"/>
          </w:tcPr>
          <w:p w14:paraId="3AB6C4E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与公路交叉口附近</w:t>
            </w:r>
          </w:p>
        </w:tc>
        <w:tc>
          <w:tcPr>
            <w:tcW w:w="1835" w:type="dxa"/>
            <w:shd w:val="clear" w:color="auto" w:fill="auto"/>
            <w:vAlign w:val="center"/>
          </w:tcPr>
          <w:p w14:paraId="6B77FB7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与公路交叉口附近</w:t>
            </w:r>
          </w:p>
        </w:tc>
        <w:tc>
          <w:tcPr>
            <w:tcW w:w="1467" w:type="dxa"/>
            <w:vAlign w:val="center"/>
          </w:tcPr>
          <w:p w14:paraId="75705E76">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2</w:t>
            </w:r>
            <w:r>
              <w:rPr>
                <w:color w:val="000000" w:themeColor="text1"/>
                <w:sz w:val="21"/>
                <w:szCs w:val="21"/>
                <w:highlight w:val="none"/>
              </w:rPr>
              <w:t>类</w:t>
            </w:r>
          </w:p>
        </w:tc>
        <w:tc>
          <w:tcPr>
            <w:tcW w:w="2463" w:type="dxa"/>
            <w:vMerge w:val="restart"/>
            <w:vAlign w:val="center"/>
          </w:tcPr>
          <w:p w14:paraId="7BF3740C">
            <w:pPr>
              <w:pageBreakBefore w:val="0"/>
              <w:wordWrap/>
              <w:topLinePunct w:val="0"/>
              <w:bidi w:val="0"/>
              <w:spacing w:line="240" w:lineRule="auto"/>
              <w:ind w:firstLine="0" w:firstLineChars="0"/>
              <w:jc w:val="center"/>
              <w:rPr>
                <w:color w:val="000000" w:themeColor="text1"/>
                <w:highlight w:val="none"/>
              </w:rPr>
            </w:pPr>
            <w:r>
              <w:rPr>
                <w:rFonts w:hint="eastAsia"/>
                <w:color w:val="000000" w:themeColor="text1"/>
                <w:sz w:val="21"/>
                <w:szCs w:val="21"/>
                <w:highlight w:val="none"/>
              </w:rPr>
              <w:t>LAeq、L10、L50、L90、Lmax</w:t>
            </w:r>
          </w:p>
        </w:tc>
      </w:tr>
      <w:tr w14:paraId="62A46E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769" w:type="dxa"/>
            <w:vAlign w:val="center"/>
          </w:tcPr>
          <w:p w14:paraId="2E9D035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2</w:t>
            </w:r>
          </w:p>
        </w:tc>
        <w:tc>
          <w:tcPr>
            <w:tcW w:w="1892" w:type="dxa"/>
            <w:shd w:val="clear" w:color="auto" w:fill="auto"/>
            <w:vAlign w:val="center"/>
          </w:tcPr>
          <w:p w14:paraId="34BBAC7F">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背景值</w:t>
            </w:r>
          </w:p>
        </w:tc>
        <w:tc>
          <w:tcPr>
            <w:tcW w:w="1835" w:type="dxa"/>
            <w:shd w:val="clear" w:color="auto" w:fill="auto"/>
            <w:vAlign w:val="center"/>
          </w:tcPr>
          <w:p w14:paraId="467EA27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农田处</w:t>
            </w:r>
          </w:p>
        </w:tc>
        <w:tc>
          <w:tcPr>
            <w:tcW w:w="1467" w:type="dxa"/>
            <w:vAlign w:val="center"/>
          </w:tcPr>
          <w:p w14:paraId="2EC9A209">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2</w:t>
            </w:r>
            <w:r>
              <w:rPr>
                <w:color w:val="000000" w:themeColor="text1"/>
                <w:sz w:val="21"/>
                <w:szCs w:val="21"/>
                <w:highlight w:val="none"/>
              </w:rPr>
              <w:t>类</w:t>
            </w:r>
          </w:p>
        </w:tc>
        <w:tc>
          <w:tcPr>
            <w:tcW w:w="2463" w:type="dxa"/>
            <w:vMerge w:val="continue"/>
            <w:vAlign w:val="center"/>
          </w:tcPr>
          <w:p w14:paraId="11905BE8">
            <w:pPr>
              <w:pageBreakBefore w:val="0"/>
              <w:wordWrap/>
              <w:topLinePunct w:val="0"/>
              <w:bidi w:val="0"/>
              <w:spacing w:line="240" w:lineRule="auto"/>
              <w:ind w:firstLine="0" w:firstLineChars="0"/>
              <w:jc w:val="center"/>
              <w:rPr>
                <w:color w:val="000000" w:themeColor="text1"/>
                <w:sz w:val="21"/>
                <w:szCs w:val="21"/>
                <w:highlight w:val="none"/>
              </w:rPr>
            </w:pPr>
          </w:p>
        </w:tc>
      </w:tr>
    </w:tbl>
    <w:p w14:paraId="5D6DAF25">
      <w:pPr>
        <w:pageBreakBefore w:val="0"/>
        <w:wordWrap/>
        <w:topLinePunct w:val="0"/>
        <w:bidi w:val="0"/>
        <w:spacing w:line="360" w:lineRule="auto"/>
        <w:rPr>
          <w:color w:val="000000" w:themeColor="text1"/>
          <w:highlight w:val="none"/>
        </w:rPr>
      </w:pPr>
      <w:r>
        <w:rPr>
          <w:color w:val="000000" w:themeColor="text1"/>
          <w:highlight w:val="none"/>
        </w:rPr>
        <w:t>（2）监测时间、频率及方法</w:t>
      </w:r>
    </w:p>
    <w:p w14:paraId="4CEEF700">
      <w:pPr>
        <w:pageBreakBefore w:val="0"/>
        <w:wordWrap/>
        <w:topLinePunct w:val="0"/>
        <w:bidi w:val="0"/>
        <w:spacing w:line="360" w:lineRule="auto"/>
        <w:rPr>
          <w:color w:val="000000" w:themeColor="text1"/>
          <w:highlight w:val="none"/>
        </w:rPr>
      </w:pPr>
      <w:r>
        <w:rPr>
          <w:color w:val="000000" w:themeColor="text1"/>
          <w:highlight w:val="none"/>
        </w:rPr>
        <w:t>监测时间为202</w:t>
      </w:r>
      <w:r>
        <w:rPr>
          <w:rFonts w:hint="eastAsia"/>
          <w:color w:val="000000" w:themeColor="text1"/>
          <w:highlight w:val="none"/>
          <w:lang w:val="en-US" w:eastAsia="zh-CN"/>
        </w:rPr>
        <w:t>5</w:t>
      </w:r>
      <w:r>
        <w:rPr>
          <w:color w:val="000000" w:themeColor="text1"/>
          <w:highlight w:val="none"/>
        </w:rPr>
        <w:t>年</w:t>
      </w:r>
      <w:r>
        <w:rPr>
          <w:rFonts w:hint="eastAsia"/>
          <w:color w:val="000000" w:themeColor="text1"/>
          <w:highlight w:val="none"/>
          <w:lang w:val="en-US" w:eastAsia="zh-CN"/>
        </w:rPr>
        <w:t>5</w:t>
      </w:r>
      <w:r>
        <w:rPr>
          <w:color w:val="000000" w:themeColor="text1"/>
          <w:highlight w:val="none"/>
        </w:rPr>
        <w:t>月</w:t>
      </w:r>
      <w:r>
        <w:rPr>
          <w:rFonts w:hint="eastAsia"/>
          <w:color w:val="000000" w:themeColor="text1"/>
          <w:highlight w:val="none"/>
          <w:lang w:val="en-US" w:eastAsia="zh-CN"/>
        </w:rPr>
        <w:t>13</w:t>
      </w:r>
      <w:r>
        <w:rPr>
          <w:color w:val="000000" w:themeColor="text1"/>
          <w:highlight w:val="none"/>
        </w:rPr>
        <w:t>日-</w:t>
      </w:r>
      <w:r>
        <w:rPr>
          <w:rFonts w:hint="eastAsia"/>
          <w:color w:val="000000" w:themeColor="text1"/>
          <w:highlight w:val="none"/>
          <w:lang w:val="en-US" w:eastAsia="zh-CN"/>
        </w:rPr>
        <w:t>5</w:t>
      </w:r>
      <w:r>
        <w:rPr>
          <w:color w:val="000000" w:themeColor="text1"/>
          <w:highlight w:val="none"/>
        </w:rPr>
        <w:t>月</w:t>
      </w:r>
      <w:r>
        <w:rPr>
          <w:rFonts w:hint="eastAsia"/>
          <w:color w:val="000000" w:themeColor="text1"/>
          <w:highlight w:val="none"/>
          <w:lang w:val="en-US" w:eastAsia="zh-CN"/>
        </w:rPr>
        <w:t>14</w:t>
      </w:r>
      <w:r>
        <w:rPr>
          <w:color w:val="000000" w:themeColor="text1"/>
          <w:highlight w:val="none"/>
        </w:rPr>
        <w:t>日</w:t>
      </w:r>
      <w:r>
        <w:rPr>
          <w:rFonts w:hint="eastAsia"/>
          <w:color w:val="000000" w:themeColor="text1"/>
          <w:highlight w:val="none"/>
        </w:rPr>
        <w:t>；</w:t>
      </w:r>
      <w:r>
        <w:rPr>
          <w:color w:val="000000" w:themeColor="text1"/>
          <w:highlight w:val="none"/>
        </w:rPr>
        <w:t>监测方法依据《声环境质量标准》（GB3096-2008），</w:t>
      </w:r>
      <w:r>
        <w:rPr>
          <w:rFonts w:hint="eastAsia"/>
          <w:color w:val="000000" w:themeColor="text1"/>
          <w:highlight w:val="none"/>
          <w:lang w:val="en-US" w:eastAsia="zh-CN"/>
        </w:rPr>
        <w:t>连续</w:t>
      </w:r>
      <w:r>
        <w:rPr>
          <w:color w:val="000000" w:themeColor="text1"/>
          <w:highlight w:val="none"/>
        </w:rPr>
        <w:t>监测2天，每天进行昼间、夜间各测</w:t>
      </w:r>
      <w:r>
        <w:rPr>
          <w:rFonts w:hint="eastAsia"/>
          <w:color w:val="000000" w:themeColor="text1"/>
          <w:highlight w:val="none"/>
          <w:lang w:val="en-US" w:eastAsia="zh-CN"/>
        </w:rPr>
        <w:t>2</w:t>
      </w:r>
      <w:r>
        <w:rPr>
          <w:color w:val="000000" w:themeColor="text1"/>
          <w:highlight w:val="none"/>
        </w:rPr>
        <w:t>次，每次连续监测20min。</w:t>
      </w:r>
    </w:p>
    <w:p w14:paraId="03BB381E">
      <w:pPr>
        <w:pageBreakBefore w:val="0"/>
        <w:wordWrap/>
        <w:topLinePunct w:val="0"/>
        <w:bidi w:val="0"/>
        <w:spacing w:line="360" w:lineRule="auto"/>
        <w:rPr>
          <w:color w:val="000000" w:themeColor="text1"/>
          <w:highlight w:val="none"/>
        </w:rPr>
      </w:pPr>
      <w:r>
        <w:rPr>
          <w:color w:val="000000" w:themeColor="text1"/>
          <w:highlight w:val="none"/>
        </w:rPr>
        <w:t>（3）监测结果</w:t>
      </w:r>
    </w:p>
    <w:p w14:paraId="0629876D">
      <w:pPr>
        <w:pageBreakBefore w:val="0"/>
        <w:wordWrap/>
        <w:topLinePunct w:val="0"/>
        <w:bidi w:val="0"/>
        <w:spacing w:line="360" w:lineRule="auto"/>
        <w:rPr>
          <w:snapToGrid w:val="0"/>
          <w:color w:val="000000" w:themeColor="text1"/>
          <w:highlight w:val="none"/>
        </w:rPr>
      </w:pPr>
      <w:r>
        <w:rPr>
          <w:snapToGrid w:val="0"/>
          <w:color w:val="000000" w:themeColor="text1"/>
          <w:highlight w:val="none"/>
        </w:rPr>
        <w:t>监测结果见表4.3-</w:t>
      </w:r>
      <w:r>
        <w:rPr>
          <w:rFonts w:hint="eastAsia"/>
          <w:snapToGrid w:val="0"/>
          <w:color w:val="000000" w:themeColor="text1"/>
          <w:highlight w:val="none"/>
          <w:lang w:val="en-US" w:eastAsia="zh-CN"/>
        </w:rPr>
        <w:t>7</w:t>
      </w:r>
      <w:r>
        <w:rPr>
          <w:snapToGrid w:val="0"/>
          <w:color w:val="000000" w:themeColor="text1"/>
          <w:highlight w:val="none"/>
        </w:rPr>
        <w:t>。</w:t>
      </w:r>
    </w:p>
    <w:p w14:paraId="73A9AE01">
      <w:pPr>
        <w:pageBreakBefore w:val="0"/>
        <w:wordWrap/>
        <w:topLinePunct w:val="0"/>
        <w:bidi w:val="0"/>
        <w:spacing w:line="360" w:lineRule="auto"/>
        <w:ind w:firstLine="0" w:firstLineChars="0"/>
        <w:jc w:val="center"/>
        <w:rPr>
          <w:rFonts w:hint="eastAsia"/>
          <w:b/>
          <w:snapToGrid w:val="0"/>
          <w:color w:val="000000" w:themeColor="text1"/>
          <w:spacing w:val="0"/>
          <w:sz w:val="24"/>
          <w:highlight w:val="none"/>
          <w:lang w:val="en-US" w:eastAsia="zh-CN"/>
        </w:rPr>
      </w:pPr>
      <w:r>
        <w:rPr>
          <w:b/>
          <w:snapToGrid w:val="0"/>
          <w:color w:val="000000" w:themeColor="text1"/>
          <w:spacing w:val="0"/>
          <w:sz w:val="24"/>
          <w:highlight w:val="none"/>
        </w:rPr>
        <w:t>表4.3-</w:t>
      </w:r>
      <w:r>
        <w:rPr>
          <w:rFonts w:hint="eastAsia"/>
          <w:b/>
          <w:snapToGrid w:val="0"/>
          <w:color w:val="000000" w:themeColor="text1"/>
          <w:spacing w:val="0"/>
          <w:sz w:val="24"/>
          <w:highlight w:val="none"/>
          <w:lang w:val="en-US" w:eastAsia="zh-CN"/>
        </w:rPr>
        <w:t>7</w:t>
      </w:r>
      <w:r>
        <w:rPr>
          <w:b/>
          <w:snapToGrid w:val="0"/>
          <w:color w:val="000000" w:themeColor="text1"/>
          <w:spacing w:val="0"/>
          <w:sz w:val="24"/>
          <w:highlight w:val="none"/>
        </w:rPr>
        <w:t xml:space="preserve">  </w:t>
      </w:r>
      <w:r>
        <w:rPr>
          <w:rFonts w:hint="eastAsia"/>
          <w:b/>
          <w:snapToGrid w:val="0"/>
          <w:color w:val="000000" w:themeColor="text1"/>
          <w:spacing w:val="0"/>
          <w:sz w:val="24"/>
          <w:highlight w:val="none"/>
          <w:lang w:val="en-US" w:eastAsia="zh-CN"/>
        </w:rPr>
        <w:t xml:space="preserve">监测点位及噪声监测结果 单位 </w:t>
      </w:r>
      <w:r>
        <w:rPr>
          <w:rFonts w:hint="default"/>
          <w:b/>
          <w:snapToGrid w:val="0"/>
          <w:color w:val="000000" w:themeColor="text1"/>
          <w:spacing w:val="0"/>
          <w:sz w:val="24"/>
          <w:highlight w:val="none"/>
          <w:lang w:val="en-US" w:eastAsia="zh-CN"/>
        </w:rPr>
        <w:t>dB</w:t>
      </w:r>
      <w:r>
        <w:rPr>
          <w:rFonts w:hint="eastAsia"/>
          <w:b/>
          <w:snapToGrid w:val="0"/>
          <w:color w:val="000000" w:themeColor="text1"/>
          <w:spacing w:val="0"/>
          <w:sz w:val="24"/>
          <w:highlight w:val="none"/>
          <w:lang w:val="en-US" w:eastAsia="zh-CN"/>
        </w:rPr>
        <w:t>（</w:t>
      </w:r>
      <w:r>
        <w:rPr>
          <w:rFonts w:hint="default"/>
          <w:b/>
          <w:snapToGrid w:val="0"/>
          <w:color w:val="000000" w:themeColor="text1"/>
          <w:spacing w:val="0"/>
          <w:sz w:val="24"/>
          <w:highlight w:val="none"/>
          <w:lang w:val="en-US" w:eastAsia="zh-CN"/>
        </w:rPr>
        <w:t>A</w:t>
      </w:r>
      <w:r>
        <w:rPr>
          <w:rFonts w:hint="eastAsia"/>
          <w:b/>
          <w:snapToGrid w:val="0"/>
          <w:color w:val="000000" w:themeColor="text1"/>
          <w:spacing w:val="0"/>
          <w:sz w:val="24"/>
          <w:highlight w:val="none"/>
          <w:lang w:val="en-US" w:eastAsia="zh-CN"/>
        </w:rPr>
        <w:t>）</w:t>
      </w:r>
    </w:p>
    <w:tbl>
      <w:tblPr>
        <w:tblStyle w:val="34"/>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60"/>
        <w:gridCol w:w="1084"/>
        <w:gridCol w:w="1113"/>
        <w:gridCol w:w="1113"/>
        <w:gridCol w:w="1113"/>
        <w:gridCol w:w="1113"/>
        <w:gridCol w:w="1123"/>
      </w:tblGrid>
      <w:tr w14:paraId="6747D9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restart"/>
            <w:tcBorders>
              <w:tl2br w:val="nil"/>
              <w:tr2bl w:val="nil"/>
            </w:tcBorders>
            <w:noWrap w:val="0"/>
            <w:vAlign w:val="center"/>
          </w:tcPr>
          <w:p w14:paraId="435E74F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检测点位</w:t>
            </w:r>
          </w:p>
        </w:tc>
        <w:tc>
          <w:tcPr>
            <w:tcW w:w="636" w:type="pct"/>
            <w:vMerge w:val="restart"/>
            <w:tcBorders>
              <w:tl2br w:val="nil"/>
              <w:tr2bl w:val="nil"/>
            </w:tcBorders>
            <w:noWrap w:val="0"/>
            <w:vAlign w:val="center"/>
          </w:tcPr>
          <w:p w14:paraId="6B0552C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检测频次</w:t>
            </w:r>
          </w:p>
        </w:tc>
        <w:tc>
          <w:tcPr>
            <w:tcW w:w="3271" w:type="pct"/>
            <w:gridSpan w:val="5"/>
            <w:tcBorders>
              <w:tl2br w:val="nil"/>
              <w:tr2bl w:val="nil"/>
            </w:tcBorders>
            <w:noWrap w:val="0"/>
            <w:vAlign w:val="center"/>
          </w:tcPr>
          <w:p w14:paraId="6CB4E2A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2025.0</w:t>
            </w:r>
            <w:r>
              <w:rPr>
                <w:rFonts w:hint="eastAsia" w:ascii="Times New Roman" w:hAnsi="Times New Roman" w:eastAsia="宋体" w:cs="Times New Roman"/>
                <w:color w:val="000000" w:themeColor="text1"/>
                <w:sz w:val="21"/>
                <w:szCs w:val="21"/>
                <w:highlight w:val="none"/>
                <w:lang w:val="en-US" w:eastAsia="zh-CN"/>
              </w:rPr>
              <w:t>5.13</w:t>
            </w:r>
          </w:p>
        </w:tc>
      </w:tr>
      <w:tr w14:paraId="2A5132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continue"/>
            <w:tcBorders>
              <w:tl2br w:val="nil"/>
              <w:tr2bl w:val="nil"/>
            </w:tcBorders>
            <w:noWrap w:val="0"/>
            <w:vAlign w:val="center"/>
          </w:tcPr>
          <w:p w14:paraId="277E703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p>
        </w:tc>
        <w:tc>
          <w:tcPr>
            <w:tcW w:w="636" w:type="pct"/>
            <w:vMerge w:val="continue"/>
            <w:tcBorders>
              <w:tl2br w:val="nil"/>
              <w:tr2bl w:val="nil"/>
            </w:tcBorders>
            <w:noWrap w:val="0"/>
            <w:vAlign w:val="center"/>
          </w:tcPr>
          <w:p w14:paraId="5373D8E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p>
        </w:tc>
        <w:tc>
          <w:tcPr>
            <w:tcW w:w="653" w:type="pct"/>
            <w:tcBorders>
              <w:tl2br w:val="nil"/>
              <w:tr2bl w:val="nil"/>
            </w:tcBorders>
            <w:noWrap w:val="0"/>
            <w:vAlign w:val="center"/>
          </w:tcPr>
          <w:p w14:paraId="1C8C37E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LAeq</w:t>
            </w:r>
          </w:p>
        </w:tc>
        <w:tc>
          <w:tcPr>
            <w:tcW w:w="653" w:type="pct"/>
            <w:tcBorders>
              <w:tl2br w:val="nil"/>
              <w:tr2bl w:val="nil"/>
            </w:tcBorders>
            <w:noWrap w:val="0"/>
            <w:vAlign w:val="center"/>
          </w:tcPr>
          <w:p w14:paraId="0F994D3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L10</w:t>
            </w:r>
          </w:p>
        </w:tc>
        <w:tc>
          <w:tcPr>
            <w:tcW w:w="653" w:type="pct"/>
            <w:tcBorders>
              <w:tl2br w:val="nil"/>
              <w:tr2bl w:val="nil"/>
            </w:tcBorders>
            <w:noWrap w:val="0"/>
            <w:vAlign w:val="center"/>
          </w:tcPr>
          <w:p w14:paraId="672E7C1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L50</w:t>
            </w:r>
          </w:p>
        </w:tc>
        <w:tc>
          <w:tcPr>
            <w:tcW w:w="653" w:type="pct"/>
            <w:tcBorders>
              <w:tl2br w:val="nil"/>
              <w:tr2bl w:val="nil"/>
            </w:tcBorders>
            <w:noWrap w:val="0"/>
            <w:vAlign w:val="center"/>
          </w:tcPr>
          <w:p w14:paraId="1F98F7C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L90</w:t>
            </w:r>
          </w:p>
        </w:tc>
        <w:tc>
          <w:tcPr>
            <w:tcW w:w="656" w:type="pct"/>
            <w:tcBorders>
              <w:tl2br w:val="nil"/>
              <w:tr2bl w:val="nil"/>
            </w:tcBorders>
            <w:noWrap w:val="0"/>
            <w:vAlign w:val="center"/>
          </w:tcPr>
          <w:p w14:paraId="420D231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Lmax</w:t>
            </w:r>
          </w:p>
        </w:tc>
      </w:tr>
      <w:tr w14:paraId="43A1AC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restart"/>
            <w:tcBorders>
              <w:tl2br w:val="nil"/>
              <w:tr2bl w:val="nil"/>
            </w:tcBorders>
            <w:noWrap w:val="0"/>
            <w:vAlign w:val="center"/>
          </w:tcPr>
          <w:p w14:paraId="035C5F3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与公路交叉口附近1△</w:t>
            </w:r>
          </w:p>
        </w:tc>
        <w:tc>
          <w:tcPr>
            <w:tcW w:w="636" w:type="pct"/>
            <w:tcBorders>
              <w:tl2br w:val="nil"/>
              <w:tr2bl w:val="nil"/>
            </w:tcBorders>
            <w:noWrap w:val="0"/>
            <w:vAlign w:val="center"/>
          </w:tcPr>
          <w:p w14:paraId="3E8CB10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昼间</w:t>
            </w:r>
          </w:p>
        </w:tc>
        <w:tc>
          <w:tcPr>
            <w:tcW w:w="653" w:type="pct"/>
            <w:tcBorders>
              <w:tl2br w:val="nil"/>
              <w:tr2bl w:val="nil"/>
            </w:tcBorders>
            <w:noWrap w:val="0"/>
            <w:vAlign w:val="center"/>
          </w:tcPr>
          <w:p w14:paraId="3314561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51</w:t>
            </w:r>
          </w:p>
        </w:tc>
        <w:tc>
          <w:tcPr>
            <w:tcW w:w="653" w:type="pct"/>
            <w:tcBorders>
              <w:tl2br w:val="nil"/>
              <w:tr2bl w:val="nil"/>
            </w:tcBorders>
            <w:noWrap w:val="0"/>
            <w:vAlign w:val="center"/>
          </w:tcPr>
          <w:p w14:paraId="4C335C3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50</w:t>
            </w:r>
          </w:p>
        </w:tc>
        <w:tc>
          <w:tcPr>
            <w:tcW w:w="653" w:type="pct"/>
            <w:tcBorders>
              <w:tl2br w:val="nil"/>
              <w:tr2bl w:val="nil"/>
            </w:tcBorders>
            <w:noWrap w:val="0"/>
            <w:vAlign w:val="center"/>
          </w:tcPr>
          <w:p w14:paraId="08D4C99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45</w:t>
            </w:r>
          </w:p>
        </w:tc>
        <w:tc>
          <w:tcPr>
            <w:tcW w:w="653" w:type="pct"/>
            <w:tcBorders>
              <w:tl2br w:val="nil"/>
              <w:tr2bl w:val="nil"/>
            </w:tcBorders>
            <w:noWrap w:val="0"/>
            <w:vAlign w:val="center"/>
          </w:tcPr>
          <w:p w14:paraId="7BC81B6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41</w:t>
            </w:r>
          </w:p>
        </w:tc>
        <w:tc>
          <w:tcPr>
            <w:tcW w:w="656" w:type="pct"/>
            <w:tcBorders>
              <w:tl2br w:val="nil"/>
              <w:tr2bl w:val="nil"/>
            </w:tcBorders>
            <w:noWrap w:val="0"/>
            <w:vAlign w:val="center"/>
          </w:tcPr>
          <w:p w14:paraId="63FE34F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86</w:t>
            </w:r>
          </w:p>
        </w:tc>
      </w:tr>
      <w:tr w14:paraId="4CE8E5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continue"/>
            <w:tcBorders>
              <w:tl2br w:val="nil"/>
              <w:tr2bl w:val="nil"/>
            </w:tcBorders>
            <w:noWrap w:val="0"/>
            <w:vAlign w:val="center"/>
          </w:tcPr>
          <w:p w14:paraId="018D857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p>
        </w:tc>
        <w:tc>
          <w:tcPr>
            <w:tcW w:w="636" w:type="pct"/>
            <w:tcBorders>
              <w:tl2br w:val="nil"/>
              <w:tr2bl w:val="nil"/>
            </w:tcBorders>
            <w:noWrap w:val="0"/>
            <w:vAlign w:val="center"/>
          </w:tcPr>
          <w:p w14:paraId="0DAB23D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夜间</w:t>
            </w:r>
          </w:p>
        </w:tc>
        <w:tc>
          <w:tcPr>
            <w:tcW w:w="653" w:type="pct"/>
            <w:tcBorders>
              <w:tl2br w:val="nil"/>
              <w:tr2bl w:val="nil"/>
            </w:tcBorders>
            <w:noWrap w:val="0"/>
            <w:vAlign w:val="center"/>
          </w:tcPr>
          <w:p w14:paraId="44159CB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45</w:t>
            </w:r>
          </w:p>
        </w:tc>
        <w:tc>
          <w:tcPr>
            <w:tcW w:w="653" w:type="pct"/>
            <w:tcBorders>
              <w:tl2br w:val="nil"/>
              <w:tr2bl w:val="nil"/>
            </w:tcBorders>
            <w:noWrap w:val="0"/>
            <w:vAlign w:val="center"/>
          </w:tcPr>
          <w:p w14:paraId="7862F1C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46</w:t>
            </w:r>
          </w:p>
        </w:tc>
        <w:tc>
          <w:tcPr>
            <w:tcW w:w="653" w:type="pct"/>
            <w:tcBorders>
              <w:tl2br w:val="nil"/>
              <w:tr2bl w:val="nil"/>
            </w:tcBorders>
            <w:noWrap w:val="0"/>
            <w:vAlign w:val="center"/>
          </w:tcPr>
          <w:p w14:paraId="3C2D36B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41</w:t>
            </w:r>
          </w:p>
        </w:tc>
        <w:tc>
          <w:tcPr>
            <w:tcW w:w="653" w:type="pct"/>
            <w:tcBorders>
              <w:tl2br w:val="nil"/>
              <w:tr2bl w:val="nil"/>
            </w:tcBorders>
            <w:noWrap w:val="0"/>
            <w:vAlign w:val="center"/>
          </w:tcPr>
          <w:p w14:paraId="0E682C1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37</w:t>
            </w:r>
          </w:p>
        </w:tc>
        <w:tc>
          <w:tcPr>
            <w:tcW w:w="656" w:type="pct"/>
            <w:tcBorders>
              <w:tl2br w:val="nil"/>
              <w:tr2bl w:val="nil"/>
            </w:tcBorders>
            <w:noWrap w:val="0"/>
            <w:vAlign w:val="center"/>
          </w:tcPr>
          <w:p w14:paraId="1ACEE9A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71</w:t>
            </w:r>
          </w:p>
        </w:tc>
      </w:tr>
      <w:tr w14:paraId="6312FE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restart"/>
            <w:tcBorders>
              <w:tl2br w:val="nil"/>
              <w:tr2bl w:val="nil"/>
            </w:tcBorders>
            <w:noWrap w:val="0"/>
            <w:vAlign w:val="center"/>
          </w:tcPr>
          <w:p w14:paraId="0E0414E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农田处2△</w:t>
            </w:r>
          </w:p>
        </w:tc>
        <w:tc>
          <w:tcPr>
            <w:tcW w:w="636" w:type="pct"/>
            <w:tcBorders>
              <w:tl2br w:val="nil"/>
              <w:tr2bl w:val="nil"/>
            </w:tcBorders>
            <w:noWrap w:val="0"/>
            <w:vAlign w:val="center"/>
          </w:tcPr>
          <w:p w14:paraId="0326D46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昼间</w:t>
            </w:r>
          </w:p>
        </w:tc>
        <w:tc>
          <w:tcPr>
            <w:tcW w:w="653" w:type="pct"/>
            <w:tcBorders>
              <w:tl2br w:val="nil"/>
              <w:tr2bl w:val="nil"/>
            </w:tcBorders>
            <w:noWrap w:val="0"/>
            <w:vAlign w:val="center"/>
          </w:tcPr>
          <w:p w14:paraId="1167AF9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43</w:t>
            </w:r>
          </w:p>
        </w:tc>
        <w:tc>
          <w:tcPr>
            <w:tcW w:w="653" w:type="pct"/>
            <w:tcBorders>
              <w:tl2br w:val="nil"/>
              <w:tr2bl w:val="nil"/>
            </w:tcBorders>
            <w:noWrap w:val="0"/>
            <w:vAlign w:val="center"/>
          </w:tcPr>
          <w:p w14:paraId="3B7C0B7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48</w:t>
            </w:r>
          </w:p>
        </w:tc>
        <w:tc>
          <w:tcPr>
            <w:tcW w:w="653" w:type="pct"/>
            <w:tcBorders>
              <w:tl2br w:val="nil"/>
              <w:tr2bl w:val="nil"/>
            </w:tcBorders>
            <w:noWrap w:val="0"/>
            <w:vAlign w:val="center"/>
          </w:tcPr>
          <w:p w14:paraId="07504A3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43</w:t>
            </w:r>
          </w:p>
        </w:tc>
        <w:tc>
          <w:tcPr>
            <w:tcW w:w="653" w:type="pct"/>
            <w:tcBorders>
              <w:tl2br w:val="nil"/>
              <w:tr2bl w:val="nil"/>
            </w:tcBorders>
            <w:noWrap w:val="0"/>
            <w:vAlign w:val="center"/>
          </w:tcPr>
          <w:p w14:paraId="794E595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39</w:t>
            </w:r>
          </w:p>
        </w:tc>
        <w:tc>
          <w:tcPr>
            <w:tcW w:w="656" w:type="pct"/>
            <w:tcBorders>
              <w:tl2br w:val="nil"/>
              <w:tr2bl w:val="nil"/>
            </w:tcBorders>
            <w:noWrap w:val="0"/>
            <w:vAlign w:val="center"/>
          </w:tcPr>
          <w:p w14:paraId="2326B6F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62</w:t>
            </w:r>
          </w:p>
        </w:tc>
      </w:tr>
      <w:tr w14:paraId="405A06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continue"/>
            <w:tcBorders>
              <w:tl2br w:val="nil"/>
              <w:tr2bl w:val="nil"/>
            </w:tcBorders>
            <w:noWrap w:val="0"/>
            <w:vAlign w:val="center"/>
          </w:tcPr>
          <w:p w14:paraId="1BD2A94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p>
        </w:tc>
        <w:tc>
          <w:tcPr>
            <w:tcW w:w="636" w:type="pct"/>
            <w:tcBorders>
              <w:tl2br w:val="nil"/>
              <w:tr2bl w:val="nil"/>
            </w:tcBorders>
            <w:noWrap w:val="0"/>
            <w:vAlign w:val="center"/>
          </w:tcPr>
          <w:p w14:paraId="2909B06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夜间</w:t>
            </w:r>
          </w:p>
        </w:tc>
        <w:tc>
          <w:tcPr>
            <w:tcW w:w="653" w:type="pct"/>
            <w:tcBorders>
              <w:tl2br w:val="nil"/>
              <w:tr2bl w:val="nil"/>
            </w:tcBorders>
            <w:noWrap w:val="0"/>
            <w:vAlign w:val="center"/>
          </w:tcPr>
          <w:p w14:paraId="06AA977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36</w:t>
            </w:r>
          </w:p>
        </w:tc>
        <w:tc>
          <w:tcPr>
            <w:tcW w:w="653" w:type="pct"/>
            <w:tcBorders>
              <w:tl2br w:val="nil"/>
              <w:tr2bl w:val="nil"/>
            </w:tcBorders>
            <w:noWrap w:val="0"/>
            <w:vAlign w:val="center"/>
          </w:tcPr>
          <w:p w14:paraId="44F16B2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40</w:t>
            </w:r>
          </w:p>
        </w:tc>
        <w:tc>
          <w:tcPr>
            <w:tcW w:w="653" w:type="pct"/>
            <w:tcBorders>
              <w:tl2br w:val="nil"/>
              <w:tr2bl w:val="nil"/>
            </w:tcBorders>
            <w:noWrap w:val="0"/>
            <w:vAlign w:val="center"/>
          </w:tcPr>
          <w:p w14:paraId="06313D7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35</w:t>
            </w:r>
          </w:p>
        </w:tc>
        <w:tc>
          <w:tcPr>
            <w:tcW w:w="653" w:type="pct"/>
            <w:tcBorders>
              <w:tl2br w:val="nil"/>
              <w:tr2bl w:val="nil"/>
            </w:tcBorders>
            <w:noWrap w:val="0"/>
            <w:vAlign w:val="center"/>
          </w:tcPr>
          <w:p w14:paraId="7F03669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31</w:t>
            </w:r>
          </w:p>
        </w:tc>
        <w:tc>
          <w:tcPr>
            <w:tcW w:w="656" w:type="pct"/>
            <w:tcBorders>
              <w:tl2br w:val="nil"/>
              <w:tr2bl w:val="nil"/>
            </w:tcBorders>
            <w:noWrap w:val="0"/>
            <w:vAlign w:val="center"/>
          </w:tcPr>
          <w:p w14:paraId="261673D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54</w:t>
            </w:r>
          </w:p>
        </w:tc>
      </w:tr>
      <w:tr w14:paraId="31BC7D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tcBorders>
              <w:tl2br w:val="nil"/>
              <w:tr2bl w:val="nil"/>
            </w:tcBorders>
            <w:noWrap w:val="0"/>
            <w:vAlign w:val="center"/>
          </w:tcPr>
          <w:p w14:paraId="2C5484E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z w:val="21"/>
                <w:szCs w:val="21"/>
                <w:highlight w:val="none"/>
                <w:lang w:val="en-US" w:eastAsia="zh-CN"/>
              </w:rPr>
              <w:t>检测点位</w:t>
            </w:r>
          </w:p>
        </w:tc>
        <w:tc>
          <w:tcPr>
            <w:tcW w:w="636" w:type="pct"/>
            <w:tcBorders>
              <w:tl2br w:val="nil"/>
              <w:tr2bl w:val="nil"/>
            </w:tcBorders>
            <w:noWrap w:val="0"/>
            <w:vAlign w:val="center"/>
          </w:tcPr>
          <w:p w14:paraId="2AF6C9A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z w:val="21"/>
                <w:szCs w:val="21"/>
                <w:highlight w:val="none"/>
                <w:lang w:val="en-US" w:eastAsia="zh-CN"/>
              </w:rPr>
              <w:t>检测频次</w:t>
            </w:r>
          </w:p>
        </w:tc>
        <w:tc>
          <w:tcPr>
            <w:tcW w:w="3271" w:type="pct"/>
            <w:gridSpan w:val="5"/>
            <w:tcBorders>
              <w:tl2br w:val="nil"/>
              <w:tr2bl w:val="nil"/>
            </w:tcBorders>
            <w:noWrap w:val="0"/>
            <w:vAlign w:val="center"/>
          </w:tcPr>
          <w:p w14:paraId="051B378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2025.05.14</w:t>
            </w:r>
          </w:p>
        </w:tc>
      </w:tr>
      <w:tr w14:paraId="52FB4D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restart"/>
            <w:tcBorders>
              <w:tl2br w:val="nil"/>
              <w:tr2bl w:val="nil"/>
            </w:tcBorders>
            <w:noWrap w:val="0"/>
            <w:vAlign w:val="center"/>
          </w:tcPr>
          <w:p w14:paraId="3FD5659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z w:val="21"/>
                <w:szCs w:val="21"/>
                <w:highlight w:val="none"/>
                <w:lang w:val="en-US" w:eastAsia="zh-CN"/>
              </w:rPr>
              <w:t>与公路交叉口附近1△</w:t>
            </w:r>
          </w:p>
        </w:tc>
        <w:tc>
          <w:tcPr>
            <w:tcW w:w="636" w:type="pct"/>
            <w:tcBorders>
              <w:tl2br w:val="nil"/>
              <w:tr2bl w:val="nil"/>
            </w:tcBorders>
            <w:noWrap w:val="0"/>
            <w:vAlign w:val="center"/>
          </w:tcPr>
          <w:p w14:paraId="4A8F5E2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昼间</w:t>
            </w:r>
          </w:p>
        </w:tc>
        <w:tc>
          <w:tcPr>
            <w:tcW w:w="653" w:type="pct"/>
            <w:tcBorders>
              <w:tl2br w:val="nil"/>
              <w:tr2bl w:val="nil"/>
            </w:tcBorders>
            <w:noWrap w:val="0"/>
            <w:vAlign w:val="center"/>
          </w:tcPr>
          <w:p w14:paraId="3070336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52</w:t>
            </w:r>
          </w:p>
        </w:tc>
        <w:tc>
          <w:tcPr>
            <w:tcW w:w="653" w:type="pct"/>
            <w:tcBorders>
              <w:tl2br w:val="nil"/>
              <w:tr2bl w:val="nil"/>
            </w:tcBorders>
            <w:noWrap w:val="0"/>
            <w:vAlign w:val="center"/>
          </w:tcPr>
          <w:p w14:paraId="35F6F34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49</w:t>
            </w:r>
          </w:p>
        </w:tc>
        <w:tc>
          <w:tcPr>
            <w:tcW w:w="653" w:type="pct"/>
            <w:tcBorders>
              <w:tl2br w:val="nil"/>
              <w:tr2bl w:val="nil"/>
            </w:tcBorders>
            <w:noWrap w:val="0"/>
            <w:vAlign w:val="center"/>
          </w:tcPr>
          <w:p w14:paraId="7429D4C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44</w:t>
            </w:r>
          </w:p>
        </w:tc>
        <w:tc>
          <w:tcPr>
            <w:tcW w:w="653" w:type="pct"/>
            <w:tcBorders>
              <w:tl2br w:val="nil"/>
              <w:tr2bl w:val="nil"/>
            </w:tcBorders>
            <w:noWrap w:val="0"/>
            <w:vAlign w:val="center"/>
          </w:tcPr>
          <w:p w14:paraId="7F0B992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38</w:t>
            </w:r>
          </w:p>
        </w:tc>
        <w:tc>
          <w:tcPr>
            <w:tcW w:w="656" w:type="pct"/>
            <w:tcBorders>
              <w:tl2br w:val="nil"/>
              <w:tr2bl w:val="nil"/>
            </w:tcBorders>
            <w:noWrap w:val="0"/>
            <w:vAlign w:val="center"/>
          </w:tcPr>
          <w:p w14:paraId="0C18593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81</w:t>
            </w:r>
          </w:p>
        </w:tc>
      </w:tr>
      <w:tr w14:paraId="25D08E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continue"/>
            <w:tcBorders>
              <w:tl2br w:val="nil"/>
              <w:tr2bl w:val="nil"/>
            </w:tcBorders>
            <w:noWrap w:val="0"/>
            <w:vAlign w:val="center"/>
          </w:tcPr>
          <w:p w14:paraId="035B545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p>
        </w:tc>
        <w:tc>
          <w:tcPr>
            <w:tcW w:w="636" w:type="pct"/>
            <w:tcBorders>
              <w:tl2br w:val="nil"/>
              <w:tr2bl w:val="nil"/>
            </w:tcBorders>
            <w:noWrap w:val="0"/>
            <w:vAlign w:val="center"/>
          </w:tcPr>
          <w:p w14:paraId="0FED104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夜间</w:t>
            </w:r>
          </w:p>
        </w:tc>
        <w:tc>
          <w:tcPr>
            <w:tcW w:w="653" w:type="pct"/>
            <w:tcBorders>
              <w:tl2br w:val="nil"/>
              <w:tr2bl w:val="nil"/>
            </w:tcBorders>
            <w:noWrap w:val="0"/>
            <w:vAlign w:val="center"/>
          </w:tcPr>
          <w:p w14:paraId="2CCA7C31">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44</w:t>
            </w:r>
          </w:p>
        </w:tc>
        <w:tc>
          <w:tcPr>
            <w:tcW w:w="653" w:type="pct"/>
            <w:tcBorders>
              <w:tl2br w:val="nil"/>
              <w:tr2bl w:val="nil"/>
            </w:tcBorders>
            <w:noWrap w:val="0"/>
            <w:vAlign w:val="center"/>
          </w:tcPr>
          <w:p w14:paraId="648D14D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42</w:t>
            </w:r>
          </w:p>
        </w:tc>
        <w:tc>
          <w:tcPr>
            <w:tcW w:w="653" w:type="pct"/>
            <w:tcBorders>
              <w:tl2br w:val="nil"/>
              <w:tr2bl w:val="nil"/>
            </w:tcBorders>
            <w:noWrap w:val="0"/>
            <w:vAlign w:val="center"/>
          </w:tcPr>
          <w:p w14:paraId="553300A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38</w:t>
            </w:r>
          </w:p>
        </w:tc>
        <w:tc>
          <w:tcPr>
            <w:tcW w:w="653" w:type="pct"/>
            <w:tcBorders>
              <w:tl2br w:val="nil"/>
              <w:tr2bl w:val="nil"/>
            </w:tcBorders>
            <w:noWrap w:val="0"/>
            <w:vAlign w:val="center"/>
          </w:tcPr>
          <w:p w14:paraId="033DEDF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35</w:t>
            </w:r>
          </w:p>
        </w:tc>
        <w:tc>
          <w:tcPr>
            <w:tcW w:w="656" w:type="pct"/>
            <w:tcBorders>
              <w:tl2br w:val="nil"/>
              <w:tr2bl w:val="nil"/>
            </w:tcBorders>
            <w:noWrap w:val="0"/>
            <w:vAlign w:val="center"/>
          </w:tcPr>
          <w:p w14:paraId="221EB16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74</w:t>
            </w:r>
          </w:p>
        </w:tc>
      </w:tr>
      <w:tr w14:paraId="4BF337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restart"/>
            <w:tcBorders>
              <w:tl2br w:val="nil"/>
              <w:tr2bl w:val="nil"/>
            </w:tcBorders>
            <w:noWrap w:val="0"/>
            <w:vAlign w:val="center"/>
          </w:tcPr>
          <w:p w14:paraId="668CB55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z w:val="21"/>
                <w:szCs w:val="21"/>
                <w:highlight w:val="none"/>
                <w:lang w:val="en-US" w:eastAsia="zh-CN"/>
              </w:rPr>
              <w:t>农田处2△</w:t>
            </w:r>
          </w:p>
        </w:tc>
        <w:tc>
          <w:tcPr>
            <w:tcW w:w="636" w:type="pct"/>
            <w:tcBorders>
              <w:tl2br w:val="nil"/>
              <w:tr2bl w:val="nil"/>
            </w:tcBorders>
            <w:noWrap w:val="0"/>
            <w:vAlign w:val="center"/>
          </w:tcPr>
          <w:p w14:paraId="5671BDA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昼间</w:t>
            </w:r>
          </w:p>
        </w:tc>
        <w:tc>
          <w:tcPr>
            <w:tcW w:w="653" w:type="pct"/>
            <w:tcBorders>
              <w:tl2br w:val="nil"/>
              <w:tr2bl w:val="nil"/>
            </w:tcBorders>
            <w:noWrap w:val="0"/>
            <w:vAlign w:val="center"/>
          </w:tcPr>
          <w:p w14:paraId="120C7CA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41</w:t>
            </w:r>
          </w:p>
        </w:tc>
        <w:tc>
          <w:tcPr>
            <w:tcW w:w="653" w:type="pct"/>
            <w:tcBorders>
              <w:tl2br w:val="nil"/>
              <w:tr2bl w:val="nil"/>
            </w:tcBorders>
            <w:noWrap w:val="0"/>
            <w:vAlign w:val="center"/>
          </w:tcPr>
          <w:p w14:paraId="669E0A6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45</w:t>
            </w:r>
          </w:p>
        </w:tc>
        <w:tc>
          <w:tcPr>
            <w:tcW w:w="653" w:type="pct"/>
            <w:tcBorders>
              <w:tl2br w:val="nil"/>
              <w:tr2bl w:val="nil"/>
            </w:tcBorders>
            <w:noWrap w:val="0"/>
            <w:vAlign w:val="center"/>
          </w:tcPr>
          <w:p w14:paraId="179F1C1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40</w:t>
            </w:r>
          </w:p>
        </w:tc>
        <w:tc>
          <w:tcPr>
            <w:tcW w:w="653" w:type="pct"/>
            <w:tcBorders>
              <w:tl2br w:val="nil"/>
              <w:tr2bl w:val="nil"/>
            </w:tcBorders>
            <w:noWrap w:val="0"/>
            <w:vAlign w:val="center"/>
          </w:tcPr>
          <w:p w14:paraId="497FCED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36</w:t>
            </w:r>
          </w:p>
        </w:tc>
        <w:tc>
          <w:tcPr>
            <w:tcW w:w="656" w:type="pct"/>
            <w:tcBorders>
              <w:tl2br w:val="nil"/>
              <w:tr2bl w:val="nil"/>
            </w:tcBorders>
            <w:noWrap w:val="0"/>
            <w:vAlign w:val="center"/>
          </w:tcPr>
          <w:p w14:paraId="09B4BF0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64</w:t>
            </w:r>
          </w:p>
        </w:tc>
      </w:tr>
      <w:tr w14:paraId="09A849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91" w:type="pct"/>
            <w:vMerge w:val="continue"/>
            <w:tcBorders>
              <w:tl2br w:val="nil"/>
              <w:tr2bl w:val="nil"/>
            </w:tcBorders>
            <w:noWrap w:val="0"/>
            <w:vAlign w:val="center"/>
          </w:tcPr>
          <w:p w14:paraId="46DA876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p>
        </w:tc>
        <w:tc>
          <w:tcPr>
            <w:tcW w:w="636" w:type="pct"/>
            <w:tcBorders>
              <w:tl2br w:val="nil"/>
              <w:tr2bl w:val="nil"/>
            </w:tcBorders>
            <w:noWrap w:val="0"/>
            <w:vAlign w:val="center"/>
          </w:tcPr>
          <w:p w14:paraId="3F7ED4B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夜间</w:t>
            </w:r>
          </w:p>
        </w:tc>
        <w:tc>
          <w:tcPr>
            <w:tcW w:w="653" w:type="pct"/>
            <w:tcBorders>
              <w:tl2br w:val="nil"/>
              <w:tr2bl w:val="nil"/>
            </w:tcBorders>
            <w:noWrap w:val="0"/>
            <w:vAlign w:val="center"/>
          </w:tcPr>
          <w:p w14:paraId="56A07D1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33</w:t>
            </w:r>
          </w:p>
        </w:tc>
        <w:tc>
          <w:tcPr>
            <w:tcW w:w="653" w:type="pct"/>
            <w:tcBorders>
              <w:tl2br w:val="nil"/>
              <w:tr2bl w:val="nil"/>
            </w:tcBorders>
            <w:noWrap w:val="0"/>
            <w:vAlign w:val="center"/>
          </w:tcPr>
          <w:p w14:paraId="4BC288F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36</w:t>
            </w:r>
          </w:p>
        </w:tc>
        <w:tc>
          <w:tcPr>
            <w:tcW w:w="653" w:type="pct"/>
            <w:tcBorders>
              <w:tl2br w:val="nil"/>
              <w:tr2bl w:val="nil"/>
            </w:tcBorders>
            <w:noWrap w:val="0"/>
            <w:vAlign w:val="center"/>
          </w:tcPr>
          <w:p w14:paraId="4EDBF82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33</w:t>
            </w:r>
          </w:p>
        </w:tc>
        <w:tc>
          <w:tcPr>
            <w:tcW w:w="653" w:type="pct"/>
            <w:tcBorders>
              <w:tl2br w:val="nil"/>
              <w:tr2bl w:val="nil"/>
            </w:tcBorders>
            <w:noWrap w:val="0"/>
            <w:vAlign w:val="center"/>
          </w:tcPr>
          <w:p w14:paraId="11C871B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31</w:t>
            </w:r>
          </w:p>
        </w:tc>
        <w:tc>
          <w:tcPr>
            <w:tcW w:w="656" w:type="pct"/>
            <w:tcBorders>
              <w:tl2br w:val="nil"/>
              <w:tr2bl w:val="nil"/>
            </w:tcBorders>
            <w:noWrap w:val="0"/>
            <w:vAlign w:val="center"/>
          </w:tcPr>
          <w:p w14:paraId="50B38E1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default" w:ascii="Times New Roman" w:hAnsi="Times New Roman" w:eastAsia="宋体" w:cs="Times New Roman"/>
                <w:color w:val="000000" w:themeColor="text1"/>
                <w:sz w:val="21"/>
                <w:szCs w:val="21"/>
                <w:highlight w:val="none"/>
                <w:lang w:val="en-US" w:eastAsia="zh-CN"/>
              </w:rPr>
              <w:t>56</w:t>
            </w:r>
          </w:p>
        </w:tc>
      </w:tr>
    </w:tbl>
    <w:p w14:paraId="0F77A3BF">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4.3.3</w:t>
      </w:r>
      <w:r>
        <w:rPr>
          <w:rFonts w:hint="eastAsia"/>
          <w:color w:val="000000" w:themeColor="text1"/>
          <w:highlight w:val="none"/>
          <w:lang w:val="en-US" w:eastAsia="zh-CN"/>
        </w:rPr>
        <w:t>.3</w:t>
      </w:r>
      <w:r>
        <w:rPr>
          <w:color w:val="000000" w:themeColor="text1"/>
          <w:highlight w:val="none"/>
        </w:rPr>
        <w:t>评价结论</w:t>
      </w:r>
    </w:p>
    <w:p w14:paraId="11AC97A6">
      <w:pPr>
        <w:pageBreakBefore w:val="0"/>
        <w:wordWrap/>
        <w:topLinePunct w:val="0"/>
        <w:bidi w:val="0"/>
        <w:spacing w:line="360" w:lineRule="auto"/>
        <w:ind w:left="0" w:leftChars="0" w:firstLine="480" w:firstLineChars="200"/>
        <w:rPr>
          <w:rFonts w:hint="default" w:eastAsia="宋体"/>
          <w:color w:val="000000" w:themeColor="text1"/>
          <w:highlight w:val="none"/>
          <w:lang w:val="en-US" w:eastAsia="zh-CN"/>
        </w:rPr>
      </w:pPr>
      <w:r>
        <w:rPr>
          <w:color w:val="000000" w:themeColor="text1"/>
          <w:highlight w:val="none"/>
        </w:rPr>
        <w:t>监测结果表明，</w:t>
      </w:r>
      <w:r>
        <w:rPr>
          <w:rFonts w:hint="eastAsia"/>
          <w:color w:val="000000" w:themeColor="text1"/>
          <w:highlight w:val="none"/>
        </w:rPr>
        <w:t>与公路交叉口附近1△</w:t>
      </w:r>
      <w:r>
        <w:rPr>
          <w:rFonts w:hint="eastAsia"/>
          <w:color w:val="000000" w:themeColor="text1"/>
          <w:highlight w:val="none"/>
          <w:lang w:val="en-US" w:eastAsia="zh-CN"/>
        </w:rPr>
        <w:t>点昼间噪声监测值为51.5</w:t>
      </w:r>
      <w:r>
        <w:rPr>
          <w:rFonts w:hint="default"/>
          <w:color w:val="000000" w:themeColor="text1"/>
          <w:highlight w:val="none"/>
          <w:lang w:val="en-US" w:eastAsia="zh-CN"/>
        </w:rPr>
        <w:t>dB(A)，</w:t>
      </w:r>
      <w:r>
        <w:rPr>
          <w:rFonts w:hint="eastAsia"/>
          <w:color w:val="000000" w:themeColor="text1"/>
          <w:highlight w:val="none"/>
          <w:lang w:val="en-US" w:eastAsia="zh-CN"/>
        </w:rPr>
        <w:t>夜间噪声监测值为44.5</w:t>
      </w:r>
      <w:r>
        <w:rPr>
          <w:rFonts w:hint="default"/>
          <w:color w:val="000000" w:themeColor="text1"/>
          <w:highlight w:val="none"/>
          <w:lang w:val="en-US" w:eastAsia="zh-CN"/>
        </w:rPr>
        <w:t>dB(A)</w:t>
      </w:r>
      <w:r>
        <w:rPr>
          <w:rFonts w:hint="eastAsia"/>
          <w:color w:val="000000" w:themeColor="text1"/>
          <w:highlight w:val="none"/>
          <w:lang w:val="en-US" w:eastAsia="zh-CN"/>
        </w:rPr>
        <w:t>；农田处2△点昼间噪声监测值为42</w:t>
      </w:r>
      <w:r>
        <w:rPr>
          <w:rFonts w:hint="default"/>
          <w:color w:val="000000" w:themeColor="text1"/>
          <w:highlight w:val="none"/>
          <w:lang w:val="en-US" w:eastAsia="zh-CN"/>
        </w:rPr>
        <w:t>dB(A)，</w:t>
      </w:r>
      <w:r>
        <w:rPr>
          <w:rFonts w:hint="eastAsia"/>
          <w:color w:val="000000" w:themeColor="text1"/>
          <w:highlight w:val="none"/>
          <w:lang w:val="en-US" w:eastAsia="zh-CN"/>
        </w:rPr>
        <w:t>夜间噪声监测值为34.5</w:t>
      </w:r>
      <w:r>
        <w:rPr>
          <w:rFonts w:hint="default"/>
          <w:color w:val="000000" w:themeColor="text1"/>
          <w:highlight w:val="none"/>
          <w:lang w:val="en-US" w:eastAsia="zh-CN"/>
        </w:rPr>
        <w:t>dB(A)</w:t>
      </w:r>
      <w:r>
        <w:rPr>
          <w:rFonts w:hint="eastAsia"/>
          <w:color w:val="000000" w:themeColor="text1"/>
          <w:highlight w:val="none"/>
          <w:lang w:val="en-US" w:eastAsia="zh-CN"/>
        </w:rPr>
        <w:t>。</w:t>
      </w:r>
    </w:p>
    <w:p w14:paraId="4560B3D2">
      <w:pPr>
        <w:pageBreakBefore w:val="0"/>
        <w:wordWrap/>
        <w:topLinePunct w:val="0"/>
        <w:bidi w:val="0"/>
        <w:spacing w:line="360" w:lineRule="auto"/>
        <w:ind w:left="0" w:leftChars="0" w:firstLine="480" w:firstLineChars="200"/>
        <w:rPr>
          <w:rFonts w:hint="eastAsia"/>
          <w:color w:val="000000" w:themeColor="text1"/>
          <w:highlight w:val="none"/>
          <w:lang w:eastAsia="zh-CN"/>
        </w:rPr>
      </w:pPr>
      <w:r>
        <w:rPr>
          <w:color w:val="000000" w:themeColor="text1"/>
          <w:highlight w:val="none"/>
        </w:rPr>
        <w:t>本项目</w:t>
      </w:r>
      <w:r>
        <w:rPr>
          <w:rFonts w:hint="eastAsia"/>
          <w:color w:val="000000" w:themeColor="text1"/>
          <w:highlight w:val="none"/>
          <w:lang w:val="en-US" w:eastAsia="zh-CN"/>
        </w:rPr>
        <w:t>区域</w:t>
      </w:r>
      <w:r>
        <w:rPr>
          <w:color w:val="000000" w:themeColor="text1"/>
          <w:highlight w:val="none"/>
        </w:rPr>
        <w:t>声环境质量均满足《声环境质量标准》（GB3096-2008）</w:t>
      </w:r>
      <w:r>
        <w:rPr>
          <w:rFonts w:hint="eastAsia"/>
          <w:color w:val="000000" w:themeColor="text1"/>
          <w:highlight w:val="none"/>
          <w:lang w:val="en-US" w:eastAsia="zh-CN"/>
        </w:rPr>
        <w:t>2</w:t>
      </w:r>
      <w:r>
        <w:rPr>
          <w:color w:val="000000" w:themeColor="text1"/>
          <w:highlight w:val="none"/>
        </w:rPr>
        <w:t>类标准</w:t>
      </w:r>
      <w:r>
        <w:rPr>
          <w:rFonts w:hint="eastAsia"/>
          <w:color w:val="000000" w:themeColor="text1"/>
          <w:highlight w:val="none"/>
          <w:lang w:eastAsia="zh-CN"/>
        </w:rPr>
        <w:t>，</w:t>
      </w:r>
      <w:r>
        <w:rPr>
          <w:rFonts w:hint="eastAsia"/>
          <w:color w:val="000000" w:themeColor="text1"/>
          <w:highlight w:val="none"/>
          <w:lang w:val="en-US" w:eastAsia="zh-CN"/>
        </w:rPr>
        <w:t>即昼间60dB（A），夜间50dB（A）的标准要求。</w:t>
      </w:r>
    </w:p>
    <w:p w14:paraId="48655604">
      <w:pPr>
        <w:pStyle w:val="4"/>
        <w:pageBreakBefore w:val="0"/>
        <w:wordWrap/>
        <w:topLinePunct w:val="0"/>
        <w:bidi w:val="0"/>
        <w:spacing w:before="156" w:line="360" w:lineRule="auto"/>
        <w:rPr>
          <w:color w:val="000000" w:themeColor="text1"/>
          <w:highlight w:val="none"/>
        </w:rPr>
      </w:pPr>
      <w:bookmarkStart w:id="343" w:name="_Toc6990"/>
      <w:bookmarkStart w:id="344" w:name="_Toc24272"/>
      <w:r>
        <w:rPr>
          <w:rFonts w:hint="eastAsia"/>
          <w:color w:val="000000" w:themeColor="text1"/>
          <w:highlight w:val="none"/>
        </w:rPr>
        <w:t>4.3.4</w:t>
      </w:r>
      <w:r>
        <w:rPr>
          <w:color w:val="000000" w:themeColor="text1"/>
          <w:highlight w:val="none"/>
        </w:rPr>
        <w:t>环境空气</w:t>
      </w:r>
      <w:bookmarkEnd w:id="343"/>
      <w:bookmarkEnd w:id="344"/>
    </w:p>
    <w:p w14:paraId="6E9F401A">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4.3.4.1</w:t>
      </w:r>
      <w:r>
        <w:rPr>
          <w:color w:val="000000" w:themeColor="text1"/>
          <w:highlight w:val="none"/>
        </w:rPr>
        <w:t>环境空气质量达标区判定</w:t>
      </w:r>
    </w:p>
    <w:p w14:paraId="3EBC89C5">
      <w:pPr>
        <w:pageBreakBefore w:val="0"/>
        <w:wordWrap/>
        <w:topLinePunct w:val="0"/>
        <w:bidi w:val="0"/>
        <w:spacing w:line="360" w:lineRule="auto"/>
        <w:rPr>
          <w:color w:val="000000" w:themeColor="text1"/>
          <w:szCs w:val="22"/>
          <w:highlight w:val="none"/>
        </w:rPr>
      </w:pPr>
      <w:r>
        <w:rPr>
          <w:color w:val="000000" w:themeColor="text1"/>
          <w:highlight w:val="none"/>
        </w:rPr>
        <w:t>本项目位于黑龙江省</w:t>
      </w:r>
      <w:r>
        <w:rPr>
          <w:rFonts w:hint="eastAsia"/>
          <w:color w:val="000000" w:themeColor="text1"/>
          <w:highlight w:val="none"/>
          <w:lang w:val="en-US" w:eastAsia="zh-CN"/>
        </w:rPr>
        <w:t>鹤岗市</w:t>
      </w:r>
      <w:r>
        <w:rPr>
          <w:color w:val="000000" w:themeColor="text1"/>
          <w:highlight w:val="none"/>
        </w:rPr>
        <w:t>，</w:t>
      </w:r>
      <w:r>
        <w:rPr>
          <w:rFonts w:hint="eastAsia"/>
          <w:color w:val="000000" w:themeColor="text1"/>
          <w:highlight w:val="none"/>
        </w:rPr>
        <w:t>根据《2024年黑龙江省生态环境质量状况》可知，鹤岗市空气质量级别达二级标准，达标天数为357天</w:t>
      </w:r>
      <w:r>
        <w:rPr>
          <w:rFonts w:hint="eastAsia"/>
          <w:color w:val="000000" w:themeColor="text1"/>
          <w:highlight w:val="none"/>
          <w:lang w:eastAsia="zh-CN"/>
        </w:rPr>
        <w:t>（</w:t>
      </w:r>
      <w:r>
        <w:rPr>
          <w:rFonts w:hint="eastAsia"/>
          <w:color w:val="000000" w:themeColor="text1"/>
          <w:highlight w:val="none"/>
        </w:rPr>
        <w:t>97.5%</w:t>
      </w:r>
      <w:r>
        <w:rPr>
          <w:rFonts w:hint="eastAsia"/>
          <w:color w:val="000000" w:themeColor="text1"/>
          <w:highlight w:val="none"/>
          <w:lang w:eastAsia="zh-CN"/>
        </w:rPr>
        <w:t>）</w:t>
      </w:r>
      <w:r>
        <w:rPr>
          <w:rFonts w:hint="eastAsia"/>
          <w:color w:val="000000" w:themeColor="text1"/>
          <w:highlight w:val="none"/>
        </w:rPr>
        <w:t>。PM</w:t>
      </w:r>
      <w:r>
        <w:rPr>
          <w:rFonts w:hint="eastAsia"/>
          <w:color w:val="000000" w:themeColor="text1"/>
          <w:highlight w:val="none"/>
          <w:vertAlign w:val="subscript"/>
          <w:lang w:val="en-US" w:eastAsia="zh-CN"/>
        </w:rPr>
        <w:t>2.5</w:t>
      </w:r>
      <w:r>
        <w:rPr>
          <w:rFonts w:hint="eastAsia"/>
          <w:color w:val="000000" w:themeColor="text1"/>
          <w:highlight w:val="none"/>
        </w:rPr>
        <w:t>、PM</w:t>
      </w:r>
      <w:r>
        <w:rPr>
          <w:rFonts w:hint="eastAsia"/>
          <w:color w:val="000000" w:themeColor="text1"/>
          <w:highlight w:val="none"/>
          <w:vertAlign w:val="subscript"/>
          <w:lang w:val="en-US" w:eastAsia="zh-CN"/>
        </w:rPr>
        <w:t>10</w:t>
      </w:r>
      <w:r>
        <w:rPr>
          <w:rFonts w:hint="eastAsia"/>
          <w:color w:val="000000" w:themeColor="text1"/>
          <w:highlight w:val="none"/>
        </w:rPr>
        <w:t>、SO</w:t>
      </w:r>
      <w:r>
        <w:rPr>
          <w:rFonts w:hint="eastAsia"/>
          <w:color w:val="000000" w:themeColor="text1"/>
          <w:highlight w:val="none"/>
          <w:vertAlign w:val="subscript"/>
        </w:rPr>
        <w:t>2</w:t>
      </w:r>
      <w:r>
        <w:rPr>
          <w:rFonts w:hint="eastAsia"/>
          <w:color w:val="000000" w:themeColor="text1"/>
          <w:highlight w:val="none"/>
        </w:rPr>
        <w:t>、NO</w:t>
      </w:r>
      <w:r>
        <w:rPr>
          <w:rFonts w:hint="eastAsia"/>
          <w:color w:val="000000" w:themeColor="text1"/>
          <w:highlight w:val="none"/>
          <w:vertAlign w:val="subscript"/>
        </w:rPr>
        <w:t>2</w:t>
      </w:r>
      <w:r>
        <w:rPr>
          <w:rFonts w:hint="eastAsia"/>
          <w:color w:val="000000" w:themeColor="text1"/>
          <w:highlight w:val="none"/>
        </w:rPr>
        <w:t>、CO-95per和O</w:t>
      </w:r>
      <w:r>
        <w:rPr>
          <w:rFonts w:hint="eastAsia"/>
          <w:color w:val="000000" w:themeColor="text1"/>
          <w:highlight w:val="none"/>
          <w:vertAlign w:val="subscript"/>
          <w:lang w:val="en-US" w:eastAsia="zh-CN"/>
        </w:rPr>
        <w:t>3</w:t>
      </w:r>
      <w:r>
        <w:rPr>
          <w:rFonts w:hint="eastAsia"/>
          <w:color w:val="000000" w:themeColor="text1"/>
          <w:highlight w:val="none"/>
        </w:rPr>
        <w:t>-8h-90per年均浓度分别为24ug/m</w:t>
      </w:r>
      <w:r>
        <w:rPr>
          <w:rFonts w:hint="eastAsia"/>
          <w:color w:val="000000" w:themeColor="text1"/>
          <w:highlight w:val="none"/>
          <w:vertAlign w:val="superscript"/>
          <w:lang w:val="en-US" w:eastAsia="zh-CN"/>
        </w:rPr>
        <w:t>3</w:t>
      </w:r>
      <w:r>
        <w:rPr>
          <w:rFonts w:hint="eastAsia"/>
          <w:color w:val="000000" w:themeColor="text1"/>
          <w:highlight w:val="none"/>
        </w:rPr>
        <w:t>、37ug/m</w:t>
      </w:r>
      <w:r>
        <w:rPr>
          <w:rFonts w:hint="eastAsia"/>
          <w:color w:val="000000" w:themeColor="text1"/>
          <w:highlight w:val="none"/>
          <w:vertAlign w:val="superscript"/>
          <w:lang w:val="en-US" w:eastAsia="zh-CN"/>
        </w:rPr>
        <w:t>3</w:t>
      </w:r>
      <w:r>
        <w:rPr>
          <w:rFonts w:hint="eastAsia"/>
          <w:color w:val="000000" w:themeColor="text1"/>
          <w:highlight w:val="none"/>
        </w:rPr>
        <w:t>、14ug/m</w:t>
      </w:r>
      <w:r>
        <w:rPr>
          <w:rFonts w:hint="eastAsia"/>
          <w:color w:val="000000" w:themeColor="text1"/>
          <w:highlight w:val="none"/>
          <w:vertAlign w:val="superscript"/>
          <w:lang w:val="en-US" w:eastAsia="zh-CN"/>
        </w:rPr>
        <w:t>3</w:t>
      </w:r>
      <w:r>
        <w:rPr>
          <w:rFonts w:hint="eastAsia"/>
          <w:color w:val="000000" w:themeColor="text1"/>
          <w:highlight w:val="none"/>
        </w:rPr>
        <w:t>、13ug/m</w:t>
      </w:r>
      <w:r>
        <w:rPr>
          <w:rFonts w:hint="eastAsia"/>
          <w:color w:val="000000" w:themeColor="text1"/>
          <w:highlight w:val="none"/>
          <w:vertAlign w:val="superscript"/>
          <w:lang w:val="en-US" w:eastAsia="zh-CN"/>
        </w:rPr>
        <w:t>3</w:t>
      </w:r>
      <w:r>
        <w:rPr>
          <w:rFonts w:hint="eastAsia"/>
          <w:color w:val="000000" w:themeColor="text1"/>
          <w:highlight w:val="none"/>
        </w:rPr>
        <w:t>、0.9</w:t>
      </w:r>
      <w:r>
        <w:rPr>
          <w:rFonts w:hint="eastAsia"/>
          <w:color w:val="000000" w:themeColor="text1"/>
          <w:highlight w:val="none"/>
          <w:lang w:val="en-US" w:eastAsia="zh-CN"/>
        </w:rPr>
        <w:t>m</w:t>
      </w:r>
      <w:r>
        <w:rPr>
          <w:rFonts w:hint="eastAsia"/>
          <w:color w:val="000000" w:themeColor="text1"/>
          <w:highlight w:val="none"/>
        </w:rPr>
        <w:t>g/m</w:t>
      </w:r>
      <w:r>
        <w:rPr>
          <w:rFonts w:hint="eastAsia"/>
          <w:color w:val="000000" w:themeColor="text1"/>
          <w:highlight w:val="none"/>
          <w:vertAlign w:val="superscript"/>
          <w:lang w:val="en-US" w:eastAsia="zh-CN"/>
        </w:rPr>
        <w:t>3</w:t>
      </w:r>
      <w:r>
        <w:rPr>
          <w:rFonts w:hint="eastAsia"/>
          <w:color w:val="000000" w:themeColor="text1"/>
          <w:highlight w:val="none"/>
        </w:rPr>
        <w:t>和92ug/m</w:t>
      </w:r>
      <w:r>
        <w:rPr>
          <w:rFonts w:hint="eastAsia"/>
          <w:color w:val="000000" w:themeColor="text1"/>
          <w:highlight w:val="none"/>
          <w:vertAlign w:val="superscript"/>
          <w:lang w:val="en-US" w:eastAsia="zh-CN"/>
        </w:rPr>
        <w:t>3</w:t>
      </w:r>
      <w:r>
        <w:rPr>
          <w:rFonts w:hint="eastAsia"/>
          <w:color w:val="000000" w:themeColor="text1"/>
          <w:highlight w:val="none"/>
          <w:lang w:eastAsia="zh-CN"/>
        </w:rPr>
        <w:t>，</w:t>
      </w:r>
      <w:r>
        <w:rPr>
          <w:rFonts w:hint="eastAsia"/>
          <w:color w:val="000000" w:themeColor="text1"/>
          <w:highlight w:val="none"/>
          <w:lang w:val="en-US" w:eastAsia="zh-CN"/>
        </w:rPr>
        <w:t>本项目所在区域空气质量达标情况判定结果</w:t>
      </w:r>
      <w:r>
        <w:rPr>
          <w:rFonts w:hint="eastAsia"/>
          <w:color w:val="000000" w:themeColor="text1"/>
          <w:highlight w:val="none"/>
          <w:lang w:eastAsia="zh-CN"/>
        </w:rPr>
        <w:t>见表4.3-</w:t>
      </w:r>
      <w:r>
        <w:rPr>
          <w:rFonts w:hint="eastAsia"/>
          <w:color w:val="000000" w:themeColor="text1"/>
          <w:highlight w:val="none"/>
          <w:lang w:val="en-US" w:eastAsia="zh-CN"/>
        </w:rPr>
        <w:t>8</w:t>
      </w:r>
      <w:r>
        <w:rPr>
          <w:rFonts w:hint="eastAsia"/>
          <w:color w:val="000000" w:themeColor="text1"/>
          <w:highlight w:val="none"/>
          <w:lang w:eastAsia="zh-CN"/>
        </w:rPr>
        <w:t>。</w:t>
      </w:r>
    </w:p>
    <w:p w14:paraId="5AF0A8BF">
      <w:pPr>
        <w:pageBreakBefore w:val="0"/>
        <w:wordWrap/>
        <w:topLinePunct w:val="0"/>
        <w:bidi w:val="0"/>
        <w:spacing w:line="360" w:lineRule="auto"/>
        <w:ind w:firstLine="482"/>
        <w:jc w:val="center"/>
        <w:rPr>
          <w:b/>
          <w:bCs/>
          <w:color w:val="000000" w:themeColor="text1"/>
          <w:szCs w:val="22"/>
          <w:highlight w:val="none"/>
        </w:rPr>
      </w:pPr>
      <w:r>
        <w:rPr>
          <w:b/>
          <w:bCs/>
          <w:color w:val="000000" w:themeColor="text1"/>
          <w:szCs w:val="22"/>
          <w:highlight w:val="none"/>
        </w:rPr>
        <w:t>表4.3-</w:t>
      </w:r>
      <w:r>
        <w:rPr>
          <w:rFonts w:hint="eastAsia"/>
          <w:b/>
          <w:bCs/>
          <w:color w:val="000000" w:themeColor="text1"/>
          <w:szCs w:val="22"/>
          <w:highlight w:val="none"/>
          <w:lang w:val="en-US" w:eastAsia="zh-CN"/>
        </w:rPr>
        <w:t>8</w:t>
      </w:r>
      <w:r>
        <w:rPr>
          <w:b/>
          <w:bCs/>
          <w:color w:val="000000" w:themeColor="text1"/>
          <w:szCs w:val="22"/>
          <w:highlight w:val="none"/>
        </w:rPr>
        <w:t xml:space="preserve">  </w:t>
      </w:r>
      <w:r>
        <w:rPr>
          <w:rFonts w:hint="eastAsia"/>
          <w:b/>
          <w:bCs/>
          <w:color w:val="000000" w:themeColor="text1"/>
          <w:szCs w:val="22"/>
          <w:highlight w:val="none"/>
          <w:lang w:val="en-US" w:eastAsia="zh-CN"/>
        </w:rPr>
        <w:t>鹤岗</w:t>
      </w:r>
      <w:r>
        <w:rPr>
          <w:rFonts w:hint="eastAsia"/>
          <w:b/>
          <w:bCs/>
          <w:color w:val="000000" w:themeColor="text1"/>
          <w:szCs w:val="22"/>
          <w:highlight w:val="none"/>
        </w:rPr>
        <w:t>市</w:t>
      </w:r>
      <w:r>
        <w:rPr>
          <w:b/>
          <w:bCs/>
          <w:color w:val="000000" w:themeColor="text1"/>
          <w:szCs w:val="22"/>
          <w:highlight w:val="none"/>
        </w:rPr>
        <w:t>区域空气质量现状评价表</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69"/>
        <w:gridCol w:w="2821"/>
        <w:gridCol w:w="1163"/>
        <w:gridCol w:w="1163"/>
        <w:gridCol w:w="1182"/>
        <w:gridCol w:w="1121"/>
      </w:tblGrid>
      <w:tr w14:paraId="53727D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0E85E553">
            <w:pPr>
              <w:pageBreakBefore w:val="0"/>
              <w:wordWrap/>
              <w:topLinePunct w:val="0"/>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rPr>
            </w:pPr>
            <w:r>
              <w:rPr>
                <w:rFonts w:hint="default" w:ascii="Times New Roman" w:hAnsi="Times New Roman" w:eastAsia="宋体" w:cs="Times New Roman"/>
                <w:b/>
                <w:bCs/>
                <w:color w:val="000000" w:themeColor="text1"/>
                <w:sz w:val="21"/>
                <w:szCs w:val="21"/>
                <w:highlight w:val="none"/>
              </w:rPr>
              <w:t>污染物</w:t>
            </w:r>
          </w:p>
        </w:tc>
        <w:tc>
          <w:tcPr>
            <w:tcW w:w="1664" w:type="pct"/>
            <w:vAlign w:val="center"/>
          </w:tcPr>
          <w:p w14:paraId="72754ACE">
            <w:pPr>
              <w:pageBreakBefore w:val="0"/>
              <w:wordWrap/>
              <w:topLinePunct w:val="0"/>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rPr>
            </w:pPr>
            <w:r>
              <w:rPr>
                <w:rFonts w:hint="default" w:ascii="Times New Roman" w:hAnsi="Times New Roman" w:eastAsia="宋体" w:cs="Times New Roman"/>
                <w:b/>
                <w:bCs/>
                <w:color w:val="000000" w:themeColor="text1"/>
                <w:sz w:val="21"/>
                <w:szCs w:val="21"/>
                <w:highlight w:val="none"/>
              </w:rPr>
              <w:t>年平均指标</w:t>
            </w:r>
          </w:p>
        </w:tc>
        <w:tc>
          <w:tcPr>
            <w:tcW w:w="685" w:type="pct"/>
            <w:vAlign w:val="center"/>
          </w:tcPr>
          <w:p w14:paraId="760059CB">
            <w:pPr>
              <w:pageBreakBefore w:val="0"/>
              <w:wordWrap/>
              <w:topLinePunct w:val="0"/>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rPr>
            </w:pPr>
            <w:r>
              <w:rPr>
                <w:rFonts w:hint="default" w:ascii="Times New Roman" w:hAnsi="Times New Roman" w:eastAsia="宋体" w:cs="Times New Roman"/>
                <w:b/>
                <w:bCs/>
                <w:color w:val="000000" w:themeColor="text1"/>
                <w:sz w:val="21"/>
                <w:szCs w:val="21"/>
                <w:highlight w:val="none"/>
              </w:rPr>
              <w:t>现状浓度/（μg/m</w:t>
            </w:r>
            <w:r>
              <w:rPr>
                <w:rFonts w:hint="default" w:ascii="Times New Roman" w:hAnsi="Times New Roman" w:eastAsia="宋体" w:cs="Times New Roman"/>
                <w:b/>
                <w:bCs/>
                <w:color w:val="000000" w:themeColor="text1"/>
                <w:sz w:val="21"/>
                <w:szCs w:val="21"/>
                <w:highlight w:val="none"/>
                <w:vertAlign w:val="superscript"/>
              </w:rPr>
              <w:t>3</w:t>
            </w:r>
            <w:r>
              <w:rPr>
                <w:rFonts w:hint="default" w:ascii="Times New Roman" w:hAnsi="Times New Roman" w:eastAsia="宋体" w:cs="Times New Roman"/>
                <w:b/>
                <w:bCs/>
                <w:color w:val="000000" w:themeColor="text1"/>
                <w:sz w:val="21"/>
                <w:szCs w:val="21"/>
                <w:highlight w:val="none"/>
              </w:rPr>
              <w:t>）</w:t>
            </w:r>
          </w:p>
        </w:tc>
        <w:tc>
          <w:tcPr>
            <w:tcW w:w="634" w:type="pct"/>
            <w:vAlign w:val="center"/>
          </w:tcPr>
          <w:p w14:paraId="626EC2E7">
            <w:pPr>
              <w:pageBreakBefore w:val="0"/>
              <w:wordWrap/>
              <w:topLinePunct w:val="0"/>
              <w:bidi w:val="0"/>
              <w:spacing w:line="240" w:lineRule="auto"/>
              <w:ind w:firstLine="0" w:firstLineChars="0"/>
              <w:jc w:val="center"/>
              <w:rPr>
                <w:rFonts w:hint="eastAsia" w:ascii="Times New Roman" w:hAnsi="Times New Roman" w:eastAsia="宋体" w:cs="Times New Roman"/>
                <w:b/>
                <w:bCs/>
                <w:color w:val="000000" w:themeColor="text1"/>
                <w:sz w:val="21"/>
                <w:szCs w:val="21"/>
                <w:highlight w:val="none"/>
                <w:lang w:eastAsia="zh-CN"/>
              </w:rPr>
            </w:pPr>
            <w:r>
              <w:rPr>
                <w:rFonts w:hint="default" w:ascii="Times New Roman" w:hAnsi="Times New Roman" w:eastAsia="宋体" w:cs="Times New Roman"/>
                <w:b/>
                <w:bCs/>
                <w:color w:val="000000" w:themeColor="text1"/>
                <w:sz w:val="21"/>
                <w:szCs w:val="21"/>
                <w:highlight w:val="none"/>
              </w:rPr>
              <w:t>标准值/</w:t>
            </w:r>
            <w:r>
              <w:rPr>
                <w:rFonts w:hint="eastAsia" w:cs="Times New Roman"/>
                <w:b/>
                <w:bCs/>
                <w:color w:val="000000" w:themeColor="text1"/>
                <w:sz w:val="21"/>
                <w:szCs w:val="21"/>
                <w:highlight w:val="none"/>
                <w:lang w:eastAsia="zh-CN"/>
              </w:rPr>
              <w:t>（</w:t>
            </w:r>
            <w:r>
              <w:rPr>
                <w:rFonts w:hint="default" w:ascii="Times New Roman" w:hAnsi="Times New Roman" w:eastAsia="宋体" w:cs="Times New Roman"/>
                <w:b/>
                <w:bCs/>
                <w:color w:val="000000" w:themeColor="text1"/>
                <w:sz w:val="21"/>
                <w:szCs w:val="21"/>
                <w:highlight w:val="none"/>
              </w:rPr>
              <w:t>μg/m</w:t>
            </w:r>
            <w:r>
              <w:rPr>
                <w:rFonts w:hint="default" w:ascii="Times New Roman" w:hAnsi="Times New Roman" w:eastAsia="宋体" w:cs="Times New Roman"/>
                <w:b/>
                <w:bCs/>
                <w:color w:val="000000" w:themeColor="text1"/>
                <w:sz w:val="21"/>
                <w:szCs w:val="21"/>
                <w:highlight w:val="none"/>
                <w:vertAlign w:val="superscript"/>
              </w:rPr>
              <w:t>3</w:t>
            </w:r>
            <w:r>
              <w:rPr>
                <w:rFonts w:hint="eastAsia" w:cs="Times New Roman"/>
                <w:b/>
                <w:bCs/>
                <w:color w:val="000000" w:themeColor="text1"/>
                <w:sz w:val="21"/>
                <w:szCs w:val="21"/>
                <w:highlight w:val="none"/>
                <w:lang w:eastAsia="zh-CN"/>
              </w:rPr>
              <w:t>）</w:t>
            </w:r>
          </w:p>
        </w:tc>
        <w:tc>
          <w:tcPr>
            <w:tcW w:w="709" w:type="pct"/>
            <w:vAlign w:val="center"/>
          </w:tcPr>
          <w:p w14:paraId="2B3059B4">
            <w:pPr>
              <w:pageBreakBefore w:val="0"/>
              <w:wordWrap/>
              <w:topLinePunct w:val="0"/>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rPr>
            </w:pPr>
            <w:r>
              <w:rPr>
                <w:rFonts w:hint="default" w:ascii="Times New Roman" w:hAnsi="Times New Roman" w:eastAsia="宋体" w:cs="Times New Roman"/>
                <w:b/>
                <w:bCs/>
                <w:color w:val="000000" w:themeColor="text1"/>
                <w:sz w:val="21"/>
                <w:szCs w:val="21"/>
                <w:highlight w:val="none"/>
              </w:rPr>
              <w:t>占标率/%</w:t>
            </w:r>
          </w:p>
        </w:tc>
        <w:tc>
          <w:tcPr>
            <w:tcW w:w="667" w:type="pct"/>
            <w:vAlign w:val="center"/>
          </w:tcPr>
          <w:p w14:paraId="104E268E">
            <w:pPr>
              <w:pageBreakBefore w:val="0"/>
              <w:wordWrap/>
              <w:topLinePunct w:val="0"/>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rPr>
            </w:pPr>
            <w:r>
              <w:rPr>
                <w:rFonts w:hint="default" w:ascii="Times New Roman" w:hAnsi="Times New Roman" w:eastAsia="宋体" w:cs="Times New Roman"/>
                <w:b/>
                <w:bCs/>
                <w:color w:val="000000" w:themeColor="text1"/>
                <w:sz w:val="21"/>
                <w:szCs w:val="21"/>
                <w:highlight w:val="none"/>
              </w:rPr>
              <w:t>达标情况</w:t>
            </w:r>
          </w:p>
        </w:tc>
      </w:tr>
      <w:tr w14:paraId="5C5C33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5F269D3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SO</w:t>
            </w:r>
            <w:r>
              <w:rPr>
                <w:rFonts w:hint="default" w:ascii="Times New Roman" w:hAnsi="Times New Roman" w:eastAsia="宋体" w:cs="Times New Roman"/>
                <w:color w:val="000000" w:themeColor="text1"/>
                <w:sz w:val="21"/>
                <w:szCs w:val="21"/>
                <w:highlight w:val="none"/>
                <w:vertAlign w:val="subscript"/>
              </w:rPr>
              <w:t>2</w:t>
            </w:r>
          </w:p>
        </w:tc>
        <w:tc>
          <w:tcPr>
            <w:tcW w:w="1664" w:type="pct"/>
            <w:vAlign w:val="center"/>
          </w:tcPr>
          <w:p w14:paraId="13A7A0B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年平均质量浓度</w:t>
            </w:r>
          </w:p>
        </w:tc>
        <w:tc>
          <w:tcPr>
            <w:tcW w:w="685" w:type="pct"/>
            <w:vAlign w:val="center"/>
          </w:tcPr>
          <w:p w14:paraId="5767A63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1</w:t>
            </w:r>
            <w:r>
              <w:rPr>
                <w:rFonts w:hint="eastAsia" w:cs="Times New Roman"/>
                <w:color w:val="000000" w:themeColor="text1"/>
                <w:sz w:val="21"/>
                <w:szCs w:val="21"/>
                <w:highlight w:val="none"/>
                <w:lang w:val="en-US" w:eastAsia="zh-CN"/>
              </w:rPr>
              <w:t>4</w:t>
            </w:r>
          </w:p>
        </w:tc>
        <w:tc>
          <w:tcPr>
            <w:tcW w:w="634" w:type="pct"/>
            <w:vAlign w:val="center"/>
          </w:tcPr>
          <w:p w14:paraId="7C90D43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60</w:t>
            </w:r>
          </w:p>
        </w:tc>
        <w:tc>
          <w:tcPr>
            <w:tcW w:w="709" w:type="pct"/>
            <w:vAlign w:val="center"/>
          </w:tcPr>
          <w:p w14:paraId="4A2E88D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23.3</w:t>
            </w:r>
          </w:p>
        </w:tc>
        <w:tc>
          <w:tcPr>
            <w:tcW w:w="667" w:type="pct"/>
            <w:vAlign w:val="center"/>
          </w:tcPr>
          <w:p w14:paraId="4812845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达标</w:t>
            </w:r>
          </w:p>
        </w:tc>
      </w:tr>
      <w:tr w14:paraId="2D64AF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4BF3C61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NO</w:t>
            </w:r>
            <w:r>
              <w:rPr>
                <w:rFonts w:hint="default" w:ascii="Times New Roman" w:hAnsi="Times New Roman" w:eastAsia="宋体" w:cs="Times New Roman"/>
                <w:color w:val="000000" w:themeColor="text1"/>
                <w:sz w:val="21"/>
                <w:szCs w:val="21"/>
                <w:highlight w:val="none"/>
                <w:vertAlign w:val="subscript"/>
              </w:rPr>
              <w:t>2</w:t>
            </w:r>
          </w:p>
        </w:tc>
        <w:tc>
          <w:tcPr>
            <w:tcW w:w="1664" w:type="pct"/>
            <w:vAlign w:val="center"/>
          </w:tcPr>
          <w:p w14:paraId="511CCFB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年平均质量浓度</w:t>
            </w:r>
          </w:p>
        </w:tc>
        <w:tc>
          <w:tcPr>
            <w:tcW w:w="685" w:type="pct"/>
            <w:vAlign w:val="center"/>
          </w:tcPr>
          <w:p w14:paraId="5E4CBBB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13</w:t>
            </w:r>
          </w:p>
        </w:tc>
        <w:tc>
          <w:tcPr>
            <w:tcW w:w="634" w:type="pct"/>
            <w:vAlign w:val="center"/>
          </w:tcPr>
          <w:p w14:paraId="73A00DD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40</w:t>
            </w:r>
          </w:p>
        </w:tc>
        <w:tc>
          <w:tcPr>
            <w:tcW w:w="709" w:type="pct"/>
            <w:vAlign w:val="center"/>
          </w:tcPr>
          <w:p w14:paraId="3120FC3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ascii="Times New Roman" w:hAnsi="Times New Roman" w:eastAsia="宋体" w:cs="Times New Roman"/>
                <w:color w:val="000000" w:themeColor="text1"/>
                <w:sz w:val="21"/>
                <w:szCs w:val="21"/>
                <w:highlight w:val="none"/>
                <w:lang w:val="en-US" w:eastAsia="zh-CN"/>
              </w:rPr>
              <w:t>32.5</w:t>
            </w:r>
          </w:p>
        </w:tc>
        <w:tc>
          <w:tcPr>
            <w:tcW w:w="667" w:type="pct"/>
            <w:vAlign w:val="center"/>
          </w:tcPr>
          <w:p w14:paraId="33A171E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达标</w:t>
            </w:r>
          </w:p>
        </w:tc>
      </w:tr>
      <w:tr w14:paraId="39AB9B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79E0144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PM</w:t>
            </w:r>
            <w:r>
              <w:rPr>
                <w:rFonts w:hint="default" w:ascii="Times New Roman" w:hAnsi="Times New Roman" w:eastAsia="宋体" w:cs="Times New Roman"/>
                <w:color w:val="000000" w:themeColor="text1"/>
                <w:sz w:val="21"/>
                <w:szCs w:val="21"/>
                <w:highlight w:val="none"/>
                <w:vertAlign w:val="subscript"/>
              </w:rPr>
              <w:t>10</w:t>
            </w:r>
          </w:p>
        </w:tc>
        <w:tc>
          <w:tcPr>
            <w:tcW w:w="1664" w:type="pct"/>
            <w:vAlign w:val="center"/>
          </w:tcPr>
          <w:p w14:paraId="18C0A9D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年平均质量浓度</w:t>
            </w:r>
          </w:p>
        </w:tc>
        <w:tc>
          <w:tcPr>
            <w:tcW w:w="685" w:type="pct"/>
            <w:vAlign w:val="center"/>
          </w:tcPr>
          <w:p w14:paraId="18F883B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7</w:t>
            </w:r>
          </w:p>
        </w:tc>
        <w:tc>
          <w:tcPr>
            <w:tcW w:w="634" w:type="pct"/>
            <w:vAlign w:val="center"/>
          </w:tcPr>
          <w:p w14:paraId="005DCB8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70</w:t>
            </w:r>
          </w:p>
        </w:tc>
        <w:tc>
          <w:tcPr>
            <w:tcW w:w="709" w:type="pct"/>
            <w:vAlign w:val="center"/>
          </w:tcPr>
          <w:p w14:paraId="05DEFAC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52.9</w:t>
            </w:r>
          </w:p>
        </w:tc>
        <w:tc>
          <w:tcPr>
            <w:tcW w:w="667" w:type="pct"/>
            <w:vAlign w:val="center"/>
          </w:tcPr>
          <w:p w14:paraId="6D2E4C6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达标</w:t>
            </w:r>
          </w:p>
        </w:tc>
      </w:tr>
      <w:tr w14:paraId="0E86E5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11A497F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PM</w:t>
            </w:r>
            <w:r>
              <w:rPr>
                <w:rFonts w:hint="default" w:ascii="Times New Roman" w:hAnsi="Times New Roman" w:eastAsia="宋体" w:cs="Times New Roman"/>
                <w:color w:val="000000" w:themeColor="text1"/>
                <w:sz w:val="21"/>
                <w:szCs w:val="21"/>
                <w:highlight w:val="none"/>
                <w:vertAlign w:val="subscript"/>
              </w:rPr>
              <w:t>2.5</w:t>
            </w:r>
          </w:p>
        </w:tc>
        <w:tc>
          <w:tcPr>
            <w:tcW w:w="1664" w:type="pct"/>
            <w:vAlign w:val="center"/>
          </w:tcPr>
          <w:p w14:paraId="48147AC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年平均质量浓度</w:t>
            </w:r>
          </w:p>
        </w:tc>
        <w:tc>
          <w:tcPr>
            <w:tcW w:w="685" w:type="pct"/>
            <w:vAlign w:val="center"/>
          </w:tcPr>
          <w:p w14:paraId="06AC8EC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24</w:t>
            </w:r>
          </w:p>
        </w:tc>
        <w:tc>
          <w:tcPr>
            <w:tcW w:w="634" w:type="pct"/>
            <w:vAlign w:val="center"/>
          </w:tcPr>
          <w:p w14:paraId="39B9DCF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35</w:t>
            </w:r>
          </w:p>
        </w:tc>
        <w:tc>
          <w:tcPr>
            <w:tcW w:w="709" w:type="pct"/>
            <w:vAlign w:val="center"/>
          </w:tcPr>
          <w:p w14:paraId="5DA1564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68.6</w:t>
            </w:r>
          </w:p>
        </w:tc>
        <w:tc>
          <w:tcPr>
            <w:tcW w:w="667" w:type="pct"/>
            <w:vAlign w:val="center"/>
          </w:tcPr>
          <w:p w14:paraId="4A90343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达标</w:t>
            </w:r>
          </w:p>
        </w:tc>
      </w:tr>
      <w:tr w14:paraId="771BF9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49CB567F">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CO</w:t>
            </w:r>
          </w:p>
        </w:tc>
        <w:tc>
          <w:tcPr>
            <w:tcW w:w="1664" w:type="pct"/>
            <w:vAlign w:val="center"/>
          </w:tcPr>
          <w:p w14:paraId="624D738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24小时平均第95百分位数</w:t>
            </w:r>
          </w:p>
        </w:tc>
        <w:tc>
          <w:tcPr>
            <w:tcW w:w="685" w:type="pct"/>
            <w:vAlign w:val="center"/>
          </w:tcPr>
          <w:p w14:paraId="3D4DBBA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900</w:t>
            </w:r>
          </w:p>
        </w:tc>
        <w:tc>
          <w:tcPr>
            <w:tcW w:w="634" w:type="pct"/>
            <w:vAlign w:val="center"/>
          </w:tcPr>
          <w:p w14:paraId="4B542BA3">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4000</w:t>
            </w:r>
          </w:p>
        </w:tc>
        <w:tc>
          <w:tcPr>
            <w:tcW w:w="709" w:type="pct"/>
            <w:vAlign w:val="center"/>
          </w:tcPr>
          <w:p w14:paraId="19493900">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22.5</w:t>
            </w:r>
          </w:p>
        </w:tc>
        <w:tc>
          <w:tcPr>
            <w:tcW w:w="667" w:type="pct"/>
            <w:vAlign w:val="center"/>
          </w:tcPr>
          <w:p w14:paraId="5B1444A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达标</w:t>
            </w:r>
          </w:p>
        </w:tc>
      </w:tr>
      <w:tr w14:paraId="5F1F8E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7" w:type="pct"/>
            <w:vAlign w:val="center"/>
          </w:tcPr>
          <w:p w14:paraId="43EB206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O</w:t>
            </w:r>
            <w:r>
              <w:rPr>
                <w:rFonts w:hint="default" w:ascii="Times New Roman" w:hAnsi="Times New Roman" w:eastAsia="宋体" w:cs="Times New Roman"/>
                <w:color w:val="000000" w:themeColor="text1"/>
                <w:sz w:val="21"/>
                <w:szCs w:val="21"/>
                <w:highlight w:val="none"/>
                <w:vertAlign w:val="subscript"/>
              </w:rPr>
              <w:t>3</w:t>
            </w:r>
          </w:p>
        </w:tc>
        <w:tc>
          <w:tcPr>
            <w:tcW w:w="1664" w:type="pct"/>
            <w:vAlign w:val="center"/>
          </w:tcPr>
          <w:p w14:paraId="3BEFBA6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日最大8小时滑动平均值的第90百分位数</w:t>
            </w:r>
          </w:p>
        </w:tc>
        <w:tc>
          <w:tcPr>
            <w:tcW w:w="685" w:type="pct"/>
            <w:vAlign w:val="center"/>
          </w:tcPr>
          <w:p w14:paraId="22AE2D2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92</w:t>
            </w:r>
          </w:p>
        </w:tc>
        <w:tc>
          <w:tcPr>
            <w:tcW w:w="634" w:type="pct"/>
            <w:vAlign w:val="center"/>
          </w:tcPr>
          <w:p w14:paraId="191CDE8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160</w:t>
            </w:r>
          </w:p>
        </w:tc>
        <w:tc>
          <w:tcPr>
            <w:tcW w:w="709" w:type="pct"/>
            <w:vAlign w:val="center"/>
          </w:tcPr>
          <w:p w14:paraId="6F32723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rPr>
            </w:pPr>
            <w:r>
              <w:rPr>
                <w:rFonts w:hint="eastAsia" w:cs="Times New Roman"/>
                <w:color w:val="000000" w:themeColor="text1"/>
                <w:sz w:val="21"/>
                <w:szCs w:val="21"/>
                <w:highlight w:val="none"/>
                <w:lang w:val="en-US" w:eastAsia="zh-CN"/>
              </w:rPr>
              <w:t>57.5</w:t>
            </w:r>
          </w:p>
        </w:tc>
        <w:tc>
          <w:tcPr>
            <w:tcW w:w="667" w:type="pct"/>
            <w:vAlign w:val="center"/>
          </w:tcPr>
          <w:p w14:paraId="4F5BB8F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达标</w:t>
            </w:r>
          </w:p>
        </w:tc>
      </w:tr>
    </w:tbl>
    <w:p w14:paraId="1474B6B7">
      <w:pPr>
        <w:pageBreakBefore w:val="0"/>
        <w:wordWrap/>
        <w:topLinePunct w:val="0"/>
        <w:bidi w:val="0"/>
        <w:spacing w:line="360" w:lineRule="auto"/>
        <w:rPr>
          <w:color w:val="000000" w:themeColor="text1"/>
          <w:szCs w:val="22"/>
          <w:highlight w:val="none"/>
        </w:rPr>
      </w:pPr>
      <w:r>
        <w:rPr>
          <w:rFonts w:hint="eastAsia"/>
          <w:color w:val="000000" w:themeColor="text1"/>
          <w:szCs w:val="22"/>
          <w:highlight w:val="none"/>
        </w:rPr>
        <w:t>根据《2024年黑龙江省生态环境质量状况》中的相关数据，本项目SO</w:t>
      </w:r>
      <w:r>
        <w:rPr>
          <w:rFonts w:hint="eastAsia"/>
          <w:color w:val="000000" w:themeColor="text1"/>
          <w:szCs w:val="22"/>
          <w:highlight w:val="none"/>
          <w:vertAlign w:val="subscript"/>
        </w:rPr>
        <w:t>2</w:t>
      </w:r>
      <w:r>
        <w:rPr>
          <w:rFonts w:hint="eastAsia"/>
          <w:color w:val="000000" w:themeColor="text1"/>
          <w:szCs w:val="22"/>
          <w:highlight w:val="none"/>
        </w:rPr>
        <w:t>、NO</w:t>
      </w:r>
      <w:r>
        <w:rPr>
          <w:rFonts w:hint="eastAsia"/>
          <w:color w:val="000000" w:themeColor="text1"/>
          <w:szCs w:val="22"/>
          <w:highlight w:val="none"/>
          <w:vertAlign w:val="subscript"/>
        </w:rPr>
        <w:t>2</w:t>
      </w:r>
      <w:r>
        <w:rPr>
          <w:rFonts w:hint="eastAsia"/>
          <w:color w:val="000000" w:themeColor="text1"/>
          <w:szCs w:val="22"/>
          <w:highlight w:val="none"/>
        </w:rPr>
        <w:t>、PM</w:t>
      </w:r>
      <w:r>
        <w:rPr>
          <w:rFonts w:hint="eastAsia"/>
          <w:color w:val="000000" w:themeColor="text1"/>
          <w:szCs w:val="22"/>
          <w:highlight w:val="none"/>
          <w:vertAlign w:val="subscript"/>
          <w:lang w:val="en-US" w:eastAsia="zh-CN"/>
        </w:rPr>
        <w:t>10</w:t>
      </w:r>
      <w:r>
        <w:rPr>
          <w:rFonts w:hint="eastAsia"/>
          <w:color w:val="000000" w:themeColor="text1"/>
          <w:szCs w:val="22"/>
          <w:highlight w:val="none"/>
        </w:rPr>
        <w:t>、PM</w:t>
      </w:r>
      <w:r>
        <w:rPr>
          <w:rFonts w:hint="eastAsia"/>
          <w:color w:val="000000" w:themeColor="text1"/>
          <w:szCs w:val="22"/>
          <w:highlight w:val="none"/>
          <w:vertAlign w:val="subscript"/>
        </w:rPr>
        <w:t>2</w:t>
      </w:r>
      <w:r>
        <w:rPr>
          <w:rFonts w:hint="eastAsia"/>
          <w:color w:val="000000" w:themeColor="text1"/>
          <w:szCs w:val="22"/>
          <w:highlight w:val="none"/>
          <w:vertAlign w:val="subscript"/>
          <w:lang w:val="en-US" w:eastAsia="zh-CN"/>
        </w:rPr>
        <w:t>.</w:t>
      </w:r>
      <w:r>
        <w:rPr>
          <w:rFonts w:hint="eastAsia"/>
          <w:color w:val="000000" w:themeColor="text1"/>
          <w:szCs w:val="22"/>
          <w:highlight w:val="none"/>
          <w:vertAlign w:val="subscript"/>
        </w:rPr>
        <w:t>5</w:t>
      </w:r>
      <w:r>
        <w:rPr>
          <w:rFonts w:hint="eastAsia"/>
          <w:color w:val="000000" w:themeColor="text1"/>
          <w:szCs w:val="22"/>
          <w:highlight w:val="none"/>
        </w:rPr>
        <w:t>、CO24小时平均第95百分位数和</w:t>
      </w:r>
      <w:r>
        <w:rPr>
          <w:rFonts w:hint="eastAsia"/>
          <w:color w:val="000000" w:themeColor="text1"/>
          <w:highlight w:val="none"/>
        </w:rPr>
        <w:t>O</w:t>
      </w:r>
      <w:r>
        <w:rPr>
          <w:rFonts w:hint="eastAsia"/>
          <w:color w:val="000000" w:themeColor="text1"/>
          <w:highlight w:val="none"/>
          <w:vertAlign w:val="subscript"/>
          <w:lang w:val="en-US" w:eastAsia="zh-CN"/>
        </w:rPr>
        <w:t>3</w:t>
      </w:r>
      <w:r>
        <w:rPr>
          <w:rFonts w:hint="eastAsia"/>
          <w:color w:val="000000" w:themeColor="text1"/>
          <w:szCs w:val="22"/>
          <w:highlight w:val="none"/>
        </w:rPr>
        <w:t>均符合《环境空气质量标准》</w:t>
      </w:r>
      <w:r>
        <w:rPr>
          <w:rFonts w:hint="eastAsia"/>
          <w:color w:val="000000" w:themeColor="text1"/>
          <w:szCs w:val="22"/>
          <w:highlight w:val="none"/>
          <w:lang w:eastAsia="zh-CN"/>
        </w:rPr>
        <w:t>（</w:t>
      </w:r>
      <w:r>
        <w:rPr>
          <w:rFonts w:hint="eastAsia"/>
          <w:color w:val="000000" w:themeColor="text1"/>
          <w:szCs w:val="22"/>
          <w:highlight w:val="none"/>
        </w:rPr>
        <w:t>GB3095-2012</w:t>
      </w:r>
      <w:r>
        <w:rPr>
          <w:rFonts w:hint="eastAsia"/>
          <w:color w:val="000000" w:themeColor="text1"/>
          <w:szCs w:val="22"/>
          <w:highlight w:val="none"/>
          <w:lang w:eastAsia="zh-CN"/>
        </w:rPr>
        <w:t>）</w:t>
      </w:r>
      <w:r>
        <w:rPr>
          <w:rFonts w:hint="eastAsia"/>
          <w:color w:val="000000" w:themeColor="text1"/>
          <w:szCs w:val="22"/>
          <w:highlight w:val="none"/>
        </w:rPr>
        <w:t>及其修改单中二级标准要求，项目所在区域为环境空气达标区</w:t>
      </w:r>
      <w:r>
        <w:rPr>
          <w:color w:val="000000" w:themeColor="text1"/>
          <w:highlight w:val="none"/>
        </w:rPr>
        <w:t>。</w:t>
      </w:r>
    </w:p>
    <w:p w14:paraId="0A0F8AC0">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4.3.4.</w:t>
      </w:r>
      <w:r>
        <w:rPr>
          <w:rFonts w:hint="eastAsia"/>
          <w:color w:val="000000" w:themeColor="text1"/>
          <w:highlight w:val="none"/>
          <w:lang w:val="en-US" w:eastAsia="zh-CN"/>
        </w:rPr>
        <w:t>2</w:t>
      </w:r>
      <w:r>
        <w:rPr>
          <w:rFonts w:hint="eastAsia"/>
          <w:color w:val="000000" w:themeColor="text1"/>
          <w:highlight w:val="none"/>
        </w:rPr>
        <w:t>特征因子环境空气质量现状补充监测</w:t>
      </w:r>
    </w:p>
    <w:p w14:paraId="23B8DD52">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color w:val="000000" w:themeColor="text1"/>
          <w:highlight w:val="none"/>
        </w:rPr>
        <w:t>监测点位</w:t>
      </w:r>
      <w:r>
        <w:rPr>
          <w:rFonts w:hint="eastAsia"/>
          <w:color w:val="000000" w:themeColor="text1"/>
          <w:highlight w:val="none"/>
        </w:rPr>
        <w:t>及监测因子</w:t>
      </w:r>
    </w:p>
    <w:p w14:paraId="672B8D1B">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布设</w:t>
      </w:r>
      <w:r>
        <w:rPr>
          <w:color w:val="000000" w:themeColor="text1"/>
          <w:highlight w:val="none"/>
        </w:rPr>
        <w:t>大气监测点位见表</w:t>
      </w:r>
      <w:r>
        <w:rPr>
          <w:rFonts w:hint="eastAsia"/>
          <w:color w:val="000000" w:themeColor="text1"/>
          <w:highlight w:val="none"/>
        </w:rPr>
        <w:t>4.3-</w:t>
      </w:r>
      <w:r>
        <w:rPr>
          <w:rFonts w:hint="eastAsia"/>
          <w:color w:val="000000" w:themeColor="text1"/>
          <w:highlight w:val="none"/>
          <w:lang w:val="en-US" w:eastAsia="zh-CN"/>
        </w:rPr>
        <w:t>9</w:t>
      </w:r>
      <w:r>
        <w:rPr>
          <w:color w:val="000000" w:themeColor="text1"/>
          <w:highlight w:val="none"/>
        </w:rPr>
        <w:t>和</w:t>
      </w:r>
      <w:r>
        <w:rPr>
          <w:rFonts w:hint="eastAsia"/>
          <w:color w:val="000000" w:themeColor="text1"/>
          <w:highlight w:val="none"/>
          <w:lang w:val="en-US" w:eastAsia="zh-CN"/>
        </w:rPr>
        <w:t>图4.3-1</w:t>
      </w:r>
      <w:r>
        <w:rPr>
          <w:color w:val="000000" w:themeColor="text1"/>
          <w:highlight w:val="none"/>
        </w:rPr>
        <w:t>。</w:t>
      </w:r>
    </w:p>
    <w:p w14:paraId="5FE30E70">
      <w:pPr>
        <w:pageBreakBefore w:val="0"/>
        <w:wordWrap/>
        <w:topLinePunct w:val="0"/>
        <w:bidi w:val="0"/>
        <w:spacing w:line="360" w:lineRule="auto"/>
        <w:ind w:firstLine="482"/>
        <w:jc w:val="center"/>
        <w:rPr>
          <w:b/>
          <w:color w:val="000000" w:themeColor="text1"/>
          <w:kern w:val="40"/>
          <w:highlight w:val="none"/>
        </w:rPr>
      </w:pPr>
      <w:r>
        <w:rPr>
          <w:b/>
          <w:color w:val="000000" w:themeColor="text1"/>
          <w:kern w:val="40"/>
          <w:highlight w:val="none"/>
        </w:rPr>
        <w:t>表</w:t>
      </w:r>
      <w:r>
        <w:rPr>
          <w:rFonts w:hint="eastAsia"/>
          <w:b/>
          <w:color w:val="000000" w:themeColor="text1"/>
          <w:kern w:val="40"/>
          <w:highlight w:val="none"/>
        </w:rPr>
        <w:t>4.3</w:t>
      </w:r>
      <w:r>
        <w:rPr>
          <w:b/>
          <w:color w:val="000000" w:themeColor="text1"/>
          <w:kern w:val="40"/>
          <w:highlight w:val="none"/>
        </w:rPr>
        <w:t>-</w:t>
      </w:r>
      <w:r>
        <w:rPr>
          <w:rFonts w:hint="eastAsia"/>
          <w:b/>
          <w:color w:val="000000" w:themeColor="text1"/>
          <w:kern w:val="40"/>
          <w:highlight w:val="none"/>
          <w:lang w:val="en-US" w:eastAsia="zh-CN"/>
        </w:rPr>
        <w:t>9</w:t>
      </w:r>
      <w:r>
        <w:rPr>
          <w:rFonts w:hint="eastAsia"/>
          <w:b/>
          <w:color w:val="000000" w:themeColor="text1"/>
          <w:kern w:val="40"/>
          <w:highlight w:val="none"/>
        </w:rPr>
        <w:t xml:space="preserve"> </w:t>
      </w:r>
      <w:r>
        <w:rPr>
          <w:b/>
          <w:color w:val="000000" w:themeColor="text1"/>
          <w:kern w:val="40"/>
          <w:highlight w:val="none"/>
        </w:rPr>
        <w:t xml:space="preserve"> 环境空气</w:t>
      </w:r>
      <w:r>
        <w:rPr>
          <w:rFonts w:hint="eastAsia"/>
          <w:b/>
          <w:color w:val="000000" w:themeColor="text1"/>
          <w:kern w:val="40"/>
          <w:highlight w:val="none"/>
        </w:rPr>
        <w:t>补充监测点位基本信息</w:t>
      </w:r>
      <w:r>
        <w:rPr>
          <w:b/>
          <w:color w:val="000000" w:themeColor="text1"/>
          <w:kern w:val="40"/>
          <w:highlight w:val="none"/>
        </w:rPr>
        <w:t>表</w:t>
      </w:r>
    </w:p>
    <w:tbl>
      <w:tblPr>
        <w:tblStyle w:val="33"/>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290"/>
        <w:gridCol w:w="1315"/>
        <w:gridCol w:w="1177"/>
        <w:gridCol w:w="1108"/>
        <w:gridCol w:w="1372"/>
        <w:gridCol w:w="937"/>
        <w:gridCol w:w="1323"/>
      </w:tblGrid>
      <w:tr w14:paraId="78EC6E4D">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cantSplit/>
          <w:trHeight w:val="340" w:hRule="atLeast"/>
          <w:tblHeader/>
          <w:jc w:val="center"/>
        </w:trPr>
        <w:tc>
          <w:tcPr>
            <w:tcW w:w="756" w:type="pct"/>
            <w:vMerge w:val="restart"/>
            <w:vAlign w:val="center"/>
          </w:tcPr>
          <w:p w14:paraId="566757F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监测点名称</w:t>
            </w:r>
          </w:p>
        </w:tc>
        <w:tc>
          <w:tcPr>
            <w:tcW w:w="1462" w:type="pct"/>
            <w:gridSpan w:val="2"/>
            <w:vAlign w:val="center"/>
          </w:tcPr>
          <w:p w14:paraId="18E2118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监测点坐标/</w:t>
            </w:r>
            <w:r>
              <w:rPr>
                <w:rFonts w:hint="default" w:ascii="Times New Roman" w:hAnsi="Times New Roman" w:cs="Times New Roman"/>
                <w:color w:val="000000" w:themeColor="text1"/>
                <w:sz w:val="21"/>
                <w:szCs w:val="21"/>
                <w:highlight w:val="none"/>
              </w:rPr>
              <w:t>°</w:t>
            </w:r>
          </w:p>
        </w:tc>
        <w:tc>
          <w:tcPr>
            <w:tcW w:w="650" w:type="pct"/>
            <w:vMerge w:val="restart"/>
            <w:vAlign w:val="center"/>
          </w:tcPr>
          <w:p w14:paraId="40D5E0C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监测因子</w:t>
            </w:r>
          </w:p>
        </w:tc>
        <w:tc>
          <w:tcPr>
            <w:tcW w:w="804" w:type="pct"/>
            <w:vMerge w:val="restart"/>
            <w:vAlign w:val="center"/>
          </w:tcPr>
          <w:p w14:paraId="31170C4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监测时段</w:t>
            </w:r>
          </w:p>
        </w:tc>
        <w:tc>
          <w:tcPr>
            <w:tcW w:w="549" w:type="pct"/>
            <w:vMerge w:val="restart"/>
            <w:vAlign w:val="center"/>
          </w:tcPr>
          <w:p w14:paraId="714813E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相对</w:t>
            </w:r>
            <w:r>
              <w:rPr>
                <w:rFonts w:hint="eastAsia"/>
                <w:color w:val="000000" w:themeColor="text1"/>
                <w:sz w:val="21"/>
                <w:szCs w:val="21"/>
                <w:highlight w:val="none"/>
              </w:rPr>
              <w:t>道路</w:t>
            </w:r>
            <w:r>
              <w:rPr>
                <w:color w:val="000000" w:themeColor="text1"/>
                <w:sz w:val="21"/>
                <w:szCs w:val="21"/>
                <w:highlight w:val="none"/>
              </w:rPr>
              <w:t>方位</w:t>
            </w:r>
          </w:p>
        </w:tc>
        <w:tc>
          <w:tcPr>
            <w:tcW w:w="776" w:type="pct"/>
            <w:vMerge w:val="restart"/>
            <w:vAlign w:val="center"/>
          </w:tcPr>
          <w:p w14:paraId="5E4AFC3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相对道路边界</w:t>
            </w:r>
            <w:r>
              <w:rPr>
                <w:color w:val="000000" w:themeColor="text1"/>
                <w:sz w:val="21"/>
                <w:szCs w:val="21"/>
                <w:highlight w:val="none"/>
              </w:rPr>
              <w:t>距离/m</w:t>
            </w:r>
          </w:p>
        </w:tc>
      </w:tr>
      <w:tr w14:paraId="1CDF67B4">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cantSplit/>
          <w:trHeight w:val="340" w:hRule="atLeast"/>
          <w:jc w:val="center"/>
        </w:trPr>
        <w:tc>
          <w:tcPr>
            <w:tcW w:w="756" w:type="pct"/>
            <w:vMerge w:val="continue"/>
            <w:vAlign w:val="center"/>
          </w:tcPr>
          <w:p w14:paraId="11172B45">
            <w:pPr>
              <w:pageBreakBefore w:val="0"/>
              <w:wordWrap/>
              <w:topLinePunct w:val="0"/>
              <w:bidi w:val="0"/>
              <w:spacing w:line="240" w:lineRule="auto"/>
              <w:ind w:firstLine="0" w:firstLineChars="0"/>
              <w:jc w:val="center"/>
              <w:rPr>
                <w:color w:val="000000" w:themeColor="text1"/>
                <w:sz w:val="21"/>
                <w:szCs w:val="21"/>
                <w:highlight w:val="none"/>
              </w:rPr>
            </w:pPr>
          </w:p>
        </w:tc>
        <w:tc>
          <w:tcPr>
            <w:tcW w:w="771" w:type="pct"/>
            <w:vAlign w:val="center"/>
          </w:tcPr>
          <w:p w14:paraId="222DC18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X</w:t>
            </w:r>
          </w:p>
        </w:tc>
        <w:tc>
          <w:tcPr>
            <w:tcW w:w="690" w:type="pct"/>
            <w:vAlign w:val="center"/>
          </w:tcPr>
          <w:p w14:paraId="52D66A5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Y</w:t>
            </w:r>
          </w:p>
        </w:tc>
        <w:tc>
          <w:tcPr>
            <w:tcW w:w="650" w:type="pct"/>
            <w:vMerge w:val="continue"/>
            <w:vAlign w:val="center"/>
          </w:tcPr>
          <w:p w14:paraId="21DD658B">
            <w:pPr>
              <w:pageBreakBefore w:val="0"/>
              <w:wordWrap/>
              <w:topLinePunct w:val="0"/>
              <w:bidi w:val="0"/>
              <w:spacing w:line="240" w:lineRule="auto"/>
              <w:ind w:firstLine="0" w:firstLineChars="0"/>
              <w:jc w:val="center"/>
              <w:rPr>
                <w:color w:val="000000" w:themeColor="text1"/>
                <w:sz w:val="21"/>
                <w:szCs w:val="21"/>
                <w:highlight w:val="none"/>
              </w:rPr>
            </w:pPr>
          </w:p>
        </w:tc>
        <w:tc>
          <w:tcPr>
            <w:tcW w:w="804" w:type="pct"/>
            <w:vMerge w:val="continue"/>
            <w:vAlign w:val="center"/>
          </w:tcPr>
          <w:p w14:paraId="5AE9D763">
            <w:pPr>
              <w:pageBreakBefore w:val="0"/>
              <w:wordWrap/>
              <w:topLinePunct w:val="0"/>
              <w:bidi w:val="0"/>
              <w:spacing w:line="240" w:lineRule="auto"/>
              <w:ind w:firstLine="0" w:firstLineChars="0"/>
              <w:jc w:val="center"/>
              <w:rPr>
                <w:color w:val="000000" w:themeColor="text1"/>
                <w:sz w:val="21"/>
                <w:szCs w:val="21"/>
                <w:highlight w:val="none"/>
              </w:rPr>
            </w:pPr>
          </w:p>
        </w:tc>
        <w:tc>
          <w:tcPr>
            <w:tcW w:w="549" w:type="pct"/>
            <w:vMerge w:val="continue"/>
            <w:vAlign w:val="center"/>
          </w:tcPr>
          <w:p w14:paraId="02EA043E">
            <w:pPr>
              <w:pageBreakBefore w:val="0"/>
              <w:wordWrap/>
              <w:topLinePunct w:val="0"/>
              <w:bidi w:val="0"/>
              <w:spacing w:line="240" w:lineRule="auto"/>
              <w:ind w:firstLine="0" w:firstLineChars="0"/>
              <w:jc w:val="center"/>
              <w:rPr>
                <w:color w:val="000000" w:themeColor="text1"/>
                <w:sz w:val="21"/>
                <w:szCs w:val="21"/>
                <w:highlight w:val="none"/>
              </w:rPr>
            </w:pPr>
          </w:p>
        </w:tc>
        <w:tc>
          <w:tcPr>
            <w:tcW w:w="776" w:type="pct"/>
            <w:vMerge w:val="continue"/>
            <w:vAlign w:val="center"/>
          </w:tcPr>
          <w:p w14:paraId="78A91456">
            <w:pPr>
              <w:pageBreakBefore w:val="0"/>
              <w:wordWrap/>
              <w:topLinePunct w:val="0"/>
              <w:bidi w:val="0"/>
              <w:spacing w:line="240" w:lineRule="auto"/>
              <w:ind w:firstLine="0" w:firstLineChars="0"/>
              <w:jc w:val="center"/>
              <w:rPr>
                <w:color w:val="000000" w:themeColor="text1"/>
                <w:sz w:val="21"/>
                <w:szCs w:val="21"/>
                <w:highlight w:val="none"/>
              </w:rPr>
            </w:pPr>
          </w:p>
        </w:tc>
      </w:tr>
      <w:tr w14:paraId="3ED44747">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cantSplit/>
          <w:trHeight w:val="340" w:hRule="atLeast"/>
          <w:jc w:val="center"/>
        </w:trPr>
        <w:tc>
          <w:tcPr>
            <w:tcW w:w="756" w:type="pct"/>
            <w:vAlign w:val="center"/>
          </w:tcPr>
          <w:p w14:paraId="7F8442BC">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宝泉岭农场二队</w:t>
            </w:r>
            <w:r>
              <w:rPr>
                <w:color w:val="000000" w:themeColor="text1"/>
                <w:sz w:val="21"/>
                <w:szCs w:val="21"/>
                <w:highlight w:val="none"/>
              </w:rPr>
              <w:t xml:space="preserve"> </w:t>
            </w:r>
          </w:p>
        </w:tc>
        <w:tc>
          <w:tcPr>
            <w:tcW w:w="771" w:type="pct"/>
            <w:vAlign w:val="center"/>
          </w:tcPr>
          <w:p w14:paraId="5395436C">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130.487666</w:t>
            </w:r>
          </w:p>
        </w:tc>
        <w:tc>
          <w:tcPr>
            <w:tcW w:w="690" w:type="pct"/>
            <w:vAlign w:val="center"/>
          </w:tcPr>
          <w:p w14:paraId="37535713">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47.385159</w:t>
            </w:r>
          </w:p>
        </w:tc>
        <w:tc>
          <w:tcPr>
            <w:tcW w:w="650" w:type="pct"/>
            <w:vAlign w:val="center"/>
          </w:tcPr>
          <w:p w14:paraId="0ED59D1D">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TSP</w:t>
            </w:r>
          </w:p>
        </w:tc>
        <w:tc>
          <w:tcPr>
            <w:tcW w:w="804" w:type="pct"/>
            <w:vAlign w:val="center"/>
          </w:tcPr>
          <w:p w14:paraId="04CD5F9A">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20</w:t>
            </w:r>
            <w:r>
              <w:rPr>
                <w:color w:val="000000" w:themeColor="text1"/>
                <w:sz w:val="21"/>
                <w:szCs w:val="21"/>
                <w:highlight w:val="none"/>
              </w:rPr>
              <w:t>2</w:t>
            </w:r>
            <w:r>
              <w:rPr>
                <w:rFonts w:hint="eastAsia"/>
                <w:color w:val="000000" w:themeColor="text1"/>
                <w:sz w:val="21"/>
                <w:szCs w:val="21"/>
                <w:highlight w:val="none"/>
                <w:lang w:val="en-US" w:eastAsia="zh-CN"/>
              </w:rPr>
              <w:t>5</w:t>
            </w:r>
            <w:r>
              <w:rPr>
                <w:rFonts w:hint="eastAsia"/>
                <w:color w:val="000000" w:themeColor="text1"/>
                <w:sz w:val="21"/>
                <w:szCs w:val="21"/>
                <w:highlight w:val="none"/>
              </w:rPr>
              <w:t>.</w:t>
            </w:r>
            <w:r>
              <w:rPr>
                <w:rFonts w:hint="eastAsia"/>
                <w:color w:val="000000" w:themeColor="text1"/>
                <w:sz w:val="21"/>
                <w:szCs w:val="21"/>
                <w:highlight w:val="none"/>
                <w:lang w:val="en-US" w:eastAsia="zh-CN"/>
              </w:rPr>
              <w:t>3</w:t>
            </w:r>
            <w:r>
              <w:rPr>
                <w:color w:val="000000" w:themeColor="text1"/>
                <w:sz w:val="21"/>
                <w:szCs w:val="21"/>
                <w:highlight w:val="none"/>
              </w:rPr>
              <w:t>.</w:t>
            </w:r>
            <w:r>
              <w:rPr>
                <w:rFonts w:hint="eastAsia"/>
                <w:color w:val="000000" w:themeColor="text1"/>
                <w:sz w:val="21"/>
                <w:szCs w:val="21"/>
                <w:highlight w:val="none"/>
                <w:lang w:val="en-US" w:eastAsia="zh-CN"/>
              </w:rPr>
              <w:t>4</w:t>
            </w:r>
            <w:r>
              <w:rPr>
                <w:color w:val="000000" w:themeColor="text1"/>
                <w:sz w:val="21"/>
                <w:szCs w:val="21"/>
                <w:highlight w:val="none"/>
              </w:rPr>
              <w:t>-</w:t>
            </w:r>
            <w:r>
              <w:rPr>
                <w:rFonts w:hint="eastAsia"/>
                <w:color w:val="000000" w:themeColor="text1"/>
                <w:sz w:val="21"/>
                <w:szCs w:val="21"/>
                <w:highlight w:val="none"/>
              </w:rPr>
              <w:t>20</w:t>
            </w:r>
            <w:r>
              <w:rPr>
                <w:color w:val="000000" w:themeColor="text1"/>
                <w:sz w:val="21"/>
                <w:szCs w:val="21"/>
                <w:highlight w:val="none"/>
              </w:rPr>
              <w:t>2</w:t>
            </w:r>
            <w:r>
              <w:rPr>
                <w:rFonts w:hint="eastAsia"/>
                <w:color w:val="000000" w:themeColor="text1"/>
                <w:sz w:val="21"/>
                <w:szCs w:val="21"/>
                <w:highlight w:val="none"/>
                <w:lang w:val="en-US" w:eastAsia="zh-CN"/>
              </w:rPr>
              <w:t>5</w:t>
            </w:r>
            <w:r>
              <w:rPr>
                <w:rFonts w:hint="eastAsia"/>
                <w:color w:val="000000" w:themeColor="text1"/>
                <w:sz w:val="21"/>
                <w:szCs w:val="21"/>
                <w:highlight w:val="none"/>
              </w:rPr>
              <w:t>.</w:t>
            </w:r>
            <w:r>
              <w:rPr>
                <w:rFonts w:hint="eastAsia"/>
                <w:color w:val="000000" w:themeColor="text1"/>
                <w:sz w:val="21"/>
                <w:szCs w:val="21"/>
                <w:highlight w:val="none"/>
                <w:lang w:val="en-US" w:eastAsia="zh-CN"/>
              </w:rPr>
              <w:t>3.10</w:t>
            </w:r>
            <w:r>
              <w:rPr>
                <w:rFonts w:hint="eastAsia"/>
                <w:color w:val="000000" w:themeColor="text1"/>
                <w:sz w:val="21"/>
                <w:szCs w:val="21"/>
                <w:highlight w:val="none"/>
              </w:rPr>
              <w:t>（连续7天）</w:t>
            </w:r>
          </w:p>
        </w:tc>
        <w:tc>
          <w:tcPr>
            <w:tcW w:w="549" w:type="pct"/>
            <w:vAlign w:val="center"/>
          </w:tcPr>
          <w:p w14:paraId="60329807">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SE</w:t>
            </w:r>
          </w:p>
        </w:tc>
        <w:tc>
          <w:tcPr>
            <w:tcW w:w="776" w:type="pct"/>
            <w:vAlign w:val="center"/>
          </w:tcPr>
          <w:p w14:paraId="2629CA17">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200</w:t>
            </w:r>
          </w:p>
        </w:tc>
      </w:tr>
    </w:tbl>
    <w:p w14:paraId="51769EB6">
      <w:pPr>
        <w:pageBreakBefore w:val="0"/>
        <w:wordWrap/>
        <w:topLinePunct w:val="0"/>
        <w:bidi w:val="0"/>
        <w:spacing w:line="360" w:lineRule="auto"/>
        <w:rPr>
          <w:color w:val="000000" w:themeColor="text1"/>
          <w:highlight w:val="none"/>
        </w:rPr>
      </w:pPr>
      <w:r>
        <w:rPr>
          <w:rFonts w:hint="eastAsia"/>
          <w:color w:val="000000" w:themeColor="text1"/>
          <w:highlight w:val="none"/>
        </w:rPr>
        <w:t>（2）</w:t>
      </w:r>
      <w:r>
        <w:rPr>
          <w:color w:val="000000" w:themeColor="text1"/>
          <w:highlight w:val="none"/>
        </w:rPr>
        <w:t>监测技术方法</w:t>
      </w:r>
    </w:p>
    <w:p w14:paraId="71CB2F25">
      <w:pPr>
        <w:pageBreakBefore w:val="0"/>
        <w:wordWrap/>
        <w:topLinePunct w:val="0"/>
        <w:bidi w:val="0"/>
        <w:spacing w:line="360" w:lineRule="auto"/>
        <w:rPr>
          <w:color w:val="000000" w:themeColor="text1"/>
          <w:highlight w:val="none"/>
        </w:rPr>
      </w:pPr>
      <w:r>
        <w:rPr>
          <w:rFonts w:hint="eastAsia"/>
          <w:color w:val="000000" w:themeColor="text1"/>
          <w:highlight w:val="none"/>
        </w:rPr>
        <w:t>按照《大气环境监测方法标准》、《环境空气质量标准》（</w:t>
      </w:r>
      <w:r>
        <w:rPr>
          <w:color w:val="000000" w:themeColor="text1"/>
          <w:highlight w:val="none"/>
        </w:rPr>
        <w:t>GB3095-2012）等国家相关技术方法要求。</w:t>
      </w:r>
    </w:p>
    <w:p w14:paraId="36169042">
      <w:pPr>
        <w:pageBreakBefore w:val="0"/>
        <w:wordWrap/>
        <w:topLinePunct w:val="0"/>
        <w:bidi w:val="0"/>
        <w:spacing w:line="360" w:lineRule="auto"/>
        <w:rPr>
          <w:color w:val="000000" w:themeColor="text1"/>
          <w:highlight w:val="none"/>
        </w:rPr>
      </w:pPr>
      <w:r>
        <w:rPr>
          <w:rFonts w:hint="eastAsia"/>
          <w:color w:val="000000" w:themeColor="text1"/>
          <w:highlight w:val="none"/>
        </w:rPr>
        <w:t>（3）</w:t>
      </w:r>
      <w:r>
        <w:rPr>
          <w:color w:val="000000" w:themeColor="text1"/>
          <w:highlight w:val="none"/>
        </w:rPr>
        <w:t>评价方法</w:t>
      </w:r>
    </w:p>
    <w:p w14:paraId="5F492252">
      <w:pPr>
        <w:pageBreakBefore w:val="0"/>
        <w:wordWrap/>
        <w:topLinePunct w:val="0"/>
        <w:bidi w:val="0"/>
        <w:spacing w:line="360" w:lineRule="auto"/>
        <w:rPr>
          <w:color w:val="000000" w:themeColor="text1"/>
          <w:highlight w:val="none"/>
        </w:rPr>
      </w:pPr>
      <w:r>
        <w:rPr>
          <w:rFonts w:hint="eastAsia"/>
          <w:color w:val="000000" w:themeColor="text1"/>
          <w:highlight w:val="none"/>
        </w:rPr>
        <w:t>根据《环境影响评价技术导则</w:t>
      </w:r>
      <w:r>
        <w:rPr>
          <w:color w:val="000000" w:themeColor="text1"/>
          <w:highlight w:val="none"/>
        </w:rPr>
        <w:t xml:space="preserve"> 大气环境》（HJ2.2-2018），监测结果统计分析要求以列表的方式给出各监测点大气污染物的不同取值时间的变化范围，计算并列表给出各取值时间最大浓度值占相应浓度标准浓度限值的百分比和超标率，并评价达标情况。</w:t>
      </w:r>
    </w:p>
    <w:p w14:paraId="248CC36B">
      <w:pPr>
        <w:pageBreakBefore w:val="0"/>
        <w:wordWrap/>
        <w:topLinePunct w:val="0"/>
        <w:bidi w:val="0"/>
        <w:spacing w:line="360" w:lineRule="auto"/>
        <w:ind w:firstLine="482"/>
        <w:jc w:val="center"/>
        <w:rPr>
          <w:b/>
          <w:color w:val="000000" w:themeColor="text1"/>
          <w:kern w:val="40"/>
          <w:highlight w:val="none"/>
        </w:rPr>
      </w:pPr>
      <w:r>
        <w:rPr>
          <w:b/>
          <w:color w:val="000000" w:themeColor="text1"/>
          <w:kern w:val="40"/>
          <w:highlight w:val="none"/>
        </w:rPr>
        <w:t>表</w:t>
      </w:r>
      <w:r>
        <w:rPr>
          <w:rFonts w:hint="eastAsia"/>
          <w:b/>
          <w:color w:val="000000" w:themeColor="text1"/>
          <w:kern w:val="40"/>
          <w:highlight w:val="none"/>
        </w:rPr>
        <w:t>4.3</w:t>
      </w:r>
      <w:r>
        <w:rPr>
          <w:b/>
          <w:color w:val="000000" w:themeColor="text1"/>
          <w:kern w:val="40"/>
          <w:highlight w:val="none"/>
        </w:rPr>
        <w:t>-</w:t>
      </w:r>
      <w:r>
        <w:rPr>
          <w:rFonts w:hint="eastAsia"/>
          <w:b/>
          <w:color w:val="000000" w:themeColor="text1"/>
          <w:kern w:val="40"/>
          <w:highlight w:val="none"/>
          <w:lang w:val="en-US" w:eastAsia="zh-CN"/>
        </w:rPr>
        <w:t xml:space="preserve">10 </w:t>
      </w:r>
      <w:r>
        <w:rPr>
          <w:b/>
          <w:color w:val="000000" w:themeColor="text1"/>
          <w:kern w:val="40"/>
          <w:highlight w:val="none"/>
        </w:rPr>
        <w:t xml:space="preserve"> </w:t>
      </w:r>
      <w:r>
        <w:rPr>
          <w:rFonts w:hint="eastAsia"/>
          <w:b/>
          <w:color w:val="000000" w:themeColor="text1"/>
          <w:kern w:val="40"/>
          <w:highlight w:val="none"/>
        </w:rPr>
        <w:t>TSP</w:t>
      </w:r>
      <w:r>
        <w:rPr>
          <w:b/>
          <w:color w:val="000000" w:themeColor="text1"/>
          <w:kern w:val="40"/>
          <w:highlight w:val="none"/>
        </w:rPr>
        <w:t>环境空气24小时平均值现状监测评价表</w:t>
      </w:r>
    </w:p>
    <w:tbl>
      <w:tblPr>
        <w:tblStyle w:val="33"/>
        <w:tblW w:w="5000" w:type="pct"/>
        <w:tblInd w:w="0" w:type="dxa"/>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Layout w:type="fixed"/>
        <w:tblCellMar>
          <w:top w:w="0" w:type="dxa"/>
          <w:left w:w="108" w:type="dxa"/>
          <w:bottom w:w="0" w:type="dxa"/>
          <w:right w:w="108" w:type="dxa"/>
        </w:tblCellMar>
      </w:tblPr>
      <w:tblGrid>
        <w:gridCol w:w="1318"/>
        <w:gridCol w:w="902"/>
        <w:gridCol w:w="1299"/>
        <w:gridCol w:w="1095"/>
        <w:gridCol w:w="840"/>
        <w:gridCol w:w="1095"/>
        <w:gridCol w:w="1261"/>
        <w:gridCol w:w="712"/>
      </w:tblGrid>
      <w:tr w14:paraId="18D4D801">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cantSplit/>
          <w:trHeight w:val="340" w:hRule="atLeast"/>
        </w:trPr>
        <w:tc>
          <w:tcPr>
            <w:tcW w:w="773" w:type="pct"/>
            <w:tcBorders>
              <w:tl2br w:val="nil"/>
              <w:tr2bl w:val="nil"/>
            </w:tcBorders>
            <w:vAlign w:val="center"/>
          </w:tcPr>
          <w:p w14:paraId="586B5233">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监测点位</w:t>
            </w:r>
          </w:p>
        </w:tc>
        <w:tc>
          <w:tcPr>
            <w:tcW w:w="529" w:type="pct"/>
            <w:tcBorders>
              <w:tl2br w:val="nil"/>
              <w:tr2bl w:val="nil"/>
            </w:tcBorders>
            <w:vAlign w:val="center"/>
          </w:tcPr>
          <w:p w14:paraId="1905D18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污染物</w:t>
            </w:r>
          </w:p>
        </w:tc>
        <w:tc>
          <w:tcPr>
            <w:tcW w:w="762" w:type="pct"/>
            <w:tcBorders>
              <w:tl2br w:val="nil"/>
              <w:tr2bl w:val="nil"/>
            </w:tcBorders>
            <w:vAlign w:val="center"/>
          </w:tcPr>
          <w:p w14:paraId="09DC9716">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浓度范围</w:t>
            </w:r>
            <w:r>
              <w:rPr>
                <w:rFonts w:hint="eastAsia"/>
                <w:color w:val="000000" w:themeColor="text1"/>
                <w:sz w:val="21"/>
                <w:szCs w:val="21"/>
                <w:highlight w:val="none"/>
                <w:lang w:eastAsia="zh-CN"/>
              </w:rPr>
              <w:t>（</w:t>
            </w:r>
            <w:r>
              <w:rPr>
                <w:color w:val="000000" w:themeColor="text1"/>
                <w:sz w:val="21"/>
                <w:szCs w:val="21"/>
                <w:highlight w:val="none"/>
              </w:rPr>
              <w:t>mg/m</w:t>
            </w:r>
            <w:r>
              <w:rPr>
                <w:color w:val="000000" w:themeColor="text1"/>
                <w:sz w:val="21"/>
                <w:szCs w:val="21"/>
                <w:highlight w:val="none"/>
                <w:vertAlign w:val="superscript"/>
              </w:rPr>
              <w:t>3</w:t>
            </w:r>
            <w:r>
              <w:rPr>
                <w:rFonts w:hint="eastAsia"/>
                <w:color w:val="000000" w:themeColor="text1"/>
                <w:sz w:val="21"/>
                <w:szCs w:val="21"/>
                <w:highlight w:val="none"/>
                <w:lang w:eastAsia="zh-CN"/>
              </w:rPr>
              <w:t>）</w:t>
            </w:r>
          </w:p>
        </w:tc>
        <w:tc>
          <w:tcPr>
            <w:tcW w:w="642" w:type="pct"/>
            <w:tcBorders>
              <w:tl2br w:val="nil"/>
              <w:tr2bl w:val="nil"/>
            </w:tcBorders>
            <w:vAlign w:val="center"/>
          </w:tcPr>
          <w:p w14:paraId="19C1E44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平均时间</w:t>
            </w:r>
          </w:p>
        </w:tc>
        <w:tc>
          <w:tcPr>
            <w:tcW w:w="492" w:type="pct"/>
            <w:tcBorders>
              <w:tl2br w:val="nil"/>
              <w:tr2bl w:val="nil"/>
            </w:tcBorders>
            <w:vAlign w:val="center"/>
          </w:tcPr>
          <w:p w14:paraId="322E27E4">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超标率</w:t>
            </w:r>
            <w:r>
              <w:rPr>
                <w:rFonts w:hint="eastAsia"/>
                <w:color w:val="000000" w:themeColor="text1"/>
                <w:sz w:val="21"/>
                <w:szCs w:val="21"/>
                <w:highlight w:val="none"/>
                <w:lang w:eastAsia="zh-CN"/>
              </w:rPr>
              <w:t>（</w:t>
            </w:r>
            <w:r>
              <w:rPr>
                <w:color w:val="000000" w:themeColor="text1"/>
                <w:sz w:val="21"/>
                <w:szCs w:val="21"/>
                <w:highlight w:val="none"/>
              </w:rPr>
              <w:t>%</w:t>
            </w:r>
            <w:r>
              <w:rPr>
                <w:rFonts w:hint="eastAsia"/>
                <w:color w:val="000000" w:themeColor="text1"/>
                <w:sz w:val="21"/>
                <w:szCs w:val="21"/>
                <w:highlight w:val="none"/>
                <w:lang w:eastAsia="zh-CN"/>
              </w:rPr>
              <w:t>）</w:t>
            </w:r>
          </w:p>
        </w:tc>
        <w:tc>
          <w:tcPr>
            <w:tcW w:w="642" w:type="pct"/>
            <w:tcBorders>
              <w:tl2br w:val="nil"/>
              <w:tr2bl w:val="nil"/>
            </w:tcBorders>
            <w:vAlign w:val="center"/>
          </w:tcPr>
          <w:p w14:paraId="386C6F0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标准值</w:t>
            </w:r>
          </w:p>
          <w:p w14:paraId="0235CADA">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eastAsia="zh-CN"/>
              </w:rPr>
              <w:t>（</w:t>
            </w:r>
            <w:r>
              <w:rPr>
                <w:color w:val="000000" w:themeColor="text1"/>
                <w:sz w:val="21"/>
                <w:szCs w:val="21"/>
                <w:highlight w:val="none"/>
              </w:rPr>
              <w:t>mg/m</w:t>
            </w:r>
            <w:r>
              <w:rPr>
                <w:color w:val="000000" w:themeColor="text1"/>
                <w:sz w:val="21"/>
                <w:szCs w:val="21"/>
                <w:highlight w:val="none"/>
                <w:vertAlign w:val="superscript"/>
              </w:rPr>
              <w:t>3</w:t>
            </w:r>
            <w:r>
              <w:rPr>
                <w:rFonts w:hint="eastAsia"/>
                <w:color w:val="000000" w:themeColor="text1"/>
                <w:sz w:val="21"/>
                <w:szCs w:val="21"/>
                <w:highlight w:val="none"/>
                <w:lang w:eastAsia="zh-CN"/>
              </w:rPr>
              <w:t>）</w:t>
            </w:r>
          </w:p>
        </w:tc>
        <w:tc>
          <w:tcPr>
            <w:tcW w:w="739" w:type="pct"/>
            <w:tcBorders>
              <w:tl2br w:val="nil"/>
              <w:tr2bl w:val="nil"/>
            </w:tcBorders>
            <w:vAlign w:val="center"/>
          </w:tcPr>
          <w:p w14:paraId="4BC1A791">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最大浓度占标</w:t>
            </w:r>
            <w:r>
              <w:rPr>
                <w:rFonts w:hint="eastAsia"/>
                <w:color w:val="000000" w:themeColor="text1"/>
                <w:sz w:val="21"/>
                <w:szCs w:val="21"/>
                <w:highlight w:val="none"/>
              </w:rPr>
              <w:t>率</w:t>
            </w:r>
            <w:r>
              <w:rPr>
                <w:rFonts w:hint="eastAsia"/>
                <w:color w:val="000000" w:themeColor="text1"/>
                <w:sz w:val="21"/>
                <w:szCs w:val="21"/>
                <w:highlight w:val="none"/>
                <w:lang w:eastAsia="zh-CN"/>
              </w:rPr>
              <w:t>（</w:t>
            </w:r>
            <w:r>
              <w:rPr>
                <w:color w:val="000000" w:themeColor="text1"/>
                <w:sz w:val="21"/>
                <w:szCs w:val="21"/>
                <w:highlight w:val="none"/>
              </w:rPr>
              <w:t>%</w:t>
            </w:r>
            <w:r>
              <w:rPr>
                <w:rFonts w:hint="eastAsia"/>
                <w:color w:val="000000" w:themeColor="text1"/>
                <w:sz w:val="21"/>
                <w:szCs w:val="21"/>
                <w:highlight w:val="none"/>
                <w:lang w:eastAsia="zh-CN"/>
              </w:rPr>
              <w:t>）</w:t>
            </w:r>
          </w:p>
        </w:tc>
        <w:tc>
          <w:tcPr>
            <w:tcW w:w="417" w:type="pct"/>
            <w:tcBorders>
              <w:tl2br w:val="nil"/>
              <w:tr2bl w:val="nil"/>
            </w:tcBorders>
            <w:vAlign w:val="center"/>
          </w:tcPr>
          <w:p w14:paraId="2BB28AC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达标</w:t>
            </w:r>
          </w:p>
          <w:p w14:paraId="0A5B3C9D">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情况</w:t>
            </w:r>
          </w:p>
        </w:tc>
      </w:tr>
      <w:tr w14:paraId="0B5AC3D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tblCellMar>
            <w:top w:w="0" w:type="dxa"/>
            <w:left w:w="108" w:type="dxa"/>
            <w:bottom w:w="0" w:type="dxa"/>
            <w:right w:w="108" w:type="dxa"/>
          </w:tblCellMar>
        </w:tblPrEx>
        <w:trPr>
          <w:cantSplit/>
          <w:trHeight w:val="340" w:hRule="atLeast"/>
        </w:trPr>
        <w:tc>
          <w:tcPr>
            <w:tcW w:w="773" w:type="pct"/>
            <w:tcBorders>
              <w:tl2br w:val="nil"/>
              <w:tr2bl w:val="nil"/>
            </w:tcBorders>
            <w:vAlign w:val="center"/>
          </w:tcPr>
          <w:p w14:paraId="3EFCB142">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宝泉岭农场二队</w:t>
            </w:r>
          </w:p>
        </w:tc>
        <w:tc>
          <w:tcPr>
            <w:tcW w:w="529" w:type="pct"/>
            <w:tcBorders>
              <w:tl2br w:val="nil"/>
              <w:tr2bl w:val="nil"/>
            </w:tcBorders>
            <w:vAlign w:val="center"/>
          </w:tcPr>
          <w:p w14:paraId="1EB6D31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TSP</w:t>
            </w:r>
          </w:p>
        </w:tc>
        <w:tc>
          <w:tcPr>
            <w:tcW w:w="762" w:type="pct"/>
            <w:tcBorders>
              <w:tl2br w:val="nil"/>
              <w:tr2bl w:val="nil"/>
            </w:tcBorders>
            <w:vAlign w:val="center"/>
          </w:tcPr>
          <w:p w14:paraId="017B040D">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rPr>
              <w:t>0.</w:t>
            </w:r>
            <w:r>
              <w:rPr>
                <w:rFonts w:hint="eastAsia"/>
                <w:color w:val="000000" w:themeColor="text1"/>
                <w:sz w:val="21"/>
                <w:szCs w:val="21"/>
                <w:highlight w:val="none"/>
                <w:lang w:val="en-US" w:eastAsia="zh-CN"/>
              </w:rPr>
              <w:t>102</w:t>
            </w:r>
            <w:r>
              <w:rPr>
                <w:rFonts w:hint="eastAsia"/>
                <w:color w:val="000000" w:themeColor="text1"/>
                <w:sz w:val="21"/>
                <w:szCs w:val="21"/>
                <w:highlight w:val="none"/>
              </w:rPr>
              <w:t>~0.1</w:t>
            </w:r>
            <w:r>
              <w:rPr>
                <w:rFonts w:hint="eastAsia"/>
                <w:color w:val="000000" w:themeColor="text1"/>
                <w:sz w:val="21"/>
                <w:szCs w:val="21"/>
                <w:highlight w:val="none"/>
                <w:lang w:val="en-US" w:eastAsia="zh-CN"/>
              </w:rPr>
              <w:t>27</w:t>
            </w:r>
          </w:p>
        </w:tc>
        <w:tc>
          <w:tcPr>
            <w:tcW w:w="642" w:type="pct"/>
            <w:tcBorders>
              <w:tl2br w:val="nil"/>
              <w:tr2bl w:val="nil"/>
            </w:tcBorders>
            <w:vAlign w:val="center"/>
          </w:tcPr>
          <w:p w14:paraId="317A7EDE">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日平均</w:t>
            </w:r>
          </w:p>
        </w:tc>
        <w:tc>
          <w:tcPr>
            <w:tcW w:w="492" w:type="pct"/>
            <w:tcBorders>
              <w:tl2br w:val="nil"/>
              <w:tr2bl w:val="nil"/>
            </w:tcBorders>
            <w:vAlign w:val="center"/>
          </w:tcPr>
          <w:p w14:paraId="565660A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w:t>
            </w:r>
          </w:p>
        </w:tc>
        <w:tc>
          <w:tcPr>
            <w:tcW w:w="642" w:type="pct"/>
            <w:tcBorders>
              <w:tl2br w:val="nil"/>
              <w:tr2bl w:val="nil"/>
            </w:tcBorders>
            <w:vAlign w:val="center"/>
          </w:tcPr>
          <w:p w14:paraId="19AB1975">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0.3</w:t>
            </w:r>
          </w:p>
        </w:tc>
        <w:tc>
          <w:tcPr>
            <w:tcW w:w="739" w:type="pct"/>
            <w:tcBorders>
              <w:tl2br w:val="nil"/>
              <w:tr2bl w:val="nil"/>
            </w:tcBorders>
            <w:vAlign w:val="center"/>
          </w:tcPr>
          <w:p w14:paraId="585D187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42</w:t>
            </w:r>
            <w:r>
              <w:rPr>
                <w:rFonts w:hint="eastAsia"/>
                <w:color w:val="000000" w:themeColor="text1"/>
                <w:sz w:val="21"/>
                <w:szCs w:val="21"/>
                <w:highlight w:val="none"/>
              </w:rPr>
              <w:t>.33</w:t>
            </w:r>
          </w:p>
        </w:tc>
        <w:tc>
          <w:tcPr>
            <w:tcW w:w="417" w:type="pct"/>
            <w:tcBorders>
              <w:tl2br w:val="nil"/>
              <w:tr2bl w:val="nil"/>
            </w:tcBorders>
            <w:vAlign w:val="center"/>
          </w:tcPr>
          <w:p w14:paraId="29A95A1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达标</w:t>
            </w:r>
          </w:p>
        </w:tc>
      </w:tr>
    </w:tbl>
    <w:p w14:paraId="69954B1E">
      <w:pPr>
        <w:pageBreakBefore w:val="0"/>
        <w:wordWrap/>
        <w:topLinePunct w:val="0"/>
        <w:bidi w:val="0"/>
        <w:spacing w:line="360" w:lineRule="auto"/>
        <w:rPr>
          <w:color w:val="000000" w:themeColor="text1"/>
          <w:highlight w:val="none"/>
        </w:rPr>
      </w:pPr>
      <w:r>
        <w:rPr>
          <w:rFonts w:hint="eastAsia"/>
          <w:color w:val="000000" w:themeColor="text1"/>
          <w:highlight w:val="none"/>
        </w:rPr>
        <w:t>由表4</w:t>
      </w:r>
      <w:r>
        <w:rPr>
          <w:color w:val="000000" w:themeColor="text1"/>
          <w:highlight w:val="none"/>
        </w:rPr>
        <w:t>.3-</w:t>
      </w:r>
      <w:r>
        <w:rPr>
          <w:rFonts w:hint="eastAsia"/>
          <w:color w:val="000000" w:themeColor="text1"/>
          <w:highlight w:val="none"/>
          <w:lang w:val="en-US" w:eastAsia="zh-CN"/>
        </w:rPr>
        <w:t>11</w:t>
      </w:r>
      <w:r>
        <w:rPr>
          <w:rFonts w:hint="eastAsia"/>
          <w:color w:val="000000" w:themeColor="text1"/>
          <w:highlight w:val="none"/>
        </w:rPr>
        <w:t>可以看出：监测期间</w:t>
      </w:r>
      <w:r>
        <w:rPr>
          <w:rFonts w:hint="eastAsia"/>
          <w:color w:val="000000" w:themeColor="text1"/>
          <w:highlight w:val="none"/>
          <w:lang w:val="en-US" w:eastAsia="zh-CN"/>
        </w:rPr>
        <w:t>宝泉岭农场二队</w:t>
      </w:r>
      <w:r>
        <w:rPr>
          <w:rFonts w:hint="eastAsia"/>
          <w:color w:val="000000" w:themeColor="text1"/>
          <w:szCs w:val="21"/>
          <w:highlight w:val="none"/>
        </w:rPr>
        <w:t>TSP</w:t>
      </w:r>
      <w:r>
        <w:rPr>
          <w:rFonts w:hint="eastAsia"/>
          <w:color w:val="000000" w:themeColor="text1"/>
          <w:highlight w:val="none"/>
        </w:rPr>
        <w:t>监测值符合国家《环境空气质量标准》（</w:t>
      </w:r>
      <w:r>
        <w:rPr>
          <w:color w:val="000000" w:themeColor="text1"/>
          <w:highlight w:val="none"/>
        </w:rPr>
        <w:t>GB3095－2012）</w:t>
      </w:r>
      <w:r>
        <w:rPr>
          <w:rFonts w:hint="eastAsia"/>
          <w:color w:val="000000" w:themeColor="text1"/>
          <w:szCs w:val="22"/>
          <w:highlight w:val="none"/>
        </w:rPr>
        <w:t>及其修改单</w:t>
      </w:r>
      <w:r>
        <w:rPr>
          <w:color w:val="000000" w:themeColor="text1"/>
          <w:highlight w:val="none"/>
        </w:rPr>
        <w:t>中的</w:t>
      </w:r>
      <w:r>
        <w:rPr>
          <w:rFonts w:hint="eastAsia"/>
          <w:color w:val="000000" w:themeColor="text1"/>
          <w:highlight w:val="none"/>
        </w:rPr>
        <w:t>二</w:t>
      </w:r>
      <w:r>
        <w:rPr>
          <w:color w:val="000000" w:themeColor="text1"/>
          <w:highlight w:val="none"/>
        </w:rPr>
        <w:t>级标准要求。</w:t>
      </w:r>
    </w:p>
    <w:p w14:paraId="77ABADE3">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4.3.4.</w:t>
      </w:r>
      <w:r>
        <w:rPr>
          <w:rFonts w:hint="eastAsia"/>
          <w:color w:val="000000" w:themeColor="text1"/>
          <w:highlight w:val="none"/>
          <w:lang w:val="en-US" w:eastAsia="zh-CN"/>
        </w:rPr>
        <w:t>3</w:t>
      </w:r>
      <w:r>
        <w:rPr>
          <w:color w:val="000000" w:themeColor="text1"/>
          <w:highlight w:val="none"/>
        </w:rPr>
        <w:t>现状评价结论</w:t>
      </w:r>
    </w:p>
    <w:p w14:paraId="4C049936">
      <w:pPr>
        <w:pStyle w:val="119"/>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bCs/>
          <w:color w:val="000000" w:themeColor="text1"/>
          <w:highlight w:val="none"/>
        </w:rPr>
        <w:t>根据</w:t>
      </w:r>
      <w:r>
        <w:rPr>
          <w:rFonts w:hint="eastAsia"/>
          <w:color w:val="000000" w:themeColor="text1"/>
          <w:szCs w:val="22"/>
          <w:highlight w:val="none"/>
        </w:rPr>
        <w:t>《2024年黑龙江省生态环境质量状况》</w:t>
      </w:r>
      <w:r>
        <w:rPr>
          <w:rFonts w:hint="eastAsia"/>
          <w:bCs/>
          <w:color w:val="000000" w:themeColor="text1"/>
          <w:highlight w:val="none"/>
        </w:rPr>
        <w:t>中数据</w:t>
      </w:r>
      <w:r>
        <w:rPr>
          <w:color w:val="000000" w:themeColor="text1"/>
          <w:highlight w:val="none"/>
        </w:rPr>
        <w:t>，</w:t>
      </w:r>
      <w:r>
        <w:rPr>
          <w:bCs/>
          <w:color w:val="000000" w:themeColor="text1"/>
          <w:highlight w:val="none"/>
        </w:rPr>
        <w:t>本项目</w:t>
      </w:r>
      <w:r>
        <w:rPr>
          <w:rFonts w:hint="eastAsia"/>
          <w:bCs/>
          <w:color w:val="000000" w:themeColor="text1"/>
          <w:highlight w:val="none"/>
          <w:lang w:val="en-US" w:eastAsia="zh-CN"/>
        </w:rPr>
        <w:t>所在</w:t>
      </w:r>
      <w:r>
        <w:rPr>
          <w:rFonts w:hint="eastAsia"/>
          <w:color w:val="000000" w:themeColor="text1"/>
          <w:highlight w:val="none"/>
        </w:rPr>
        <w:t>区域</w:t>
      </w:r>
      <w:r>
        <w:rPr>
          <w:rFonts w:hint="eastAsia"/>
          <w:color w:val="000000" w:themeColor="text1"/>
          <w:highlight w:val="none"/>
          <w:lang w:val="en-US" w:eastAsia="zh-CN"/>
        </w:rPr>
        <w:t>鹤岗市</w:t>
      </w:r>
      <w:r>
        <w:rPr>
          <w:rFonts w:hint="eastAsia"/>
          <w:bCs/>
          <w:color w:val="000000" w:themeColor="text1"/>
          <w:highlight w:val="none"/>
        </w:rPr>
        <w:t>2</w:t>
      </w:r>
      <w:r>
        <w:rPr>
          <w:bCs/>
          <w:color w:val="000000" w:themeColor="text1"/>
          <w:highlight w:val="none"/>
        </w:rPr>
        <w:t>0</w:t>
      </w:r>
      <w:r>
        <w:rPr>
          <w:rFonts w:hint="eastAsia"/>
          <w:bCs/>
          <w:color w:val="000000" w:themeColor="text1"/>
          <w:highlight w:val="none"/>
        </w:rPr>
        <w:t>2</w:t>
      </w:r>
      <w:r>
        <w:rPr>
          <w:rFonts w:hint="eastAsia"/>
          <w:bCs/>
          <w:color w:val="000000" w:themeColor="text1"/>
          <w:highlight w:val="none"/>
          <w:lang w:val="en-US" w:eastAsia="zh-CN"/>
        </w:rPr>
        <w:t>4</w:t>
      </w:r>
      <w:r>
        <w:rPr>
          <w:bCs/>
          <w:color w:val="000000" w:themeColor="text1"/>
          <w:highlight w:val="none"/>
        </w:rPr>
        <w:t>年</w:t>
      </w:r>
      <w:r>
        <w:rPr>
          <w:color w:val="000000" w:themeColor="text1"/>
          <w:highlight w:val="none"/>
        </w:rPr>
        <w:t>属于环境空气质量达标区</w:t>
      </w:r>
      <w:r>
        <w:rPr>
          <w:rFonts w:hint="eastAsia"/>
          <w:color w:val="000000" w:themeColor="text1"/>
          <w:highlight w:val="none"/>
        </w:rPr>
        <w:t>。</w:t>
      </w:r>
    </w:p>
    <w:p w14:paraId="2C6441CC">
      <w:pPr>
        <w:pageBreakBefore w:val="0"/>
        <w:wordWrap/>
        <w:topLinePunct w:val="0"/>
        <w:bidi w:val="0"/>
        <w:spacing w:line="360" w:lineRule="auto"/>
        <w:rPr>
          <w:color w:val="000000" w:themeColor="text1"/>
          <w:highlight w:val="none"/>
        </w:rPr>
      </w:pPr>
      <w:r>
        <w:rPr>
          <w:rFonts w:hint="eastAsia"/>
          <w:color w:val="000000" w:themeColor="text1"/>
          <w:highlight w:val="none"/>
        </w:rPr>
        <w:t>（2）</w:t>
      </w:r>
      <w:r>
        <w:rPr>
          <w:color w:val="000000" w:themeColor="text1"/>
          <w:highlight w:val="none"/>
        </w:rPr>
        <w:t>从</w:t>
      </w:r>
      <w:r>
        <w:rPr>
          <w:rFonts w:hint="eastAsia"/>
          <w:color w:val="000000" w:themeColor="text1"/>
          <w:highlight w:val="none"/>
        </w:rPr>
        <w:t>补充</w:t>
      </w:r>
      <w:r>
        <w:rPr>
          <w:color w:val="000000" w:themeColor="text1"/>
          <w:highlight w:val="none"/>
        </w:rPr>
        <w:t>现状监测及评价结果表明，</w:t>
      </w:r>
      <w:r>
        <w:rPr>
          <w:rFonts w:hint="eastAsia"/>
          <w:color w:val="000000" w:themeColor="text1"/>
          <w:highlight w:val="none"/>
        </w:rPr>
        <w:t>监测期间</w:t>
      </w:r>
      <w:r>
        <w:rPr>
          <w:rFonts w:hint="eastAsia"/>
          <w:color w:val="000000" w:themeColor="text1"/>
          <w:highlight w:val="none"/>
          <w:lang w:val="en-US" w:eastAsia="zh-CN"/>
        </w:rPr>
        <w:t>宝泉岭农场二队</w:t>
      </w:r>
      <w:r>
        <w:rPr>
          <w:rFonts w:hint="eastAsia"/>
          <w:color w:val="000000" w:themeColor="text1"/>
          <w:szCs w:val="21"/>
          <w:highlight w:val="none"/>
        </w:rPr>
        <w:t>TSP</w:t>
      </w:r>
      <w:r>
        <w:rPr>
          <w:rFonts w:hint="eastAsia"/>
          <w:color w:val="000000" w:themeColor="text1"/>
          <w:highlight w:val="none"/>
        </w:rPr>
        <w:t>监测值符合国家《环境空气质量标准》（</w:t>
      </w:r>
      <w:r>
        <w:rPr>
          <w:color w:val="000000" w:themeColor="text1"/>
          <w:highlight w:val="none"/>
        </w:rPr>
        <w:t>GB3095－2012）</w:t>
      </w:r>
      <w:r>
        <w:rPr>
          <w:rFonts w:hint="eastAsia"/>
          <w:color w:val="000000" w:themeColor="text1"/>
          <w:szCs w:val="22"/>
          <w:highlight w:val="none"/>
        </w:rPr>
        <w:t>及其修改单</w:t>
      </w:r>
      <w:r>
        <w:rPr>
          <w:color w:val="000000" w:themeColor="text1"/>
          <w:highlight w:val="none"/>
        </w:rPr>
        <w:t>中的</w:t>
      </w:r>
      <w:r>
        <w:rPr>
          <w:rFonts w:hint="eastAsia"/>
          <w:color w:val="000000" w:themeColor="text1"/>
          <w:highlight w:val="none"/>
        </w:rPr>
        <w:t>二</w:t>
      </w:r>
      <w:r>
        <w:rPr>
          <w:color w:val="000000" w:themeColor="text1"/>
          <w:highlight w:val="none"/>
        </w:rPr>
        <w:t>级标准要求。</w:t>
      </w:r>
    </w:p>
    <w:p w14:paraId="544F4165">
      <w:pPr>
        <w:pageBreakBefore w:val="0"/>
        <w:wordWrap/>
        <w:topLinePunct w:val="0"/>
        <w:bidi w:val="0"/>
        <w:spacing w:line="360" w:lineRule="auto"/>
        <w:ind w:left="0" w:leftChars="0" w:firstLine="0" w:firstLineChars="0"/>
        <w:jc w:val="center"/>
        <w:rPr>
          <w:rFonts w:hint="eastAsia"/>
          <w:b/>
          <w:color w:val="000000" w:themeColor="text1"/>
          <w:kern w:val="40"/>
          <w:highlight w:val="none"/>
          <w:lang w:val="en-US" w:eastAsia="zh-CN"/>
        </w:rPr>
      </w:pPr>
      <w:r>
        <w:rPr>
          <w:rFonts w:hint="eastAsia"/>
          <w:b/>
          <w:color w:val="000000" w:themeColor="text1"/>
          <w:kern w:val="40"/>
          <w:highlight w:val="none"/>
          <w:lang w:val="en-US" w:eastAsia="zh-CN"/>
        </w:rPr>
        <w:drawing>
          <wp:inline distT="0" distB="0" distL="114300" distR="114300">
            <wp:extent cx="5271135" cy="2679700"/>
            <wp:effectExtent l="0" t="0" r="5715" b="6350"/>
            <wp:docPr id="10" name="图片 10" descr="174970840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49708406066"/>
                    <pic:cNvPicPr>
                      <a:picLocks noChangeAspect="1"/>
                    </pic:cNvPicPr>
                  </pic:nvPicPr>
                  <pic:blipFill>
                    <a:blip r:embed="rId53"/>
                    <a:stretch>
                      <a:fillRect/>
                    </a:stretch>
                  </pic:blipFill>
                  <pic:spPr>
                    <a:xfrm>
                      <a:off x="0" y="0"/>
                      <a:ext cx="5271135" cy="2679700"/>
                    </a:xfrm>
                    <a:prstGeom prst="rect">
                      <a:avLst/>
                    </a:prstGeom>
                  </pic:spPr>
                </pic:pic>
              </a:graphicData>
            </a:graphic>
          </wp:inline>
        </w:drawing>
      </w:r>
    </w:p>
    <w:p w14:paraId="193C14AE">
      <w:pPr>
        <w:pageBreakBefore w:val="0"/>
        <w:wordWrap/>
        <w:topLinePunct w:val="0"/>
        <w:bidi w:val="0"/>
        <w:spacing w:line="360" w:lineRule="auto"/>
        <w:ind w:left="0" w:leftChars="0" w:firstLine="0" w:firstLineChars="0"/>
        <w:jc w:val="center"/>
        <w:rPr>
          <w:b/>
          <w:color w:val="000000" w:themeColor="text1"/>
          <w:kern w:val="40"/>
          <w:highlight w:val="none"/>
        </w:rPr>
      </w:pPr>
      <w:r>
        <w:rPr>
          <w:rFonts w:hint="eastAsia"/>
          <w:b/>
          <w:color w:val="000000" w:themeColor="text1"/>
          <w:kern w:val="40"/>
          <w:highlight w:val="none"/>
          <w:lang w:val="en-US" w:eastAsia="zh-CN"/>
        </w:rPr>
        <w:t>图</w:t>
      </w:r>
      <w:r>
        <w:rPr>
          <w:rFonts w:hint="eastAsia"/>
          <w:b/>
          <w:color w:val="000000" w:themeColor="text1"/>
          <w:kern w:val="40"/>
          <w:highlight w:val="none"/>
        </w:rPr>
        <w:t>4.3</w:t>
      </w:r>
      <w:r>
        <w:rPr>
          <w:b/>
          <w:color w:val="000000" w:themeColor="text1"/>
          <w:kern w:val="40"/>
          <w:highlight w:val="none"/>
        </w:rPr>
        <w:t>-</w:t>
      </w:r>
      <w:r>
        <w:rPr>
          <w:rFonts w:hint="eastAsia"/>
          <w:b/>
          <w:color w:val="000000" w:themeColor="text1"/>
          <w:kern w:val="40"/>
          <w:highlight w:val="none"/>
          <w:lang w:val="en-US" w:eastAsia="zh-CN"/>
        </w:rPr>
        <w:t xml:space="preserve">1 </w:t>
      </w:r>
      <w:r>
        <w:rPr>
          <w:b/>
          <w:color w:val="000000" w:themeColor="text1"/>
          <w:kern w:val="40"/>
          <w:highlight w:val="none"/>
        </w:rPr>
        <w:t xml:space="preserve"> </w:t>
      </w:r>
      <w:r>
        <w:rPr>
          <w:rFonts w:hint="eastAsia"/>
          <w:b/>
          <w:color w:val="000000" w:themeColor="text1"/>
          <w:kern w:val="40"/>
          <w:highlight w:val="none"/>
          <w:lang w:val="en-US" w:eastAsia="zh-CN"/>
        </w:rPr>
        <w:t>环境质量现状监测示意图</w:t>
      </w:r>
    </w:p>
    <w:p w14:paraId="1C48F3EB">
      <w:pPr>
        <w:pageBreakBefore w:val="0"/>
        <w:wordWrap/>
        <w:topLinePunct w:val="0"/>
        <w:bidi w:val="0"/>
        <w:spacing w:line="360" w:lineRule="auto"/>
        <w:rPr>
          <w:rFonts w:hint="eastAsia" w:eastAsia="宋体"/>
          <w:color w:val="000000" w:themeColor="text1"/>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2D4DFB7B">
      <w:pPr>
        <w:pStyle w:val="2"/>
        <w:pageBreakBefore w:val="0"/>
        <w:wordWrap/>
        <w:topLinePunct w:val="0"/>
        <w:bidi w:val="0"/>
        <w:spacing w:line="360" w:lineRule="auto"/>
        <w:rPr>
          <w:color w:val="000000" w:themeColor="text1"/>
          <w:highlight w:val="none"/>
        </w:rPr>
      </w:pPr>
      <w:bookmarkStart w:id="345" w:name="_Toc4369"/>
      <w:bookmarkStart w:id="346" w:name="_Toc19260"/>
      <w:bookmarkStart w:id="347" w:name="_Toc2213"/>
      <w:bookmarkStart w:id="348" w:name="_Toc13184"/>
      <w:bookmarkStart w:id="349" w:name="_Toc3177"/>
      <w:r>
        <w:rPr>
          <w:rFonts w:hint="eastAsia"/>
          <w:color w:val="000000" w:themeColor="text1"/>
          <w:highlight w:val="none"/>
        </w:rPr>
        <w:t>5</w:t>
      </w:r>
      <w:r>
        <w:rPr>
          <w:color w:val="000000" w:themeColor="text1"/>
          <w:highlight w:val="none"/>
        </w:rPr>
        <w:t>环境影响预测与评价</w:t>
      </w:r>
      <w:bookmarkEnd w:id="345"/>
      <w:bookmarkEnd w:id="346"/>
      <w:bookmarkEnd w:id="347"/>
      <w:bookmarkEnd w:id="348"/>
      <w:bookmarkEnd w:id="349"/>
    </w:p>
    <w:p w14:paraId="2F269E22">
      <w:pPr>
        <w:pStyle w:val="3"/>
        <w:pageBreakBefore w:val="0"/>
        <w:wordWrap/>
        <w:topLinePunct w:val="0"/>
        <w:bidi w:val="0"/>
        <w:spacing w:line="360" w:lineRule="auto"/>
        <w:rPr>
          <w:color w:val="000000" w:themeColor="text1"/>
          <w:highlight w:val="none"/>
        </w:rPr>
      </w:pPr>
      <w:bookmarkStart w:id="350" w:name="_Toc29077"/>
      <w:bookmarkStart w:id="351" w:name="_Toc16411"/>
      <w:bookmarkStart w:id="352" w:name="_Toc11646"/>
      <w:bookmarkStart w:id="353" w:name="_Toc12467"/>
      <w:bookmarkStart w:id="354" w:name="_Toc9656"/>
      <w:bookmarkStart w:id="355" w:name="_Toc397370410"/>
      <w:bookmarkStart w:id="356" w:name="_Toc6367"/>
      <w:bookmarkStart w:id="357" w:name="_Toc10433"/>
      <w:r>
        <w:rPr>
          <w:rFonts w:hint="eastAsia"/>
          <w:color w:val="000000" w:themeColor="text1"/>
          <w:highlight w:val="none"/>
        </w:rPr>
        <w:t>5.1</w:t>
      </w:r>
      <w:r>
        <w:rPr>
          <w:color w:val="000000" w:themeColor="text1"/>
          <w:highlight w:val="none"/>
        </w:rPr>
        <w:t>生态环境</w:t>
      </w:r>
      <w:bookmarkEnd w:id="350"/>
      <w:bookmarkEnd w:id="351"/>
      <w:bookmarkEnd w:id="352"/>
      <w:bookmarkEnd w:id="353"/>
      <w:bookmarkEnd w:id="354"/>
      <w:bookmarkEnd w:id="355"/>
    </w:p>
    <w:p w14:paraId="606B0BF8">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5.1.1</w:t>
      </w:r>
      <w:r>
        <w:rPr>
          <w:color w:val="000000" w:themeColor="text1"/>
          <w:highlight w:val="none"/>
        </w:rPr>
        <w:t>施工期</w:t>
      </w:r>
      <w:bookmarkEnd w:id="356"/>
      <w:bookmarkEnd w:id="357"/>
    </w:p>
    <w:p w14:paraId="3497A089">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5.1.1.1</w:t>
      </w:r>
      <w:r>
        <w:rPr>
          <w:rFonts w:hint="eastAsia"/>
          <w:color w:val="000000" w:themeColor="text1"/>
          <w:highlight w:val="none"/>
          <w:lang w:val="en-US" w:eastAsia="zh-CN"/>
        </w:rPr>
        <w:t>影响方式</w:t>
      </w:r>
    </w:p>
    <w:p w14:paraId="2E020C4C">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（1）施工占地</w:t>
      </w:r>
    </w:p>
    <w:p w14:paraId="2CBE8501">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项目永久占地共19.1083</w:t>
      </w:r>
      <w:r>
        <w:rPr>
          <w:rFonts w:hint="default"/>
          <w:color w:val="000000" w:themeColor="text1"/>
          <w:highlight w:val="none"/>
          <w:lang w:val="en-US" w:eastAsia="zh-CN"/>
        </w:rPr>
        <w:t>hm</w:t>
      </w:r>
      <w:r>
        <w:rPr>
          <w:rFonts w:hint="default"/>
          <w:color w:val="000000" w:themeColor="text1"/>
          <w:highlight w:val="none"/>
          <w:vertAlign w:val="superscript"/>
          <w:lang w:val="en-US" w:eastAsia="zh-CN"/>
        </w:rPr>
        <w:t>2</w:t>
      </w:r>
      <w:r>
        <w:rPr>
          <w:rFonts w:hint="eastAsia"/>
          <w:color w:val="000000" w:themeColor="text1"/>
          <w:highlight w:val="none"/>
          <w:lang w:val="en-US" w:eastAsia="zh-CN"/>
        </w:rPr>
        <w:t xml:space="preserve">，施工占地扰动原地表，会改变区域内现有土地利用现状，可能造成植物个体损失，植被生物量减少，动物生境破坏等。 </w:t>
      </w:r>
    </w:p>
    <w:p w14:paraId="6911AE80">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 xml:space="preserve">主要影响对象为生态系统、动物植物多样性及其生境、自然景观等。 </w:t>
      </w:r>
    </w:p>
    <w:p w14:paraId="473B10F5">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（2）水土流失</w:t>
      </w:r>
    </w:p>
    <w:p w14:paraId="59C0C4C3">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 xml:space="preserve">施工期间工程的占地开挖、建设等可能会扰动地表，破坏地表植物及植被，使其失去固土防冲的能力，易诱发水土流失。场地平整等工程行为，可能使土壤裸露、地表扰动、局部地貌改变、原稳定体失衡，易产生水蚀及水土流失。 </w:t>
      </w:r>
    </w:p>
    <w:p w14:paraId="38A97E57">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主要影响对象为生态系统、生物多样性、自然景观。</w:t>
      </w:r>
    </w:p>
    <w:p w14:paraId="150128F6">
      <w:pPr>
        <w:pStyle w:val="5"/>
        <w:pageBreakBefore w:val="0"/>
        <w:wordWrap/>
        <w:topLinePunct w:val="0"/>
        <w:bidi w:val="0"/>
        <w:spacing w:before="156" w:line="360" w:lineRule="auto"/>
        <w:rPr>
          <w:rFonts w:hint="eastAsia" w:eastAsia="宋体"/>
          <w:color w:val="000000" w:themeColor="text1"/>
          <w:highlight w:val="none"/>
          <w:lang w:val="en-US" w:eastAsia="zh-CN"/>
        </w:rPr>
      </w:pPr>
      <w:r>
        <w:rPr>
          <w:rFonts w:hint="eastAsia"/>
          <w:color w:val="000000" w:themeColor="text1"/>
          <w:highlight w:val="none"/>
        </w:rPr>
        <w:t>5.1.1.</w:t>
      </w:r>
      <w:r>
        <w:rPr>
          <w:rFonts w:hint="eastAsia"/>
          <w:color w:val="000000" w:themeColor="text1"/>
          <w:highlight w:val="none"/>
          <w:lang w:val="en-US" w:eastAsia="zh-CN"/>
        </w:rPr>
        <w:t>2对</w:t>
      </w:r>
      <w:r>
        <w:rPr>
          <w:color w:val="000000" w:themeColor="text1"/>
          <w:highlight w:val="none"/>
        </w:rPr>
        <w:t>土地利用</w:t>
      </w:r>
      <w:r>
        <w:rPr>
          <w:rFonts w:hint="eastAsia"/>
          <w:color w:val="000000" w:themeColor="text1"/>
          <w:highlight w:val="none"/>
          <w:lang w:val="en-US" w:eastAsia="zh-CN"/>
        </w:rPr>
        <w:t>的影响</w:t>
      </w:r>
    </w:p>
    <w:p w14:paraId="16F84C84">
      <w:pPr>
        <w:pageBreakBefore w:val="0"/>
        <w:wordWrap/>
        <w:topLinePunct w:val="0"/>
        <w:bidi w:val="0"/>
        <w:spacing w:line="360" w:lineRule="auto"/>
        <w:rPr>
          <w:color w:val="000000" w:themeColor="text1"/>
          <w:highlight w:val="none"/>
        </w:rPr>
      </w:pPr>
      <w:r>
        <w:rPr>
          <w:color w:val="000000" w:themeColor="text1"/>
          <w:highlight w:val="none"/>
        </w:rPr>
        <w:t>（1）永久占地影响</w:t>
      </w:r>
    </w:p>
    <w:p w14:paraId="4A74F74B">
      <w:pPr>
        <w:pageBreakBefore w:val="0"/>
        <w:widowControl/>
        <w:wordWrap/>
        <w:topLinePunct w:val="0"/>
        <w:bidi w:val="0"/>
        <w:spacing w:line="360" w:lineRule="auto"/>
        <w:rPr>
          <w:color w:val="000000" w:themeColor="text1"/>
          <w:highlight w:val="none"/>
        </w:rPr>
      </w:pPr>
      <w:r>
        <w:rPr>
          <w:color w:val="000000" w:themeColor="text1"/>
          <w:kern w:val="0"/>
          <w:highlight w:val="none"/>
        </w:rPr>
        <w:t>工程永久占地将使</w:t>
      </w:r>
      <w:r>
        <w:rPr>
          <w:rFonts w:hint="eastAsia"/>
          <w:color w:val="000000" w:themeColor="text1"/>
          <w:kern w:val="0"/>
          <w:highlight w:val="none"/>
        </w:rPr>
        <w:t>占地</w:t>
      </w:r>
      <w:r>
        <w:rPr>
          <w:color w:val="000000" w:themeColor="text1"/>
          <w:kern w:val="0"/>
          <w:highlight w:val="none"/>
        </w:rPr>
        <w:t>内的土地利用现状发生改变，特别是</w:t>
      </w:r>
      <w:r>
        <w:rPr>
          <w:rFonts w:hint="eastAsia"/>
          <w:color w:val="000000" w:themeColor="text1"/>
          <w:kern w:val="0"/>
          <w:highlight w:val="none"/>
        </w:rPr>
        <w:t>林地</w:t>
      </w:r>
      <w:r>
        <w:rPr>
          <w:color w:val="000000" w:themeColor="text1"/>
          <w:kern w:val="0"/>
          <w:highlight w:val="none"/>
        </w:rPr>
        <w:t>、耕地</w:t>
      </w:r>
      <w:r>
        <w:rPr>
          <w:rFonts w:hint="eastAsia"/>
          <w:color w:val="000000" w:themeColor="text1"/>
          <w:kern w:val="0"/>
          <w:highlight w:val="none"/>
        </w:rPr>
        <w:t>、草地</w:t>
      </w:r>
      <w:r>
        <w:rPr>
          <w:color w:val="000000" w:themeColor="text1"/>
          <w:kern w:val="0"/>
          <w:highlight w:val="none"/>
        </w:rPr>
        <w:t>将转变为以运输为主要功能的交通建筑用地，将对沿线土地利用格局带来一定影响。</w:t>
      </w:r>
      <w:r>
        <w:rPr>
          <w:rFonts w:hint="eastAsia" w:cs="宋体"/>
          <w:color w:val="000000" w:themeColor="text1"/>
          <w:kern w:val="0"/>
          <w:highlight w:val="none"/>
        </w:rPr>
        <w:t>本项目</w:t>
      </w:r>
      <w:r>
        <w:rPr>
          <w:rFonts w:hint="eastAsia"/>
          <w:color w:val="000000" w:themeColor="text1"/>
          <w:highlight w:val="none"/>
          <w:lang w:val="en-US" w:eastAsia="zh-CN"/>
        </w:rPr>
        <w:t>永久占地共19.1083hm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s="宋体"/>
          <w:color w:val="000000" w:themeColor="text1"/>
          <w:kern w:val="0"/>
          <w:highlight w:val="none"/>
          <w:lang w:eastAsia="zh-CN"/>
        </w:rPr>
        <w:t>工程占地均属</w:t>
      </w:r>
      <w:r>
        <w:rPr>
          <w:rFonts w:hint="eastAsia" w:cs="宋体"/>
          <w:color w:val="000000" w:themeColor="text1"/>
          <w:kern w:val="0"/>
          <w:highlight w:val="none"/>
          <w:lang w:val="en-US" w:eastAsia="zh-CN"/>
        </w:rPr>
        <w:t>鹤岗市</w:t>
      </w:r>
      <w:r>
        <w:rPr>
          <w:rFonts w:hint="eastAsia" w:cs="宋体"/>
          <w:color w:val="000000" w:themeColor="text1"/>
          <w:kern w:val="0"/>
          <w:highlight w:val="none"/>
          <w:lang w:eastAsia="zh-CN"/>
        </w:rPr>
        <w:t>行政管辖。</w:t>
      </w:r>
      <w:r>
        <w:rPr>
          <w:rFonts w:hint="default"/>
          <w:color w:val="000000" w:themeColor="text1"/>
          <w:highlight w:val="none"/>
          <w:lang w:val="en-US"/>
        </w:rPr>
        <w:t>根据《土地利用现状分类》（GB/T 21010-2017）一级类别，本工程土地类型划</w:t>
      </w:r>
      <w:r>
        <w:rPr>
          <w:rFonts w:hint="default"/>
          <w:color w:val="000000" w:themeColor="text1"/>
          <w:sz w:val="24"/>
          <w:highlight w:val="none"/>
          <w:lang w:val="en-US"/>
        </w:rPr>
        <w:t>分为</w:t>
      </w:r>
      <w:r>
        <w:rPr>
          <w:rFonts w:hint="eastAsia"/>
          <w:color w:val="000000" w:themeColor="text1"/>
          <w:sz w:val="24"/>
          <w:highlight w:val="none"/>
          <w:lang w:val="en-US" w:eastAsia="zh-CN"/>
        </w:rPr>
        <w:t>占用</w:t>
      </w:r>
      <w:r>
        <w:rPr>
          <w:rFonts w:hint="eastAsia"/>
          <w:color w:val="000000" w:themeColor="text1"/>
          <w:highlight w:val="none"/>
          <w:lang w:val="en-US" w:eastAsia="zh-CN"/>
        </w:rPr>
        <w:t>水田0.6573hm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p>
    <w:p w14:paraId="4AAD572A">
      <w:pPr>
        <w:pageBreakBefore w:val="0"/>
        <w:wordWrap/>
        <w:topLinePunct w:val="0"/>
        <w:bidi w:val="0"/>
        <w:spacing w:line="360" w:lineRule="auto"/>
        <w:rPr>
          <w:color w:val="000000" w:themeColor="text1"/>
          <w:highlight w:val="none"/>
        </w:rPr>
      </w:pPr>
      <w:r>
        <w:rPr>
          <w:rFonts w:hint="eastAsia"/>
          <w:color w:val="000000" w:themeColor="text1"/>
          <w:highlight w:val="none"/>
        </w:rPr>
        <w:t>本项目虽占用耕地及林地资源，但工程整体呈线性分布于沿线地区，线路横向影响范围较狭窄，因此对整个评价区而言，不会导致沿线土地利用格局发生明显变化，对土地利用格局影响轻微。</w:t>
      </w:r>
    </w:p>
    <w:p w14:paraId="04CB17BE">
      <w:pPr>
        <w:pageBreakBefore w:val="0"/>
        <w:wordWrap/>
        <w:topLinePunct w:val="0"/>
        <w:bidi w:val="0"/>
        <w:spacing w:line="360" w:lineRule="auto"/>
        <w:rPr>
          <w:color w:val="000000" w:themeColor="text1"/>
          <w:highlight w:val="none"/>
        </w:rPr>
      </w:pPr>
      <w:r>
        <w:rPr>
          <w:color w:val="000000" w:themeColor="text1"/>
          <w:highlight w:val="none"/>
        </w:rPr>
        <w:t>（2）临时占地影响</w:t>
      </w:r>
    </w:p>
    <w:p w14:paraId="52FD802E">
      <w:pPr>
        <w:pageBreakBefore w:val="0"/>
        <w:wordWrap/>
        <w:topLinePunct w:val="0"/>
        <w:bidi w:val="0"/>
        <w:spacing w:line="360" w:lineRule="auto"/>
        <w:rPr>
          <w:color w:val="000000" w:themeColor="text1"/>
          <w:highlight w:val="none"/>
        </w:rPr>
      </w:pPr>
      <w:r>
        <w:rPr>
          <w:color w:val="000000" w:themeColor="text1"/>
          <w:highlight w:val="none"/>
        </w:rPr>
        <w:t>本项目临时占地包括</w:t>
      </w:r>
      <w:r>
        <w:rPr>
          <w:rFonts w:hint="eastAsia"/>
          <w:color w:val="000000" w:themeColor="text1"/>
          <w:highlight w:val="none"/>
          <w:lang w:val="en-US" w:eastAsia="zh-CN"/>
        </w:rPr>
        <w:t>综合站场、施工便道、表土临时堆土场及弃渣场等，临时占地4.37hm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highlight w:val="none"/>
        </w:rPr>
        <w:t>。</w:t>
      </w:r>
    </w:p>
    <w:p w14:paraId="2B82CE6A">
      <w:pPr>
        <w:pageBreakBefore w:val="0"/>
        <w:wordWrap/>
        <w:topLinePunct w:val="0"/>
        <w:bidi w:val="0"/>
        <w:spacing w:line="360" w:lineRule="auto"/>
        <w:rPr>
          <w:color w:val="000000" w:themeColor="text1"/>
          <w:highlight w:val="none"/>
        </w:rPr>
      </w:pPr>
      <w:r>
        <w:rPr>
          <w:color w:val="000000" w:themeColor="text1"/>
          <w:highlight w:val="none"/>
        </w:rPr>
        <w:t>本项目临时工程修筑将占用土地，施工期临时改变土地使用类型，扰动地表、破坏植被，产生水土流失；</w:t>
      </w:r>
      <w:r>
        <w:rPr>
          <w:color w:val="000000" w:themeColor="text1"/>
          <w:kern w:val="0"/>
          <w:highlight w:val="none"/>
        </w:rPr>
        <w:t>施工场地</w:t>
      </w:r>
      <w:r>
        <w:rPr>
          <w:color w:val="000000" w:themeColor="text1"/>
          <w:highlight w:val="none"/>
        </w:rPr>
        <w:t>将占用大量土地、硬化压实地面。以上多种临时工程施工期将对环境产生影响。</w:t>
      </w:r>
    </w:p>
    <w:p w14:paraId="41B98F0B">
      <w:pPr>
        <w:pageBreakBefore w:val="0"/>
        <w:wordWrap/>
        <w:topLinePunct w:val="0"/>
        <w:bidi w:val="0"/>
        <w:spacing w:line="360" w:lineRule="auto"/>
        <w:rPr>
          <w:color w:val="000000" w:themeColor="text1"/>
          <w:highlight w:val="none"/>
        </w:rPr>
      </w:pPr>
      <w:r>
        <w:rPr>
          <w:color w:val="000000" w:themeColor="text1"/>
          <w:highlight w:val="none"/>
        </w:rPr>
        <w:t>本项目临时占地施工前均采取表土剥离临时堆存，并采取水土保持措施，施工结束后及时复垦和植被恢复。故采取生态恢复工程措施的情况下，临时占地对评价区土地利用结构影响很小。</w:t>
      </w:r>
    </w:p>
    <w:p w14:paraId="2245016D">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（3）弃渣场的生态影响分析</w:t>
      </w:r>
    </w:p>
    <w:p w14:paraId="3FB6482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考虑弃渣为较为松散的堆积体，如果采取的措施不当易产生水土流失。各处弃渣场在施工前先进行表土剥离，集中存放，并做好临时防护。施工结束后，将剥离的表土回覆，进行土地整治、复耕。通过采取以上措施，将影响降至最低。</w:t>
      </w:r>
    </w:p>
    <w:p w14:paraId="5A46609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（4）施工便道的生态影响分析</w:t>
      </w:r>
    </w:p>
    <w:p w14:paraId="4E8A0C8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施工便道在施工前应先进行表土剥离，集中存放，并做好临时防护。施工结束后，将剥离的表土回覆，进行复耕或绿化。</w:t>
      </w:r>
    </w:p>
    <w:p w14:paraId="60FFE756">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从长远看，临时占地对自然植被的影响是暂时的，只要措施得当，根据不同的环境特征，采取合适的整治、复耕、绿化等恢复措施，可以将影响控制到最小。</w:t>
      </w:r>
    </w:p>
    <w:p w14:paraId="7D4EDAB7">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5</w:t>
      </w:r>
      <w:r>
        <w:rPr>
          <w:rFonts w:hint="eastAsia"/>
          <w:color w:val="000000" w:themeColor="text1"/>
          <w:highlight w:val="none"/>
        </w:rPr>
        <w:t>）对</w:t>
      </w:r>
      <w:r>
        <w:rPr>
          <w:rFonts w:hint="eastAsia"/>
          <w:color w:val="000000" w:themeColor="text1"/>
          <w:highlight w:val="none"/>
          <w:lang w:val="en-US" w:eastAsia="zh-CN"/>
        </w:rPr>
        <w:t>土地利用</w:t>
      </w:r>
      <w:r>
        <w:rPr>
          <w:rFonts w:hint="eastAsia"/>
          <w:color w:val="000000" w:themeColor="text1"/>
          <w:highlight w:val="none"/>
        </w:rPr>
        <w:t>的影响</w:t>
      </w:r>
    </w:p>
    <w:p w14:paraId="310E0547">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 xml:space="preserve">工程整体呈线性分布于沿线地区，线路横向影响范围较狭窄，因此对整个评价范围而言变化影响较小，不会导致沿线土地利用格局发生明显变化，即工程建设对评价区域土地利用格局影响轻微。 </w:t>
      </w:r>
    </w:p>
    <w:p w14:paraId="255EA52A">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综上，项目施工期对土地利用格局影响较小。</w:t>
      </w:r>
    </w:p>
    <w:p w14:paraId="553B5077">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5.1.1.</w:t>
      </w:r>
      <w:r>
        <w:rPr>
          <w:rFonts w:hint="eastAsia"/>
          <w:color w:val="000000" w:themeColor="text1"/>
          <w:highlight w:val="none"/>
          <w:lang w:val="en-US" w:eastAsia="zh-CN"/>
        </w:rPr>
        <w:t>3对农业生产的影响</w:t>
      </w:r>
    </w:p>
    <w:p w14:paraId="4388D659">
      <w:pPr>
        <w:pageBreakBefore w:val="0"/>
        <w:wordWrap/>
        <w:topLinePunct w:val="0"/>
        <w:bidi w:val="0"/>
        <w:spacing w:line="360" w:lineRule="auto"/>
        <w:rPr>
          <w:rFonts w:hint="eastAsia" w:ascii="Times New Roman" w:hAnsi="Times New Roman" w:cs="Times New Roman"/>
          <w:color w:val="000000" w:themeColor="text1"/>
          <w:highlight w:val="none"/>
        </w:rPr>
      </w:pPr>
      <w:r>
        <w:rPr>
          <w:rFonts w:hint="eastAsia" w:ascii="Times New Roman" w:hAnsi="Times New Roman" w:cs="Times New Roman"/>
          <w:color w:val="000000" w:themeColor="text1"/>
          <w:highlight w:val="none"/>
        </w:rPr>
        <w:t>永久性占用耕地会造成原有土地丧失农业生产功能，造成人均耕地面积和粮食产量减少。</w:t>
      </w:r>
    </w:p>
    <w:p w14:paraId="30B716F3">
      <w:pPr>
        <w:pageBreakBefore w:val="0"/>
        <w:wordWrap/>
        <w:topLinePunct w:val="0"/>
        <w:bidi w:val="0"/>
        <w:spacing w:line="360" w:lineRule="auto"/>
        <w:rPr>
          <w:rFonts w:hint="eastAsia" w:ascii="Times New Roman" w:hAnsi="Times New Roman" w:cs="Times New Roman"/>
          <w:color w:val="000000" w:themeColor="text1"/>
          <w:highlight w:val="none"/>
        </w:rPr>
      </w:pPr>
      <w:r>
        <w:rPr>
          <w:rFonts w:hint="eastAsia" w:ascii="Times New Roman" w:hAnsi="Times New Roman" w:cs="Times New Roman"/>
          <w:color w:val="000000" w:themeColor="text1"/>
          <w:highlight w:val="none"/>
        </w:rPr>
        <w:t>根据国家统计局网站发布的数据，黑龙江省2021年粮食单位面积产量为5406.9kg</w:t>
      </w:r>
      <w:r>
        <w:rPr>
          <w:rFonts w:hint="eastAsia" w:ascii="Times New Roman" w:hAnsi="Times New Roman" w:cs="Times New Roman"/>
          <w:color w:val="000000" w:themeColor="text1"/>
          <w:highlight w:val="none"/>
          <w:lang w:val="en-US" w:eastAsia="zh-CN"/>
        </w:rPr>
        <w:t>/h</w:t>
      </w:r>
      <w:r>
        <w:rPr>
          <w:rFonts w:hint="eastAsia" w:ascii="Times New Roman" w:hAnsi="Times New Roman" w:cs="Times New Roman"/>
          <w:color w:val="000000" w:themeColor="text1"/>
          <w:highlight w:val="none"/>
        </w:rPr>
        <w:t>m</w:t>
      </w:r>
      <w:r>
        <w:rPr>
          <w:rFonts w:hint="eastAsia" w:ascii="Times New Roman" w:hAnsi="Times New Roman" w:cs="Times New Roman"/>
          <w:color w:val="000000" w:themeColor="text1"/>
          <w:highlight w:val="none"/>
          <w:vertAlign w:val="superscript"/>
          <w:lang w:val="en-US" w:eastAsia="zh-CN"/>
        </w:rPr>
        <w:t>2</w:t>
      </w:r>
      <w:r>
        <w:rPr>
          <w:rFonts w:hint="eastAsia" w:ascii="Times New Roman" w:hAnsi="Times New Roman" w:cs="Times New Roman"/>
          <w:color w:val="000000" w:themeColor="text1"/>
          <w:highlight w:val="none"/>
        </w:rPr>
        <w:t>。经估算，耕地减少造成粮食产量损失约</w:t>
      </w:r>
      <w:r>
        <w:rPr>
          <w:rFonts w:hint="eastAsia" w:ascii="Times New Roman" w:hAnsi="Times New Roman" w:cs="Times New Roman"/>
          <w:color w:val="000000" w:themeColor="text1"/>
          <w:highlight w:val="none"/>
          <w:lang w:val="en-US" w:eastAsia="zh-CN"/>
        </w:rPr>
        <w:t>65</w:t>
      </w:r>
      <w:r>
        <w:rPr>
          <w:rFonts w:hint="eastAsia" w:ascii="Times New Roman" w:hAnsi="Times New Roman" w:cs="Times New Roman"/>
          <w:color w:val="000000" w:themeColor="text1"/>
          <w:highlight w:val="none"/>
        </w:rPr>
        <w:t>t/a，占评价区现状粮食产量(</w:t>
      </w:r>
      <w:r>
        <w:rPr>
          <w:rFonts w:hint="eastAsia" w:ascii="Times New Roman" w:hAnsi="Times New Roman" w:cs="Times New Roman"/>
          <w:color w:val="000000" w:themeColor="text1"/>
          <w:highlight w:val="none"/>
          <w:lang w:val="en-US" w:eastAsia="zh-CN"/>
        </w:rPr>
        <w:t>1820</w:t>
      </w:r>
      <w:r>
        <w:rPr>
          <w:rFonts w:hint="eastAsia" w:ascii="Times New Roman" w:hAnsi="Times New Roman" w:cs="Times New Roman"/>
          <w:color w:val="000000" w:themeColor="text1"/>
          <w:highlight w:val="none"/>
        </w:rPr>
        <w:t>t/a)的比例为</w:t>
      </w:r>
      <w:r>
        <w:rPr>
          <w:rFonts w:hint="eastAsia" w:ascii="Times New Roman" w:hAnsi="Times New Roman" w:cs="Times New Roman"/>
          <w:color w:val="000000" w:themeColor="text1"/>
          <w:highlight w:val="none"/>
          <w:lang w:val="en-US" w:eastAsia="zh-CN"/>
        </w:rPr>
        <w:t>3.57</w:t>
      </w:r>
      <w:r>
        <w:rPr>
          <w:rFonts w:hint="eastAsia" w:ascii="Times New Roman" w:hAnsi="Times New Roman" w:cs="Times New Roman"/>
          <w:color w:val="000000" w:themeColor="text1"/>
          <w:highlight w:val="none"/>
        </w:rPr>
        <w:t>%，因此本项目的建设对当地农业生产的影响较小。本项目为</w:t>
      </w:r>
      <w:r>
        <w:rPr>
          <w:rFonts w:hint="eastAsia" w:ascii="Times New Roman" w:hAnsi="Times New Roman" w:cs="Times New Roman"/>
          <w:color w:val="000000" w:themeColor="text1"/>
          <w:highlight w:val="none"/>
          <w:lang w:val="en-US" w:eastAsia="zh-CN"/>
        </w:rPr>
        <w:t>机场配套工程（机场进场路）</w:t>
      </w:r>
      <w:r>
        <w:rPr>
          <w:rFonts w:hint="eastAsia" w:ascii="Times New Roman" w:hAnsi="Times New Roman" w:cs="Times New Roman"/>
          <w:color w:val="000000" w:themeColor="text1"/>
          <w:highlight w:val="none"/>
        </w:rPr>
        <w:t>，采用永临结合、合理调配土石方等一系列措施，最大程度地减少了对基本农田的占用，但工程沿线基本农田保护率较高，所以不可避免的占用一定数量的基本农田。</w:t>
      </w:r>
    </w:p>
    <w:p w14:paraId="465F734C">
      <w:pPr>
        <w:pageBreakBefore w:val="0"/>
        <w:wordWrap/>
        <w:topLinePunct w:val="0"/>
        <w:bidi w:val="0"/>
        <w:spacing w:line="360" w:lineRule="auto"/>
        <w:rPr>
          <w:rFonts w:hint="eastAsia"/>
          <w:color w:val="000000" w:themeColor="text1"/>
          <w:highlight w:val="none"/>
          <w:vertAlign w:val="baseline"/>
          <w:lang w:val="en-US" w:eastAsia="zh-CN"/>
        </w:rPr>
      </w:pPr>
      <w:r>
        <w:rPr>
          <w:rFonts w:hint="eastAsia"/>
          <w:color w:val="000000" w:themeColor="text1"/>
          <w:highlight w:val="none"/>
          <w:lang w:val="en-US" w:eastAsia="zh-CN"/>
        </w:rPr>
        <w:t>根据</w:t>
      </w:r>
      <w:r>
        <w:rPr>
          <w:rFonts w:hint="eastAsia"/>
          <w:color w:val="000000" w:themeColor="text1"/>
          <w:highlight w:val="none"/>
        </w:rPr>
        <w:t>《自然资源部办公厅关于新建黑龙江鹤岗机场项目建设用地预审意见的函</w:t>
      </w:r>
      <w:r>
        <w:rPr>
          <w:rFonts w:hint="eastAsia"/>
          <w:color w:val="000000" w:themeColor="text1"/>
          <w:highlight w:val="none"/>
          <w:lang w:eastAsia="zh-CN"/>
        </w:rPr>
        <w:t>》</w:t>
      </w:r>
      <w:r>
        <w:rPr>
          <w:rFonts w:hint="eastAsia"/>
          <w:color w:val="000000" w:themeColor="text1"/>
          <w:highlight w:val="none"/>
        </w:rPr>
        <w:t>（自然资办函〔202</w:t>
      </w:r>
      <w:r>
        <w:rPr>
          <w:rFonts w:hint="eastAsia"/>
          <w:color w:val="000000" w:themeColor="text1"/>
          <w:highlight w:val="none"/>
          <w:lang w:val="en-US" w:eastAsia="zh-CN"/>
        </w:rPr>
        <w:t>3</w:t>
      </w:r>
      <w:r>
        <w:rPr>
          <w:rFonts w:hint="eastAsia"/>
          <w:color w:val="000000" w:themeColor="text1"/>
          <w:highlight w:val="none"/>
        </w:rPr>
        <w:t>〕1655号）</w:t>
      </w:r>
      <w:r>
        <w:rPr>
          <w:rFonts w:hint="eastAsia"/>
          <w:color w:val="000000" w:themeColor="text1"/>
          <w:highlight w:val="none"/>
          <w:lang w:val="en-US" w:eastAsia="zh-CN"/>
        </w:rPr>
        <w:t>及机场环评</w:t>
      </w:r>
      <w:r>
        <w:rPr>
          <w:rFonts w:hint="eastAsia"/>
          <w:color w:val="000000" w:themeColor="text1"/>
          <w:highlight w:val="none"/>
          <w:lang w:eastAsia="zh-CN"/>
        </w:rPr>
        <w:t>，</w:t>
      </w:r>
      <w:r>
        <w:rPr>
          <w:rFonts w:hint="eastAsia"/>
          <w:color w:val="000000" w:themeColor="text1"/>
          <w:highlight w:val="none"/>
          <w:lang w:val="en-US" w:eastAsia="zh-CN"/>
        </w:rPr>
        <w:t>新建黑龙江鹤岗机场项目共占用永久基本农田31.64公顷，其中进场道路占用永久基本农田9.9014公顷</w:t>
      </w:r>
      <w:r>
        <w:rPr>
          <w:rFonts w:hint="eastAsia"/>
          <w:color w:val="000000" w:themeColor="text1"/>
          <w:highlight w:val="none"/>
          <w:lang w:eastAsia="zh-CN"/>
        </w:rPr>
        <w:t>。</w:t>
      </w:r>
      <w:r>
        <w:rPr>
          <w:rFonts w:hint="eastAsia"/>
          <w:color w:val="000000" w:themeColor="text1"/>
          <w:highlight w:val="none"/>
          <w:lang w:val="en-US" w:eastAsia="zh-CN"/>
        </w:rPr>
        <w:t>在项目施工图设计过程中，根据实际情况，核算出用地面积约为191083m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其中永久基本农田120213m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），项目新增永久基本农田21199m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，征占手续正在办理中。</w:t>
      </w:r>
    </w:p>
    <w:p w14:paraId="2179F3E3">
      <w:pPr>
        <w:pageBreakBefore w:val="0"/>
        <w:wordWrap/>
        <w:topLinePunct w:val="0"/>
        <w:bidi w:val="0"/>
        <w:spacing w:line="360" w:lineRule="auto"/>
        <w:rPr>
          <w:rFonts w:hint="eastAsia" w:ascii="Times New Roman" w:hAnsi="Times New Roman" w:cs="Times New Roman"/>
          <w:color w:val="000000" w:themeColor="text1"/>
          <w:highlight w:val="none"/>
        </w:rPr>
      </w:pPr>
      <w:r>
        <w:rPr>
          <w:rFonts w:hint="eastAsia" w:ascii="Times New Roman" w:hAnsi="Times New Roman" w:cs="Times New Roman"/>
          <w:color w:val="000000" w:themeColor="text1"/>
          <w:highlight w:val="none"/>
          <w:lang w:val="en-US" w:eastAsia="zh-CN"/>
        </w:rPr>
        <w:t>同时，</w:t>
      </w:r>
      <w:r>
        <w:rPr>
          <w:rFonts w:hint="eastAsia" w:ascii="Times New Roman" w:hAnsi="Times New Roman" w:cs="Times New Roman"/>
          <w:color w:val="000000" w:themeColor="text1"/>
          <w:highlight w:val="none"/>
        </w:rPr>
        <w:t>应按照《土地管理法》、《基本农田保护条例》等相关规定做好土地调整、征地补偿、基本农田补划等工作。通过实施上述措施，可对基本农田进行最大程度地保护。</w:t>
      </w:r>
    </w:p>
    <w:p w14:paraId="6A2E3F4F">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5.1.1.</w:t>
      </w:r>
      <w:r>
        <w:rPr>
          <w:rFonts w:hint="eastAsia"/>
          <w:color w:val="000000" w:themeColor="text1"/>
          <w:highlight w:val="none"/>
          <w:lang w:val="en-US" w:eastAsia="zh-CN"/>
        </w:rPr>
        <w:t>4对</w:t>
      </w:r>
      <w:r>
        <w:rPr>
          <w:color w:val="000000" w:themeColor="text1"/>
          <w:highlight w:val="none"/>
        </w:rPr>
        <w:t>植被</w:t>
      </w:r>
      <w:r>
        <w:rPr>
          <w:rFonts w:hint="eastAsia"/>
          <w:color w:val="000000" w:themeColor="text1"/>
          <w:highlight w:val="none"/>
          <w:lang w:val="en-US" w:eastAsia="zh-CN"/>
        </w:rPr>
        <w:t>的影响</w:t>
      </w:r>
    </w:p>
    <w:p w14:paraId="33A589C5">
      <w:pPr>
        <w:pageBreakBefore w:val="0"/>
        <w:wordWrap/>
        <w:topLinePunct w:val="0"/>
        <w:bidi w:val="0"/>
        <w:spacing w:line="360" w:lineRule="auto"/>
        <w:rPr>
          <w:color w:val="000000" w:themeColor="text1"/>
          <w:highlight w:val="none"/>
        </w:rPr>
      </w:pPr>
      <w:r>
        <w:rPr>
          <w:color w:val="000000" w:themeColor="text1"/>
          <w:highlight w:val="none"/>
        </w:rPr>
        <w:t>（1）</w:t>
      </w:r>
      <w:r>
        <w:rPr>
          <w:rFonts w:hint="eastAsia"/>
          <w:color w:val="000000" w:themeColor="text1"/>
          <w:highlight w:val="none"/>
        </w:rPr>
        <w:t>永久占地对植被</w:t>
      </w:r>
      <w:r>
        <w:rPr>
          <w:color w:val="000000" w:themeColor="text1"/>
          <w:highlight w:val="none"/>
        </w:rPr>
        <w:t>的影响</w:t>
      </w:r>
    </w:p>
    <w:p w14:paraId="13EE5885">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rPr>
        <w:t>本项目</w:t>
      </w:r>
      <w:r>
        <w:rPr>
          <w:rFonts w:hint="eastAsia" w:ascii="宋体" w:hAnsi="宋体"/>
          <w:color w:val="000000" w:themeColor="text1"/>
          <w:highlight w:val="none"/>
        </w:rPr>
        <w:t>工程永久占地主要包括路基、桥梁等工程征用土地，共</w:t>
      </w:r>
      <w:r>
        <w:rPr>
          <w:rFonts w:hint="eastAsia"/>
          <w:color w:val="000000" w:themeColor="text1"/>
          <w:highlight w:val="none"/>
          <w:lang w:val="en-US" w:eastAsia="zh-CN"/>
        </w:rPr>
        <w:t>19.1083hm</w:t>
      </w:r>
      <w:r>
        <w:rPr>
          <w:rFonts w:hint="eastAsia"/>
          <w:color w:val="000000" w:themeColor="text1"/>
          <w:highlight w:val="none"/>
          <w:vertAlign w:val="superscript"/>
          <w:lang w:val="en-US" w:eastAsia="zh-CN"/>
        </w:rPr>
        <w:t>2</w:t>
      </w:r>
      <w:r>
        <w:rPr>
          <w:rFonts w:hint="eastAsia" w:ascii="宋体" w:hAnsi="宋体"/>
          <w:color w:val="000000" w:themeColor="text1"/>
          <w:highlight w:val="none"/>
        </w:rPr>
        <w:t>。</w:t>
      </w:r>
      <w:r>
        <w:rPr>
          <w:rFonts w:hint="default"/>
          <w:color w:val="000000" w:themeColor="text1"/>
          <w:highlight w:val="none"/>
          <w:lang w:val="en-US"/>
        </w:rPr>
        <w:t>本工程土地类型划</w:t>
      </w:r>
      <w:r>
        <w:rPr>
          <w:rFonts w:hint="default"/>
          <w:color w:val="000000" w:themeColor="text1"/>
          <w:sz w:val="24"/>
          <w:highlight w:val="none"/>
          <w:lang w:val="en-US"/>
        </w:rPr>
        <w:t>分为</w:t>
      </w:r>
      <w:r>
        <w:rPr>
          <w:rFonts w:hint="eastAsia"/>
          <w:color w:val="000000" w:themeColor="text1"/>
          <w:sz w:val="24"/>
          <w:highlight w:val="none"/>
          <w:lang w:val="en-US" w:eastAsia="zh-CN"/>
        </w:rPr>
        <w:t>占用</w:t>
      </w:r>
      <w:r>
        <w:rPr>
          <w:rFonts w:hint="eastAsia"/>
          <w:color w:val="000000" w:themeColor="text1"/>
          <w:highlight w:val="none"/>
          <w:lang w:val="en-US" w:eastAsia="zh-CN"/>
        </w:rPr>
        <w:t>水田0.6573hm</w:t>
      </w:r>
      <w:r>
        <w:rPr>
          <w:rFonts w:hint="eastAsia"/>
          <w:color w:val="000000" w:themeColor="text1"/>
          <w:highlight w:val="none"/>
          <w:vertAlign w:val="superscript"/>
          <w:lang w:val="en-US" w:eastAsia="zh-CN"/>
        </w:rPr>
        <w:t>2</w:t>
      </w:r>
      <w:r>
        <w:rPr>
          <w:rFonts w:hint="eastAsia"/>
          <w:color w:val="000000" w:themeColor="text1"/>
          <w:highlight w:val="none"/>
          <w:vertAlign w:val="baseline"/>
          <w:lang w:val="en-US" w:eastAsia="zh-CN"/>
        </w:rPr>
        <w:t>，</w:t>
      </w:r>
      <w:r>
        <w:rPr>
          <w:rFonts w:hint="eastAsia"/>
          <w:color w:val="000000" w:themeColor="text1"/>
          <w:highlight w:val="none"/>
          <w:lang w:val="en-US" w:eastAsia="zh-CN"/>
        </w:rPr>
        <w:t>旱田11.3640hm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，林地4.611hm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（占用林地均为一般商品林，不占用公益林），农村道路1.1899hm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，沟渠0.8197hm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，草地0.208hm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，池塘0.1645hm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，水域0.0939hm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w:t>
      </w:r>
      <w:r>
        <w:rPr>
          <w:rFonts w:hint="eastAsia"/>
          <w:color w:val="000000" w:themeColor="text1"/>
          <w:highlight w:val="none"/>
        </w:rPr>
        <w:t>工程永久占地会使占地区土地利用类型发生改变，植物个体损失，植被生物量减少。工程建设会破坏区域林地和</w:t>
      </w:r>
      <w:r>
        <w:rPr>
          <w:color w:val="000000" w:themeColor="text1"/>
          <w:highlight w:val="none"/>
        </w:rPr>
        <w:t>耕地</w:t>
      </w:r>
      <w:r>
        <w:rPr>
          <w:rFonts w:hint="eastAsia"/>
          <w:color w:val="000000" w:themeColor="text1"/>
          <w:highlight w:val="none"/>
        </w:rPr>
        <w:t>，会对农林业生产、植物多样性带来不利影响。</w:t>
      </w:r>
      <w:r>
        <w:rPr>
          <w:rFonts w:hint="eastAsia"/>
          <w:color w:val="000000" w:themeColor="text1"/>
          <w:highlight w:val="none"/>
          <w:lang w:val="en-US" w:eastAsia="zh-CN"/>
        </w:rPr>
        <w:t>所砍伐树木多为当地一般常见种，其生长范围较广，适应性强，不会导致植物种群消失或灭绝。工程实施过程中将在公路两侧边坡上种植行道树，采取占一补一方式，项目实施后通过绿化工程将对损失植被生物量进行补偿，对植被影响较小。在沿线区域没有发现国家级重点保护珍稀濒危物种、黑龙江省重点保护物种和古树名木。</w:t>
      </w:r>
    </w:p>
    <w:p w14:paraId="28CE5D8E">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rPr>
        <w:t>据调查，受破坏的植物种类较少，多数植物均为常见种且扩散能力强、分布范围</w:t>
      </w:r>
      <w:r>
        <w:rPr>
          <w:rFonts w:hint="eastAsia"/>
          <w:color w:val="000000" w:themeColor="text1"/>
          <w:highlight w:val="none"/>
          <w:lang w:val="en-US" w:eastAsia="zh-CN"/>
        </w:rPr>
        <w:t>广。</w:t>
      </w:r>
      <w:r>
        <w:rPr>
          <w:rFonts w:hint="eastAsia"/>
          <w:color w:val="000000" w:themeColor="text1"/>
          <w:highlight w:val="none"/>
        </w:rPr>
        <w:t>评价区内植物群落结构简单，在本地区广泛分布，群落类型非特有类型。项目建设对植物群落内各类植物影响基本一致，不会对评价区内某一种或某几种植物造成</w:t>
      </w:r>
      <w:r>
        <w:rPr>
          <w:rFonts w:hint="eastAsia"/>
          <w:color w:val="000000" w:themeColor="text1"/>
          <w:highlight w:val="none"/>
          <w:lang w:val="en-US" w:eastAsia="zh-CN"/>
        </w:rPr>
        <w:t>特殊破坏。</w:t>
      </w:r>
    </w:p>
    <w:p w14:paraId="450B4CA8">
      <w:pPr>
        <w:pageBreakBefore w:val="0"/>
        <w:wordWrap/>
        <w:topLinePunct w:val="0"/>
        <w:bidi w:val="0"/>
        <w:spacing w:line="360" w:lineRule="auto"/>
        <w:rPr>
          <w:color w:val="000000" w:themeColor="text1"/>
          <w:highlight w:val="none"/>
        </w:rPr>
      </w:pPr>
      <w:r>
        <w:rPr>
          <w:rFonts w:hint="eastAsia"/>
          <w:color w:val="000000" w:themeColor="text1"/>
          <w:highlight w:val="none"/>
        </w:rPr>
        <w:t>（2）临时占地对植被的影响</w:t>
      </w:r>
    </w:p>
    <w:p w14:paraId="609B5415">
      <w:pPr>
        <w:pageBreakBefore w:val="0"/>
        <w:wordWrap/>
        <w:topLinePunct w:val="0"/>
        <w:bidi w:val="0"/>
        <w:spacing w:line="360" w:lineRule="auto"/>
        <w:rPr>
          <w:color w:val="000000" w:themeColor="text1"/>
          <w:highlight w:val="none"/>
        </w:rPr>
      </w:pPr>
      <w:r>
        <w:rPr>
          <w:color w:val="000000" w:themeColor="text1"/>
          <w:highlight w:val="none"/>
        </w:rPr>
        <w:t>本项目临时占地包括</w:t>
      </w:r>
      <w:r>
        <w:rPr>
          <w:rFonts w:hint="eastAsia"/>
          <w:color w:val="000000" w:themeColor="text1"/>
          <w:highlight w:val="none"/>
          <w:lang w:val="en-US" w:eastAsia="zh-CN"/>
        </w:rPr>
        <w:t>综合站场、施工便道、表土临时堆土场及弃渣场等，临时占地4.37hm</w:t>
      </w:r>
      <w:r>
        <w:rPr>
          <w:rFonts w:hint="eastAsia"/>
          <w:color w:val="000000" w:themeColor="text1"/>
          <w:highlight w:val="none"/>
          <w:vertAlign w:val="superscript"/>
          <w:lang w:val="en-US" w:eastAsia="zh-CN"/>
        </w:rPr>
        <w:t>2</w:t>
      </w:r>
      <w:r>
        <w:rPr>
          <w:rFonts w:hint="eastAsia"/>
          <w:color w:val="000000" w:themeColor="text1"/>
          <w:highlight w:val="none"/>
          <w:lang w:val="en-US" w:eastAsia="zh-CN"/>
        </w:rPr>
        <w:t>（其中桥梁施工场地占地位于桥梁永久征地范围内，挖方临时堆土场占地位于道路工程永久征地范围内，表土临时堆土场利用既有机场表土暂存场），占地类型为耕地、其他土地和工矿仓储用地</w:t>
      </w:r>
      <w:r>
        <w:rPr>
          <w:color w:val="000000" w:themeColor="text1"/>
          <w:highlight w:val="none"/>
        </w:rPr>
        <w:t>。</w:t>
      </w:r>
    </w:p>
    <w:p w14:paraId="40A4C023">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由于</w:t>
      </w:r>
      <w:r>
        <w:rPr>
          <w:color w:val="000000" w:themeColor="text1"/>
          <w:highlight w:val="none"/>
        </w:rPr>
        <w:t>临时工程</w:t>
      </w:r>
      <w:r>
        <w:rPr>
          <w:rFonts w:hint="eastAsia"/>
          <w:color w:val="000000" w:themeColor="text1"/>
          <w:highlight w:val="none"/>
        </w:rPr>
        <w:t>施工完毕后回填</w:t>
      </w:r>
      <w:r>
        <w:rPr>
          <w:rFonts w:hint="eastAsia"/>
          <w:color w:val="000000" w:themeColor="text1"/>
          <w:highlight w:val="none"/>
          <w:lang w:val="en-US" w:eastAsia="zh-CN"/>
        </w:rPr>
        <w:t>表土</w:t>
      </w:r>
      <w:r>
        <w:rPr>
          <w:rFonts w:hint="eastAsia"/>
          <w:color w:val="000000" w:themeColor="text1"/>
          <w:highlight w:val="none"/>
        </w:rPr>
        <w:t>，进行</w:t>
      </w:r>
      <w:r>
        <w:rPr>
          <w:rFonts w:hint="eastAsia"/>
          <w:color w:val="000000" w:themeColor="text1"/>
          <w:highlight w:val="none"/>
          <w:lang w:val="en-US" w:eastAsia="zh-CN"/>
        </w:rPr>
        <w:t>复垦</w:t>
      </w:r>
      <w:r>
        <w:rPr>
          <w:rFonts w:hint="eastAsia"/>
          <w:color w:val="000000" w:themeColor="text1"/>
          <w:highlight w:val="none"/>
        </w:rPr>
        <w:t>、植被恢复后，生物量可得到一定弥补。环评要求施工中应控制临时占地的扰动范围，尽量减小对植被的影响。本项目</w:t>
      </w:r>
      <w:r>
        <w:rPr>
          <w:rFonts w:hint="eastAsia"/>
          <w:color w:val="000000" w:themeColor="text1"/>
          <w:highlight w:val="none"/>
          <w:lang w:val="en-US" w:eastAsia="zh-CN"/>
        </w:rPr>
        <w:t>临时占地</w:t>
      </w:r>
      <w:r>
        <w:rPr>
          <w:rFonts w:hint="eastAsia"/>
          <w:color w:val="000000" w:themeColor="text1"/>
          <w:highlight w:val="none"/>
        </w:rPr>
        <w:t>区域未见国家级重点保护物种、黑龙江省重点保护物种。</w:t>
      </w:r>
    </w:p>
    <w:p w14:paraId="744942E8">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5.1.1.</w:t>
      </w:r>
      <w:r>
        <w:rPr>
          <w:rFonts w:hint="eastAsia"/>
          <w:color w:val="000000" w:themeColor="text1"/>
          <w:highlight w:val="none"/>
          <w:lang w:val="en-US" w:eastAsia="zh-CN"/>
        </w:rPr>
        <w:t>5对</w:t>
      </w:r>
      <w:r>
        <w:rPr>
          <w:color w:val="000000" w:themeColor="text1"/>
          <w:highlight w:val="none"/>
        </w:rPr>
        <w:t>动物</w:t>
      </w:r>
      <w:r>
        <w:rPr>
          <w:rFonts w:hint="eastAsia"/>
          <w:color w:val="000000" w:themeColor="text1"/>
          <w:highlight w:val="none"/>
          <w:lang w:val="en-US" w:eastAsia="zh-CN"/>
        </w:rPr>
        <w:t>的影响</w:t>
      </w:r>
    </w:p>
    <w:p w14:paraId="518F867A">
      <w:pPr>
        <w:pageBreakBefore w:val="0"/>
        <w:wordWrap/>
        <w:topLinePunct w:val="0"/>
        <w:bidi w:val="0"/>
        <w:spacing w:line="360" w:lineRule="auto"/>
        <w:rPr>
          <w:color w:val="000000" w:themeColor="text1"/>
          <w:highlight w:val="none"/>
        </w:rPr>
      </w:pPr>
      <w:r>
        <w:rPr>
          <w:color w:val="000000" w:themeColor="text1"/>
          <w:highlight w:val="none"/>
        </w:rPr>
        <w:t>（1）工程占地对野生动物栖息地的缩减影响</w:t>
      </w:r>
    </w:p>
    <w:p w14:paraId="509F4810">
      <w:pPr>
        <w:pageBreakBefore w:val="0"/>
        <w:wordWrap/>
        <w:topLinePunct w:val="0"/>
        <w:bidi w:val="0"/>
        <w:spacing w:line="360" w:lineRule="auto"/>
        <w:rPr>
          <w:color w:val="000000" w:themeColor="text1"/>
          <w:highlight w:val="none"/>
        </w:rPr>
      </w:pPr>
      <w:r>
        <w:rPr>
          <w:rFonts w:hint="eastAsia"/>
          <w:color w:val="000000" w:themeColor="text1"/>
          <w:highlight w:val="none"/>
        </w:rPr>
        <w:t>本项目永久占地、施工土石方开挖和填料，将破坏植被和土壤，造成裸露地面，破坏野生动物生存环境；临时占地若处理不好，将造成水土流失，对生物环境带来破坏。</w:t>
      </w:r>
    </w:p>
    <w:p w14:paraId="6FBA38CD">
      <w:pPr>
        <w:pageBreakBefore w:val="0"/>
        <w:wordWrap/>
        <w:topLinePunct w:val="0"/>
        <w:bidi w:val="0"/>
        <w:spacing w:line="360" w:lineRule="auto"/>
        <w:rPr>
          <w:color w:val="000000" w:themeColor="text1"/>
          <w:highlight w:val="none"/>
        </w:rPr>
      </w:pPr>
      <w:r>
        <w:rPr>
          <w:color w:val="000000" w:themeColor="text1"/>
          <w:highlight w:val="none"/>
        </w:rPr>
        <w:t>本项目占地范围内受影响的野生动物主要为小型哺乳类、两栖类、爬行类和鸟类等，均属于一般常见种，未发现重点保护动物分布。考虑到本工程两侧内有相似生境供野生动物栖息和生活，工程对野生动物的影响是短期的。</w:t>
      </w:r>
    </w:p>
    <w:p w14:paraId="5007F35A">
      <w:pPr>
        <w:pageBreakBefore w:val="0"/>
        <w:wordWrap/>
        <w:topLinePunct w:val="0"/>
        <w:bidi w:val="0"/>
        <w:spacing w:line="360" w:lineRule="auto"/>
        <w:rPr>
          <w:color w:val="000000" w:themeColor="text1"/>
          <w:highlight w:val="none"/>
        </w:rPr>
      </w:pPr>
      <w:r>
        <w:rPr>
          <w:color w:val="000000" w:themeColor="text1"/>
          <w:highlight w:val="none"/>
        </w:rPr>
        <w:t>（2）施工噪音和振动的影响</w:t>
      </w:r>
    </w:p>
    <w:p w14:paraId="7383F8FE">
      <w:pPr>
        <w:pageBreakBefore w:val="0"/>
        <w:wordWrap/>
        <w:topLinePunct w:val="0"/>
        <w:bidi w:val="0"/>
        <w:spacing w:line="360" w:lineRule="auto"/>
        <w:rPr>
          <w:color w:val="000000" w:themeColor="text1"/>
          <w:highlight w:val="none"/>
        </w:rPr>
      </w:pPr>
      <w:r>
        <w:rPr>
          <w:color w:val="000000" w:themeColor="text1"/>
          <w:highlight w:val="none"/>
        </w:rPr>
        <w:t>本项目施工期作业机械发出的突发性非稳态噪声、产生的振动以及施工人员活动会使施工区域及附近路栖野生动物暂时迁移到远离施工区的地方，鸟类会暂时飞走。由于项目区域或类似生境丰富，且野生动物可随公路建设结束而逐渐回迁到公路两边地域，故公路施工期对其影响是暂时的。</w:t>
      </w:r>
    </w:p>
    <w:p w14:paraId="176C0C81">
      <w:pPr>
        <w:pageBreakBefore w:val="0"/>
        <w:wordWrap/>
        <w:topLinePunct w:val="0"/>
        <w:bidi w:val="0"/>
        <w:spacing w:line="360" w:lineRule="auto"/>
        <w:rPr>
          <w:color w:val="000000" w:themeColor="text1"/>
          <w:highlight w:val="none"/>
        </w:rPr>
      </w:pPr>
      <w:r>
        <w:rPr>
          <w:color w:val="000000" w:themeColor="text1"/>
          <w:highlight w:val="none"/>
        </w:rPr>
        <w:t>此外，由于大部分野生动物常在黄昏觅食，故工程应尽量避免在晨昏使用高噪声机械设备施工，同时减小夜间照明和夜间施工。</w:t>
      </w:r>
    </w:p>
    <w:p w14:paraId="46B15691">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综上，项目施工期对动物影响较小</w:t>
      </w:r>
      <w:r>
        <w:rPr>
          <w:rFonts w:hint="eastAsia"/>
          <w:color w:val="000000" w:themeColor="text1"/>
          <w:highlight w:val="none"/>
        </w:rPr>
        <w:t>。</w:t>
      </w:r>
    </w:p>
    <w:p w14:paraId="6A135775">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5.1.3.</w:t>
      </w:r>
      <w:r>
        <w:rPr>
          <w:rFonts w:hint="eastAsia"/>
          <w:color w:val="000000" w:themeColor="text1"/>
          <w:highlight w:val="none"/>
          <w:lang w:val="en-US" w:eastAsia="zh-CN"/>
        </w:rPr>
        <w:t>6对水生生物的影响</w:t>
      </w:r>
    </w:p>
    <w:p w14:paraId="1702609D">
      <w:pPr>
        <w:pageBreakBefore w:val="0"/>
        <w:wordWrap/>
        <w:topLinePunct w:val="0"/>
        <w:bidi w:val="0"/>
        <w:spacing w:line="360" w:lineRule="auto"/>
        <w:rPr>
          <w:color w:val="000000" w:themeColor="text1"/>
          <w:highlight w:val="none"/>
        </w:rPr>
      </w:pPr>
      <w:r>
        <w:rPr>
          <w:rFonts w:hint="eastAsia"/>
          <w:color w:val="000000" w:themeColor="text1"/>
          <w:highlight w:val="none"/>
        </w:rPr>
        <w:t>工程对评价区水域水生生态的影响主要由水中设立桥墩的桥梁建设引起，其中涉水段工程建设对水生生物的直接影响范围主要集中在桥墩围堰及其上下游附近水域，对水生生物施工期的影响主要是跨河桥梁建设包括水中墩占地、便桥施工、噪声、震动、悬浮物、施工废水、生活污水、人类活动等影响。</w:t>
      </w:r>
    </w:p>
    <w:p w14:paraId="2E6A41A7">
      <w:pPr>
        <w:pageBreakBefore w:val="0"/>
        <w:wordWrap/>
        <w:topLinePunct w:val="0"/>
        <w:bidi w:val="0"/>
        <w:spacing w:line="360" w:lineRule="auto"/>
        <w:rPr>
          <w:color w:val="000000" w:themeColor="text1"/>
          <w:highlight w:val="none"/>
        </w:rPr>
      </w:pPr>
      <w:r>
        <w:rPr>
          <w:rFonts w:hint="eastAsia"/>
          <w:color w:val="000000" w:themeColor="text1"/>
          <w:highlight w:val="none"/>
        </w:rPr>
        <w:t>（1）栖息地占用和破坏</w:t>
      </w:r>
    </w:p>
    <w:p w14:paraId="3F2D9FEB">
      <w:pPr>
        <w:pageBreakBefore w:val="0"/>
        <w:wordWrap/>
        <w:topLinePunct w:val="0"/>
        <w:bidi w:val="0"/>
        <w:spacing w:line="360" w:lineRule="auto"/>
        <w:rPr>
          <w:color w:val="000000" w:themeColor="text1"/>
          <w:highlight w:val="none"/>
        </w:rPr>
      </w:pPr>
      <w:r>
        <w:rPr>
          <w:rFonts w:hint="eastAsia"/>
          <w:color w:val="000000" w:themeColor="text1"/>
          <w:highlight w:val="none"/>
        </w:rPr>
        <w:t>本项目桥墩及围堰占地对施工河段底质生境造成破坏，特别是对河底底栖固着生物资源造成永久性损失，其影响是不可逆的。评价区底栖动物在附近河段或相似环境中亦有分布，并非本地区的特有种，因此从物种保护的角度看，工程建设不会导致这些物种的消亡。桥梁桥基的开挖扰动局部水体，导致水体浑浊，破坏浮游底栖生物的生长环境，浮游底栖生物生物会因水质的变化而死。施工结束后，随着稀释和水体的自净作用，水质逐渐改良，浮游生物可基本恢复到施工前的水平。此外，施工将影响鱼类生境，减少其活动的场所。</w:t>
      </w:r>
    </w:p>
    <w:p w14:paraId="06ABED4B">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color w:val="000000" w:themeColor="text1"/>
          <w:highlight w:val="none"/>
        </w:rPr>
        <w:t>2</w:t>
      </w:r>
      <w:r>
        <w:rPr>
          <w:rFonts w:hint="eastAsia"/>
          <w:color w:val="000000" w:themeColor="text1"/>
          <w:highlight w:val="none"/>
        </w:rPr>
        <w:t>）施工污染影响</w:t>
      </w:r>
    </w:p>
    <w:p w14:paraId="2E95A406">
      <w:pPr>
        <w:pageBreakBefore w:val="0"/>
        <w:wordWrap/>
        <w:topLinePunct w:val="0"/>
        <w:bidi w:val="0"/>
        <w:spacing w:line="360" w:lineRule="auto"/>
        <w:rPr>
          <w:color w:val="000000" w:themeColor="text1"/>
          <w:highlight w:val="none"/>
        </w:rPr>
      </w:pPr>
      <w:r>
        <w:rPr>
          <w:rFonts w:hint="eastAsia"/>
          <w:color w:val="000000" w:themeColor="text1"/>
          <w:highlight w:val="none"/>
        </w:rPr>
        <w:t>本项目所在区域跨越河流水质均较好，桥梁施工、水中桥墩的建设可能带来水体污染物和悬浮物浓度的短期增加，对河流水质和鱼类生境带来不利影响，施工噪声、人为干扰等都将对鱼类生存栖息带来不利影响，对水体扰动结束后，施工区域的水生生物会重新出现，采取防治措施后对水生生物影响较小。</w:t>
      </w:r>
    </w:p>
    <w:p w14:paraId="63FC2761">
      <w:pPr>
        <w:pageBreakBefore w:val="0"/>
        <w:wordWrap/>
        <w:topLinePunct w:val="0"/>
        <w:bidi w:val="0"/>
        <w:spacing w:line="360" w:lineRule="auto"/>
        <w:rPr>
          <w:color w:val="000000" w:themeColor="text1"/>
          <w:highlight w:val="none"/>
        </w:rPr>
      </w:pPr>
      <w:r>
        <w:rPr>
          <w:color w:val="000000" w:themeColor="text1"/>
          <w:highlight w:val="none"/>
        </w:rPr>
        <w:t>（3）对鱼类</w:t>
      </w:r>
      <w:r>
        <w:rPr>
          <w:rFonts w:hint="eastAsia"/>
          <w:color w:val="000000" w:themeColor="text1"/>
          <w:highlight w:val="none"/>
        </w:rPr>
        <w:t>自然产卵场及索饵场、越冬场和洄游通道影响</w:t>
      </w:r>
    </w:p>
    <w:p w14:paraId="5A46A280">
      <w:pPr>
        <w:pageBreakBefore w:val="0"/>
        <w:wordWrap/>
        <w:topLinePunct w:val="0"/>
        <w:bidi w:val="0"/>
        <w:spacing w:line="360" w:lineRule="auto"/>
        <w:rPr>
          <w:color w:val="000000" w:themeColor="text1"/>
          <w:highlight w:val="none"/>
        </w:rPr>
      </w:pPr>
      <w:r>
        <w:rPr>
          <w:color w:val="000000" w:themeColor="text1"/>
          <w:highlight w:val="none"/>
        </w:rPr>
        <w:t>根据现状调查分析，本项目跨越水体为</w:t>
      </w:r>
      <w:r>
        <w:rPr>
          <w:rFonts w:hint="eastAsia"/>
          <w:color w:val="000000" w:themeColor="text1"/>
          <w:highlight w:val="none"/>
          <w:lang w:val="en-US" w:eastAsia="zh-CN"/>
        </w:rPr>
        <w:t>路北一支干渠和朝鲜河</w:t>
      </w:r>
      <w:r>
        <w:rPr>
          <w:color w:val="000000" w:themeColor="text1"/>
          <w:highlight w:val="none"/>
        </w:rPr>
        <w:t>，无集中的鱼类产卵场、索饵场、越冬场</w:t>
      </w:r>
      <w:r>
        <w:rPr>
          <w:rFonts w:hint="eastAsia"/>
          <w:color w:val="000000" w:themeColor="text1"/>
          <w:highlight w:val="none"/>
        </w:rPr>
        <w:t>及洄游通道</w:t>
      </w:r>
      <w:r>
        <w:rPr>
          <w:color w:val="000000" w:themeColor="text1"/>
          <w:highlight w:val="none"/>
        </w:rPr>
        <w:t>分布</w:t>
      </w:r>
      <w:r>
        <w:rPr>
          <w:rFonts w:hint="eastAsia"/>
          <w:color w:val="000000" w:themeColor="text1"/>
          <w:highlight w:val="none"/>
        </w:rPr>
        <w:t>。</w:t>
      </w:r>
    </w:p>
    <w:p w14:paraId="2335121F">
      <w:pPr>
        <w:pageBreakBefore w:val="0"/>
        <w:wordWrap/>
        <w:topLinePunct w:val="0"/>
        <w:bidi w:val="0"/>
        <w:spacing w:line="360" w:lineRule="auto"/>
        <w:rPr>
          <w:color w:val="000000" w:themeColor="text1"/>
          <w:highlight w:val="none"/>
        </w:rPr>
      </w:pPr>
      <w:r>
        <w:rPr>
          <w:rFonts w:hint="eastAsia"/>
          <w:color w:val="000000" w:themeColor="text1"/>
          <w:highlight w:val="none"/>
        </w:rPr>
        <w:t>施工期跨河桥梁的建设将会导致水质、水体酸碱度的变化和悬浮物的增加，施工废水、施工人员的生活污水若不经处理直接排放到附近水体中，从而影响水体水环境质量，会导致施工影响河段鱼类种群数量减少。</w:t>
      </w:r>
    </w:p>
    <w:p w14:paraId="29A2A3E4">
      <w:pPr>
        <w:pageBreakBefore w:val="0"/>
        <w:wordWrap/>
        <w:topLinePunct w:val="0"/>
        <w:bidi w:val="0"/>
        <w:adjustRightInd/>
        <w:snapToGrid/>
        <w:spacing w:line="360" w:lineRule="auto"/>
        <w:rPr>
          <w:color w:val="000000" w:themeColor="text1"/>
          <w:highlight w:val="none"/>
        </w:rPr>
      </w:pPr>
      <w:r>
        <w:rPr>
          <w:rFonts w:hint="eastAsia"/>
          <w:color w:val="000000" w:themeColor="text1"/>
          <w:highlight w:val="none"/>
        </w:rPr>
        <w:t>桥梁施工、便桥车辆运行将产生一定的噪音，而水生生物尤其是鱼类对外界声音特别敏感，过高的噪音一方面会驱使鱼类避开噪音源，挤压鱼类栖息地空间。</w:t>
      </w:r>
    </w:p>
    <w:p w14:paraId="543C4823">
      <w:pPr>
        <w:pageBreakBefore w:val="0"/>
        <w:wordWrap/>
        <w:topLinePunct w:val="0"/>
        <w:bidi w:val="0"/>
        <w:adjustRightInd/>
        <w:snapToGrid/>
        <w:spacing w:line="360" w:lineRule="auto"/>
        <w:rPr>
          <w:color w:val="000000" w:themeColor="text1"/>
          <w:highlight w:val="none"/>
        </w:rPr>
      </w:pPr>
      <w:r>
        <w:rPr>
          <w:rFonts w:hint="eastAsia"/>
          <w:color w:val="000000" w:themeColor="text1"/>
          <w:highlight w:val="none"/>
        </w:rPr>
        <w:t>（4）对其他水生生物的影响</w:t>
      </w:r>
    </w:p>
    <w:p w14:paraId="60A4BF7F">
      <w:pPr>
        <w:pageBreakBefore w:val="0"/>
        <w:wordWrap/>
        <w:topLinePunct w:val="0"/>
        <w:bidi w:val="0"/>
        <w:adjustRightInd/>
        <w:snapToGrid/>
        <w:spacing w:line="360" w:lineRule="auto"/>
        <w:rPr>
          <w:color w:val="000000" w:themeColor="text1"/>
          <w:highlight w:val="none"/>
        </w:rPr>
      </w:pPr>
      <w:r>
        <w:rPr>
          <w:rFonts w:hint="eastAsia"/>
          <w:color w:val="000000" w:themeColor="text1"/>
          <w:highlight w:val="none"/>
        </w:rPr>
        <w:t>工程在施工期间，水中桥墩打桩施工、便桥施工、围堰、桥墩基础、架梁、石笼护坡等施工，都将对水域环境和岸边自然植被造成破坏。同时，施工产生大量的固体垃圾（残土）以及施工机械工作所带来的废水等，都将使水体的泥砂含量、混浊度、悬浮物增加，直接影响浮游生物的生长繁殖，对浮游生物的影响仅限于施工期间、施工局部水域，对其他水域不会带来影响。</w:t>
      </w:r>
    </w:p>
    <w:p w14:paraId="5D075CC5">
      <w:pPr>
        <w:pageBreakBefore w:val="0"/>
        <w:wordWrap/>
        <w:topLinePunct w:val="0"/>
        <w:bidi w:val="0"/>
        <w:adjustRightInd/>
        <w:snapToGrid/>
        <w:spacing w:line="360" w:lineRule="auto"/>
        <w:rPr>
          <w:color w:val="000000" w:themeColor="text1"/>
          <w:highlight w:val="none"/>
        </w:rPr>
      </w:pPr>
      <w:r>
        <w:rPr>
          <w:rFonts w:hint="eastAsia"/>
          <w:color w:val="000000" w:themeColor="text1"/>
          <w:highlight w:val="none"/>
        </w:rPr>
        <w:t>工程施工导致的悬浮物的增加，不利于底栖动物的正常呼吸、摄食、攀附、生长和繁殖。但这部分底栖动物随着工程的结束、运行，经过一段时间将会恢复到原生态状态。</w:t>
      </w:r>
    </w:p>
    <w:p w14:paraId="351F683B">
      <w:pPr>
        <w:pageBreakBefore w:val="0"/>
        <w:wordWrap/>
        <w:topLinePunct w:val="0"/>
        <w:bidi w:val="0"/>
        <w:adjustRightInd/>
        <w:snapToGrid/>
        <w:spacing w:line="360" w:lineRule="auto"/>
        <w:rPr>
          <w:rFonts w:hint="eastAsia"/>
          <w:color w:val="000000" w:themeColor="text1"/>
          <w:highlight w:val="none"/>
        </w:rPr>
      </w:pPr>
      <w:r>
        <w:rPr>
          <w:rFonts w:hint="eastAsia"/>
          <w:color w:val="000000" w:themeColor="text1"/>
          <w:highlight w:val="none"/>
        </w:rPr>
        <w:t>工程施工将对岸边水生植物造成破坏，水生维管植物种类、数量、分布将减少。因此，在施工期间要加强有效的保护措施，使影响降到最低，同时，运营后加大生态修复力度，恢复原生态。</w:t>
      </w:r>
    </w:p>
    <w:p w14:paraId="6C9B3B26">
      <w:pPr>
        <w:pageBreakBefore w:val="0"/>
        <w:wordWrap/>
        <w:topLinePunct w:val="0"/>
        <w:bidi w:val="0"/>
        <w:adjustRightInd/>
        <w:snapToGrid/>
        <w:spacing w:line="360" w:lineRule="auto"/>
        <w:rPr>
          <w:rFonts w:hint="eastAsia"/>
          <w:color w:val="000000" w:themeColor="text1"/>
          <w:highlight w:val="none"/>
        </w:rPr>
      </w:pPr>
      <w:r>
        <w:rPr>
          <w:rFonts w:hint="eastAsia"/>
          <w:color w:val="000000" w:themeColor="text1"/>
          <w:highlight w:val="none"/>
          <w:lang w:val="en-US" w:eastAsia="zh-CN"/>
        </w:rPr>
        <w:t>综上，项目施工期对水生生物影响较小。</w:t>
      </w:r>
    </w:p>
    <w:p w14:paraId="03003300">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5.1.3.</w:t>
      </w:r>
      <w:r>
        <w:rPr>
          <w:rFonts w:hint="eastAsia"/>
          <w:color w:val="000000" w:themeColor="text1"/>
          <w:highlight w:val="none"/>
          <w:lang w:val="en-US" w:eastAsia="zh-CN"/>
        </w:rPr>
        <w:t>7对</w:t>
      </w:r>
      <w:r>
        <w:rPr>
          <w:color w:val="000000" w:themeColor="text1"/>
          <w:highlight w:val="none"/>
        </w:rPr>
        <w:t>景观</w:t>
      </w:r>
      <w:r>
        <w:rPr>
          <w:rFonts w:hint="eastAsia"/>
          <w:color w:val="000000" w:themeColor="text1"/>
          <w:highlight w:val="none"/>
          <w:lang w:val="en-US" w:eastAsia="zh-CN"/>
        </w:rPr>
        <w:t>的影响</w:t>
      </w:r>
    </w:p>
    <w:p w14:paraId="1CC3F010">
      <w:pPr>
        <w:pageBreakBefore w:val="0"/>
        <w:wordWrap/>
        <w:topLinePunct w:val="0"/>
        <w:bidi w:val="0"/>
        <w:spacing w:line="360" w:lineRule="auto"/>
        <w:rPr>
          <w:color w:val="000000" w:themeColor="text1"/>
          <w:highlight w:val="none"/>
        </w:rPr>
      </w:pPr>
      <w:r>
        <w:rPr>
          <w:color w:val="000000" w:themeColor="text1"/>
          <w:highlight w:val="none"/>
        </w:rPr>
        <w:t>本工程施工过程中，对周围景观影响将主要表现在以下方面：</w:t>
      </w:r>
    </w:p>
    <w:p w14:paraId="7EADE5DD">
      <w:pPr>
        <w:pageBreakBefore w:val="0"/>
        <w:wordWrap/>
        <w:topLinePunct w:val="0"/>
        <w:bidi w:val="0"/>
        <w:spacing w:line="360" w:lineRule="auto"/>
        <w:rPr>
          <w:color w:val="000000" w:themeColor="text1"/>
          <w:highlight w:val="none"/>
        </w:rPr>
      </w:pPr>
      <w:r>
        <w:rPr>
          <w:color w:val="000000" w:themeColor="text1"/>
          <w:highlight w:val="none"/>
        </w:rPr>
        <w:t>（1）施工过程中基础开挖、土石方、建筑材料堆放</w:t>
      </w:r>
      <w:r>
        <w:rPr>
          <w:rFonts w:hint="eastAsia"/>
          <w:color w:val="000000" w:themeColor="text1"/>
          <w:highlight w:val="none"/>
        </w:rPr>
        <w:t>、</w:t>
      </w:r>
      <w:r>
        <w:rPr>
          <w:color w:val="000000" w:themeColor="text1"/>
          <w:highlight w:val="none"/>
        </w:rPr>
        <w:t>施工垃圾临时堆放等，将会影响周围卫生环境和景观。</w:t>
      </w:r>
    </w:p>
    <w:p w14:paraId="02C034F5">
      <w:pPr>
        <w:pageBreakBefore w:val="0"/>
        <w:wordWrap/>
        <w:topLinePunct w:val="0"/>
        <w:bidi w:val="0"/>
        <w:spacing w:line="360" w:lineRule="auto"/>
        <w:rPr>
          <w:color w:val="000000" w:themeColor="text1"/>
          <w:highlight w:val="none"/>
        </w:rPr>
      </w:pPr>
      <w:r>
        <w:rPr>
          <w:color w:val="000000" w:themeColor="text1"/>
          <w:highlight w:val="none"/>
        </w:rPr>
        <w:t>（2）施工过程临时建筑物或机械设备摆放，护栏、围布等隔离措施设置也会给周围景观带来不协调因素。</w:t>
      </w:r>
    </w:p>
    <w:p w14:paraId="135699C8">
      <w:pPr>
        <w:pageBreakBefore w:val="0"/>
        <w:wordWrap/>
        <w:topLinePunct w:val="0"/>
        <w:bidi w:val="0"/>
        <w:spacing w:line="360" w:lineRule="auto"/>
        <w:rPr>
          <w:color w:val="000000" w:themeColor="text1"/>
          <w:highlight w:val="none"/>
        </w:rPr>
      </w:pPr>
      <w:r>
        <w:rPr>
          <w:color w:val="000000" w:themeColor="text1"/>
          <w:highlight w:val="none"/>
        </w:rPr>
        <w:t>（3）施工机械噪声、扬尘、废气、废物及施工排水等会对周围环境造成污染，对周围景观带来一定破坏。</w:t>
      </w:r>
    </w:p>
    <w:p w14:paraId="2F204E52">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施工期对景观的影响较为短暂，随着路基边坡的防护、绿化美化，施工现场的清理，沿线自然景观将逐渐恢复；在运营期，现代化交通的建筑融入周围景观中，增加视觉美感。</w:t>
      </w:r>
    </w:p>
    <w:p w14:paraId="5425C040">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综上，项目施工期对景观影响较小</w:t>
      </w:r>
      <w:r>
        <w:rPr>
          <w:color w:val="000000" w:themeColor="text1"/>
          <w:highlight w:val="none"/>
        </w:rPr>
        <w:t>。</w:t>
      </w:r>
    </w:p>
    <w:p w14:paraId="380BE8FF">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5.1.3.</w:t>
      </w:r>
      <w:r>
        <w:rPr>
          <w:rFonts w:hint="eastAsia"/>
          <w:color w:val="000000" w:themeColor="text1"/>
          <w:highlight w:val="none"/>
          <w:lang w:val="en-US" w:eastAsia="zh-CN"/>
        </w:rPr>
        <w:t>8对生物多样性</w:t>
      </w:r>
      <w:r>
        <w:rPr>
          <w:rFonts w:hint="eastAsia"/>
          <w:color w:val="000000" w:themeColor="text1"/>
          <w:highlight w:val="none"/>
        </w:rPr>
        <w:t>的</w:t>
      </w:r>
      <w:r>
        <w:rPr>
          <w:color w:val="000000" w:themeColor="text1"/>
          <w:highlight w:val="none"/>
        </w:rPr>
        <w:t>影响</w:t>
      </w:r>
    </w:p>
    <w:p w14:paraId="426235AF">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根据上文分析，本项目的建设对区域陆生动植物的种群数量、物种丰富度、分布情况、群落结构不会产生较大影响;不会产生明显的生境分割、阻隔、破碎化，且在评价区周边分布有大量适宜野生动植物生存的相似生境，对生境的影响较小;通过绿化或植被恢复，将大大弥补生态功能损失，对区域生态系统结构和功能不会造成明显影响。综合上述对物种、生境及生态系统的影响程度，可判定本项目建设对区域生物多样性的影响较低。</w:t>
      </w:r>
    </w:p>
    <w:p w14:paraId="0259A2D6">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5.1.3.</w:t>
      </w:r>
      <w:r>
        <w:rPr>
          <w:rFonts w:hint="eastAsia"/>
          <w:color w:val="000000" w:themeColor="text1"/>
          <w:highlight w:val="none"/>
          <w:lang w:val="en-US" w:eastAsia="zh-CN"/>
        </w:rPr>
        <w:t>9评价结论</w:t>
      </w:r>
    </w:p>
    <w:p w14:paraId="790253EE">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 xml:space="preserve">项目新增占地对整个评价范围变化影响较小，不会导致沿线土地利用格局发生明显变化；项目施工期对区域内植被影响较小。项目施工期采取一定降噪、减震措施下基本不会对动物造成影响。项目施工期相对较短，桥涵施工过程中选择枯水期施工，对水生生物的影响较小。随着项目路基边坡的防护、绿化美化，施工现场的清理，沿线自然景观将逐渐恢复，对景观生态的影响较小。剥离表土四周应采用编织袋装土拦挡措施，上部进行苫盖，防止水土流失；项目建成后进行生态恢复工作。 </w:t>
      </w:r>
    </w:p>
    <w:p w14:paraId="51943CBF">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综上所述，项目施工期对区域生态环境的影响可以接受，从环境保护的角度分析，项目选线及建设是可行的。</w:t>
      </w:r>
    </w:p>
    <w:p w14:paraId="1A4A503E">
      <w:pPr>
        <w:pStyle w:val="4"/>
        <w:pageBreakBefore w:val="0"/>
        <w:wordWrap/>
        <w:topLinePunct w:val="0"/>
        <w:bidi w:val="0"/>
        <w:spacing w:before="156" w:line="360" w:lineRule="auto"/>
        <w:rPr>
          <w:color w:val="000000" w:themeColor="text1"/>
          <w:highlight w:val="none"/>
        </w:rPr>
      </w:pPr>
      <w:r>
        <w:rPr>
          <w:rFonts w:hint="eastAsia"/>
          <w:color w:val="000000" w:themeColor="text1"/>
          <w:highlight w:val="none"/>
        </w:rPr>
        <w:t>5.1.2</w:t>
      </w:r>
      <w:r>
        <w:rPr>
          <w:color w:val="000000" w:themeColor="text1"/>
          <w:highlight w:val="none"/>
        </w:rPr>
        <w:t>运营期</w:t>
      </w:r>
    </w:p>
    <w:p w14:paraId="74D66269">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5.1.2.1</w:t>
      </w:r>
      <w:r>
        <w:rPr>
          <w:rFonts w:hint="eastAsia"/>
          <w:color w:val="000000" w:themeColor="text1"/>
          <w:highlight w:val="none"/>
          <w:lang w:val="en-US" w:eastAsia="zh-CN"/>
        </w:rPr>
        <w:t>影响方式</w:t>
      </w:r>
    </w:p>
    <w:p w14:paraId="16AB43CF">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（1）交通噪声</w:t>
      </w:r>
    </w:p>
    <w:p w14:paraId="0B0F7221">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项目运营期车辆运输会产生交通噪声，可能会驱散附近动物。</w:t>
      </w:r>
    </w:p>
    <w:p w14:paraId="3AD58DE7">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主要影响对象为动物的分布等。</w:t>
      </w:r>
    </w:p>
    <w:p w14:paraId="1967936B">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（2）阻隔及景观</w:t>
      </w:r>
    </w:p>
    <w:p w14:paraId="608E1709">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项目运营期路基路面等建筑物可能会对动植物生境的产生切割及阻隔影响。工程路面等永久占地会使占地区原有景观改变，取而代之的是人为景观，可能对评价区自然景观会产生不利影响。</w:t>
      </w:r>
    </w:p>
    <w:p w14:paraId="2FC4F45F">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主要影响对象为生态系统、生物多样性、自然景观、土地类型、动植物多样性。</w:t>
      </w:r>
    </w:p>
    <w:p w14:paraId="3B91BD23">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5.1.2.</w:t>
      </w:r>
      <w:r>
        <w:rPr>
          <w:rFonts w:hint="eastAsia"/>
          <w:color w:val="000000" w:themeColor="text1"/>
          <w:highlight w:val="none"/>
          <w:lang w:val="en-US" w:eastAsia="zh-CN"/>
        </w:rPr>
        <w:t>2对</w:t>
      </w:r>
      <w:r>
        <w:rPr>
          <w:color w:val="000000" w:themeColor="text1"/>
          <w:highlight w:val="none"/>
        </w:rPr>
        <w:t>土地利用</w:t>
      </w:r>
      <w:r>
        <w:rPr>
          <w:rFonts w:hint="eastAsia"/>
          <w:color w:val="000000" w:themeColor="text1"/>
          <w:highlight w:val="none"/>
          <w:lang w:val="en-US" w:eastAsia="zh-CN"/>
        </w:rPr>
        <w:t>的影响</w:t>
      </w:r>
    </w:p>
    <w:p w14:paraId="743E35D6">
      <w:pPr>
        <w:pageBreakBefore w:val="0"/>
        <w:wordWrap/>
        <w:topLinePunct w:val="0"/>
        <w:bidi w:val="0"/>
        <w:spacing w:line="360" w:lineRule="auto"/>
        <w:rPr>
          <w:color w:val="000000" w:themeColor="text1"/>
          <w:highlight w:val="none"/>
        </w:rPr>
      </w:pPr>
      <w:r>
        <w:rPr>
          <w:color w:val="000000" w:themeColor="text1"/>
          <w:highlight w:val="none"/>
        </w:rPr>
        <w:t>本工程对沿线土地利用的影响主要为永久性占地造成的影响，</w:t>
      </w:r>
      <w:r>
        <w:rPr>
          <w:rFonts w:hint="eastAsia"/>
          <w:color w:val="000000" w:themeColor="text1"/>
          <w:highlight w:val="none"/>
        </w:rPr>
        <w:t>新增</w:t>
      </w:r>
      <w:r>
        <w:rPr>
          <w:color w:val="000000" w:themeColor="text1"/>
          <w:highlight w:val="none"/>
        </w:rPr>
        <w:t>永久占地</w:t>
      </w:r>
      <w:r>
        <w:rPr>
          <w:rFonts w:hint="eastAsia"/>
          <w:color w:val="000000" w:themeColor="text1"/>
          <w:highlight w:val="none"/>
          <w:lang w:val="en-US" w:eastAsia="zh-CN"/>
        </w:rPr>
        <w:t>19.1083hm</w:t>
      </w:r>
      <w:r>
        <w:rPr>
          <w:rFonts w:hint="eastAsia"/>
          <w:color w:val="000000" w:themeColor="text1"/>
          <w:highlight w:val="none"/>
          <w:vertAlign w:val="superscript"/>
          <w:lang w:val="en-US" w:eastAsia="zh-CN"/>
        </w:rPr>
        <w:t>2</w:t>
      </w:r>
      <w:r>
        <w:rPr>
          <w:rFonts w:hint="eastAsia"/>
          <w:color w:val="000000" w:themeColor="text1"/>
          <w:highlight w:val="none"/>
        </w:rPr>
        <w:t>。</w:t>
      </w:r>
      <w:r>
        <w:rPr>
          <w:color w:val="000000" w:themeColor="text1"/>
          <w:highlight w:val="none"/>
        </w:rPr>
        <w:t>公路对土地的永久占用，将使被占地范围内的土壤理化性质发生改变，破坏原来宜农、宜林、宜草土壤结构及肥力，导致该范围内的土壤不能或不宜作耕作、种植土壤。公路永久占地将使土地利用格局发生改变，由农用地转变为建设用地。公路征地范围外的用地基本不受公路运营的影响，可继续保持其土地利用功能。</w:t>
      </w:r>
    </w:p>
    <w:p w14:paraId="1F652F82">
      <w:pPr>
        <w:pageBreakBefore w:val="0"/>
        <w:wordWrap/>
        <w:topLinePunct w:val="0"/>
        <w:bidi w:val="0"/>
        <w:spacing w:line="360" w:lineRule="auto"/>
        <w:rPr>
          <w:color w:val="000000" w:themeColor="text1"/>
          <w:highlight w:val="none"/>
        </w:rPr>
      </w:pPr>
      <w:r>
        <w:rPr>
          <w:color w:val="000000" w:themeColor="text1"/>
          <w:highlight w:val="none"/>
        </w:rPr>
        <w:t>本项目永久占地中占用耕地</w:t>
      </w:r>
      <w:r>
        <w:rPr>
          <w:rFonts w:hint="eastAsia"/>
          <w:color w:val="000000" w:themeColor="text1"/>
          <w:kern w:val="0"/>
          <w:highlight w:val="none"/>
          <w:lang w:val="en-US" w:eastAsia="zh-CN"/>
        </w:rPr>
        <w:t>12.0213</w:t>
      </w:r>
      <w:r>
        <w:rPr>
          <w:color w:val="000000" w:themeColor="text1"/>
          <w:highlight w:val="none"/>
        </w:rPr>
        <w:t>hm</w:t>
      </w:r>
      <w:r>
        <w:rPr>
          <w:color w:val="000000" w:themeColor="text1"/>
          <w:highlight w:val="none"/>
          <w:vertAlign w:val="superscript"/>
        </w:rPr>
        <w:t>2</w:t>
      </w:r>
      <w:r>
        <w:rPr>
          <w:color w:val="000000" w:themeColor="text1"/>
          <w:highlight w:val="none"/>
        </w:rPr>
        <w:t>，按照</w:t>
      </w:r>
      <w:r>
        <w:rPr>
          <w:rFonts w:hint="eastAsia"/>
          <w:color w:val="000000" w:themeColor="text1"/>
          <w:highlight w:val="none"/>
        </w:rPr>
        <w:t>黑龙江省</w:t>
      </w:r>
      <w:r>
        <w:rPr>
          <w:color w:val="000000" w:themeColor="text1"/>
          <w:highlight w:val="none"/>
        </w:rPr>
        <w:t>人民政府制定的耕地开垦费标准向当地国土部门足额缴纳，委托当地国土部门组织开垦与被占用耕地数量和质量相当的耕地，以保证耕地保有量不因本项目的建设而减少，实现耕地的占补平衡。</w:t>
      </w:r>
    </w:p>
    <w:p w14:paraId="7DA651DE">
      <w:pPr>
        <w:pageBreakBefore w:val="0"/>
        <w:wordWrap/>
        <w:topLinePunct w:val="0"/>
        <w:bidi w:val="0"/>
        <w:spacing w:line="360" w:lineRule="auto"/>
        <w:rPr>
          <w:color w:val="000000" w:themeColor="text1"/>
          <w:highlight w:val="none"/>
        </w:rPr>
      </w:pPr>
      <w:r>
        <w:rPr>
          <w:color w:val="000000" w:themeColor="text1"/>
          <w:highlight w:val="none"/>
        </w:rPr>
        <w:t>总的来看，公路建设占地对于评价区土地利用格局影响较小，仅对土地利用性质和功能，以及土壤理化性质变化造成一定程度影响，这也是公路建设不可避免的，但从整个评价区来看，公路占地对土地利用格局的影响并不显著。</w:t>
      </w:r>
    </w:p>
    <w:p w14:paraId="6BC6B69C">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5.1.2.</w:t>
      </w:r>
      <w:r>
        <w:rPr>
          <w:rFonts w:hint="eastAsia"/>
          <w:color w:val="000000" w:themeColor="text1"/>
          <w:highlight w:val="none"/>
          <w:lang w:val="en-US" w:eastAsia="zh-CN"/>
        </w:rPr>
        <w:t>3对</w:t>
      </w:r>
      <w:r>
        <w:rPr>
          <w:rFonts w:hint="eastAsia"/>
          <w:color w:val="000000" w:themeColor="text1"/>
          <w:highlight w:val="none"/>
        </w:rPr>
        <w:t>植被</w:t>
      </w:r>
      <w:r>
        <w:rPr>
          <w:rFonts w:hint="eastAsia"/>
          <w:color w:val="000000" w:themeColor="text1"/>
          <w:highlight w:val="none"/>
          <w:lang w:val="en-US" w:eastAsia="zh-CN"/>
        </w:rPr>
        <w:t>的影响</w:t>
      </w:r>
    </w:p>
    <w:p w14:paraId="59751F75">
      <w:pPr>
        <w:pageBreakBefore w:val="0"/>
        <w:wordWrap/>
        <w:topLinePunct w:val="0"/>
        <w:bidi w:val="0"/>
        <w:spacing w:line="360" w:lineRule="auto"/>
        <w:rPr>
          <w:color w:val="000000" w:themeColor="text1"/>
          <w:highlight w:val="none"/>
        </w:rPr>
      </w:pPr>
      <w:r>
        <w:rPr>
          <w:rFonts w:hint="eastAsia"/>
          <w:color w:val="000000" w:themeColor="text1"/>
          <w:highlight w:val="none"/>
        </w:rPr>
        <w:t>（1）边缘效应影响</w:t>
      </w:r>
    </w:p>
    <w:p w14:paraId="6A56CD25">
      <w:pPr>
        <w:pageBreakBefore w:val="0"/>
        <w:wordWrap/>
        <w:topLinePunct w:val="0"/>
        <w:bidi w:val="0"/>
        <w:spacing w:line="360" w:lineRule="auto"/>
        <w:rPr>
          <w:color w:val="000000" w:themeColor="text1"/>
          <w:highlight w:val="none"/>
        </w:rPr>
      </w:pPr>
      <w:r>
        <w:rPr>
          <w:rFonts w:hint="eastAsia"/>
          <w:color w:val="000000" w:themeColor="text1"/>
          <w:highlight w:val="none"/>
        </w:rPr>
        <w:t>公路建成后永久占地内农田、林</w:t>
      </w:r>
      <w:r>
        <w:rPr>
          <w:color w:val="000000" w:themeColor="text1"/>
          <w:highlight w:val="none"/>
        </w:rPr>
        <w:t>地等</w:t>
      </w:r>
      <w:r>
        <w:rPr>
          <w:rFonts w:hint="eastAsia"/>
          <w:color w:val="000000" w:themeColor="text1"/>
          <w:highlight w:val="none"/>
        </w:rPr>
        <w:t>植被将完全被破坏，取而代之的是路面，形成建筑用地类型。本项目所在区域地势平坦，土地类型以农田为主兼有少量林地，</w:t>
      </w:r>
      <w:r>
        <w:rPr>
          <w:rFonts w:hint="eastAsia"/>
          <w:color w:val="000000" w:themeColor="text1"/>
          <w:highlight w:val="none"/>
          <w:lang w:val="en-US" w:eastAsia="zh-CN"/>
        </w:rPr>
        <w:t>故</w:t>
      </w:r>
      <w:r>
        <w:rPr>
          <w:rFonts w:hint="eastAsia"/>
          <w:color w:val="000000" w:themeColor="text1"/>
          <w:highlight w:val="none"/>
        </w:rPr>
        <w:t>农田群落产生的边缘效应基本不会改变项目两侧的植被类型。项目穿越林地后将原来整片的林地分隔出一条带状空地，使森林群落产生林缘效应，从森林边缘向林内，光辐射、温度、湿度、风等因素都会发生改变，而这种小气候的变化会导致森林边缘的植物、动物和微生物等沿林缘一林内发生不同程度的变化，边缘对小气候的这种影响一般可从林缘延伸至林内15~60m处。</w:t>
      </w:r>
    </w:p>
    <w:p w14:paraId="03F47717">
      <w:pPr>
        <w:pageBreakBefore w:val="0"/>
        <w:wordWrap/>
        <w:topLinePunct w:val="0"/>
        <w:bidi w:val="0"/>
        <w:spacing w:line="360" w:lineRule="auto"/>
        <w:rPr>
          <w:color w:val="000000" w:themeColor="text1"/>
          <w:highlight w:val="none"/>
        </w:rPr>
      </w:pPr>
      <w:r>
        <w:rPr>
          <w:rFonts w:hint="eastAsia"/>
          <w:color w:val="000000" w:themeColor="text1"/>
          <w:highlight w:val="none"/>
        </w:rPr>
        <w:t>（2）外来物种对当地生态系统的影响</w:t>
      </w:r>
    </w:p>
    <w:p w14:paraId="6903713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公路建成运营</w:t>
      </w:r>
      <w:r>
        <w:rPr>
          <w:rFonts w:hint="eastAsia"/>
          <w:color w:val="000000" w:themeColor="text1"/>
          <w:highlight w:val="none"/>
          <w:lang w:val="en-US" w:eastAsia="zh-CN"/>
        </w:rPr>
        <w:t>后</w:t>
      </w:r>
      <w:r>
        <w:rPr>
          <w:rFonts w:hint="eastAsia"/>
          <w:color w:val="000000" w:themeColor="text1"/>
          <w:highlight w:val="none"/>
        </w:rPr>
        <w:t>使评价区内交通条件得到改善，区内车流量及人口流动性也将增加。车辆进出及游人的一些无意识活动，可能会将一些外来种带入</w:t>
      </w:r>
      <w:r>
        <w:rPr>
          <w:rFonts w:hint="eastAsia"/>
          <w:color w:val="000000" w:themeColor="text1"/>
          <w:highlight w:val="none"/>
          <w:lang w:val="en-US" w:eastAsia="zh-CN"/>
        </w:rPr>
        <w:t>该区域</w:t>
      </w:r>
      <w:r>
        <w:rPr>
          <w:rFonts w:hint="eastAsia"/>
          <w:color w:val="000000" w:themeColor="text1"/>
          <w:highlight w:val="none"/>
        </w:rPr>
        <w:t>。虽然本地区气候环境恶劣，大部分</w:t>
      </w:r>
      <w:r>
        <w:rPr>
          <w:rFonts w:hint="eastAsia"/>
          <w:color w:val="000000" w:themeColor="text1"/>
          <w:highlight w:val="none"/>
          <w:lang w:val="en-US" w:eastAsia="zh-CN"/>
        </w:rPr>
        <w:t>外来</w:t>
      </w:r>
      <w:r>
        <w:rPr>
          <w:rFonts w:hint="eastAsia"/>
          <w:color w:val="000000" w:themeColor="text1"/>
          <w:highlight w:val="none"/>
        </w:rPr>
        <w:t>植物种类在本区域内无法生存，但运营期应注意外来物种入侵，以减少其带来的生态和经济损失。</w:t>
      </w:r>
    </w:p>
    <w:p w14:paraId="355E7E38">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综上所述，本项目运营期对森林生态系统及植被的影响较小。</w:t>
      </w:r>
    </w:p>
    <w:p w14:paraId="1C47938E">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5.1.2.</w:t>
      </w:r>
      <w:r>
        <w:rPr>
          <w:rFonts w:hint="eastAsia"/>
          <w:color w:val="000000" w:themeColor="text1"/>
          <w:highlight w:val="none"/>
          <w:lang w:val="en-US" w:eastAsia="zh-CN"/>
        </w:rPr>
        <w:t>4对</w:t>
      </w:r>
      <w:r>
        <w:rPr>
          <w:color w:val="000000" w:themeColor="text1"/>
          <w:highlight w:val="none"/>
        </w:rPr>
        <w:t>动物</w:t>
      </w:r>
      <w:r>
        <w:rPr>
          <w:rFonts w:hint="eastAsia"/>
          <w:color w:val="000000" w:themeColor="text1"/>
          <w:highlight w:val="none"/>
          <w:lang w:val="en-US" w:eastAsia="zh-CN"/>
        </w:rPr>
        <w:t>的影响</w:t>
      </w:r>
    </w:p>
    <w:p w14:paraId="55C68074">
      <w:pPr>
        <w:pageBreakBefore w:val="0"/>
        <w:wordWrap/>
        <w:topLinePunct w:val="0"/>
        <w:bidi w:val="0"/>
        <w:spacing w:line="360" w:lineRule="auto"/>
        <w:ind w:firstLine="600" w:firstLineChars="250"/>
        <w:rPr>
          <w:color w:val="000000" w:themeColor="text1"/>
          <w:highlight w:val="none"/>
        </w:rPr>
      </w:pPr>
      <w:r>
        <w:rPr>
          <w:color w:val="000000" w:themeColor="text1"/>
          <w:highlight w:val="none"/>
        </w:rPr>
        <w:t>公路建设运营期对陆生动物影响主要表现在分割完整的动物生存环境，加重生境的片段化及对动物阻隔影响。</w:t>
      </w:r>
    </w:p>
    <w:p w14:paraId="254870E9">
      <w:pPr>
        <w:pageBreakBefore w:val="0"/>
        <w:wordWrap/>
        <w:topLinePunct w:val="0"/>
        <w:bidi w:val="0"/>
        <w:spacing w:line="360" w:lineRule="auto"/>
        <w:ind w:firstLine="600" w:firstLineChars="250"/>
        <w:rPr>
          <w:color w:val="000000" w:themeColor="text1"/>
          <w:highlight w:val="none"/>
        </w:rPr>
      </w:pPr>
      <w:r>
        <w:rPr>
          <w:rFonts w:hint="eastAsia" w:cs="宋体"/>
          <w:color w:val="000000" w:themeColor="text1"/>
          <w:highlight w:val="none"/>
        </w:rPr>
        <w:t>①</w:t>
      </w:r>
      <w:r>
        <w:rPr>
          <w:color w:val="000000" w:themeColor="text1"/>
          <w:highlight w:val="none"/>
        </w:rPr>
        <w:t>生境片断化影响</w:t>
      </w:r>
    </w:p>
    <w:p w14:paraId="1D377172">
      <w:pPr>
        <w:pageBreakBefore w:val="0"/>
        <w:wordWrap/>
        <w:topLinePunct w:val="0"/>
        <w:bidi w:val="0"/>
        <w:spacing w:line="360" w:lineRule="auto"/>
        <w:rPr>
          <w:color w:val="000000" w:themeColor="text1"/>
          <w:highlight w:val="none"/>
        </w:rPr>
      </w:pPr>
      <w:r>
        <w:rPr>
          <w:rFonts w:hint="eastAsia"/>
          <w:color w:val="000000" w:themeColor="text1"/>
          <w:highlight w:val="none"/>
        </w:rPr>
        <w:t>本项目建成后将造成现有野生动物生境分割，线路两侧途径区域大部分为农田生境。根据调查情况，项目建设直接经过地区没有受国家保护的珍稀濒危野生动物存在，无大型野生动物栖息地，因此动物生境生境片断化对动物影响不大。</w:t>
      </w:r>
    </w:p>
    <w:p w14:paraId="18740868">
      <w:pPr>
        <w:pageBreakBefore w:val="0"/>
        <w:wordWrap/>
        <w:topLinePunct w:val="0"/>
        <w:bidi w:val="0"/>
        <w:spacing w:line="360" w:lineRule="auto"/>
        <w:ind w:firstLine="600" w:firstLineChars="250"/>
        <w:rPr>
          <w:color w:val="000000" w:themeColor="text1"/>
          <w:highlight w:val="none"/>
        </w:rPr>
      </w:pPr>
      <w:r>
        <w:rPr>
          <w:rFonts w:hint="eastAsia" w:cs="宋体"/>
          <w:color w:val="000000" w:themeColor="text1"/>
          <w:highlight w:val="none"/>
        </w:rPr>
        <w:t>②</w:t>
      </w:r>
      <w:r>
        <w:rPr>
          <w:color w:val="000000" w:themeColor="text1"/>
          <w:highlight w:val="none"/>
        </w:rPr>
        <w:t>动物阻隔影响</w:t>
      </w:r>
    </w:p>
    <w:p w14:paraId="48378B93">
      <w:pPr>
        <w:pageBreakBefore w:val="0"/>
        <w:wordWrap/>
        <w:topLinePunct w:val="0"/>
        <w:bidi w:val="0"/>
        <w:spacing w:line="360" w:lineRule="auto"/>
        <w:ind w:firstLine="600" w:firstLineChars="250"/>
        <w:rPr>
          <w:rFonts w:cs="宋体"/>
          <w:color w:val="000000" w:themeColor="text1"/>
          <w:highlight w:val="none"/>
        </w:rPr>
      </w:pPr>
      <w:r>
        <w:rPr>
          <w:rFonts w:hint="eastAsia"/>
          <w:color w:val="000000" w:themeColor="text1"/>
          <w:highlight w:val="none"/>
        </w:rPr>
        <w:t>本项目所在区域为平原区，地势平坦，以农田生态系统为主。区域常见物种包括蟾蜍、田鼠等，无大型野生动物分布，栖息地广泛分布在农田内，且农田为人工植被，具有区块分割特点。</w:t>
      </w:r>
    </w:p>
    <w:p w14:paraId="530DF7EB">
      <w:pPr>
        <w:pageBreakBefore w:val="0"/>
        <w:wordWrap/>
        <w:topLinePunct w:val="0"/>
        <w:bidi w:val="0"/>
        <w:adjustRightInd/>
        <w:snapToGrid/>
        <w:spacing w:line="360" w:lineRule="auto"/>
        <w:rPr>
          <w:rFonts w:hint="eastAsia" w:cs="宋体"/>
          <w:color w:val="000000" w:themeColor="text1"/>
          <w:highlight w:val="none"/>
          <w:lang w:eastAsia="zh-CN"/>
        </w:rPr>
      </w:pPr>
      <w:r>
        <w:rPr>
          <w:rFonts w:hint="eastAsia"/>
          <w:color w:val="000000" w:themeColor="text1"/>
          <w:highlight w:val="none"/>
          <w:lang w:val="en-US" w:eastAsia="zh-CN"/>
        </w:rPr>
        <w:t>本项目建成后为不封闭的等级公路，共设置桥梁3处，涵洞12道，可充分发挥通行作用，消除因公路建设而产生的分离和阻隔。</w:t>
      </w:r>
      <w:r>
        <w:rPr>
          <w:rFonts w:hint="eastAsia"/>
          <w:color w:val="000000" w:themeColor="text1"/>
          <w:highlight w:val="none"/>
        </w:rPr>
        <w:t>本公路所设的桥梁、涵洞从数量和长度上讲基本满足野生动物的通道的需要。桥梁下方的空间和涵洞作为下通道可满足两爬类、兽类和陆栖息鸟类通过的需要。</w:t>
      </w:r>
      <w:r>
        <w:rPr>
          <w:rFonts w:hint="eastAsia" w:cs="宋体"/>
          <w:color w:val="000000" w:themeColor="text1"/>
          <w:highlight w:val="none"/>
          <w:lang w:val="en-US" w:eastAsia="zh-CN"/>
        </w:rPr>
        <w:t>麻雀</w:t>
      </w:r>
      <w:r>
        <w:rPr>
          <w:rFonts w:cs="宋体"/>
          <w:color w:val="000000" w:themeColor="text1"/>
          <w:highlight w:val="none"/>
        </w:rPr>
        <w:t>、喜鹊等鸟类具有较好的飞翔能力，本公路对其迁移不会产生影响</w:t>
      </w:r>
      <w:r>
        <w:rPr>
          <w:rFonts w:hint="eastAsia" w:cs="宋体"/>
          <w:color w:val="000000" w:themeColor="text1"/>
          <w:highlight w:val="none"/>
          <w:lang w:eastAsia="zh-CN"/>
        </w:rPr>
        <w:t>。</w:t>
      </w:r>
    </w:p>
    <w:p w14:paraId="3EB542B0">
      <w:pPr>
        <w:pageBreakBefore w:val="0"/>
        <w:wordWrap/>
        <w:topLinePunct w:val="0"/>
        <w:bidi w:val="0"/>
        <w:adjustRightInd/>
        <w:snapToGrid/>
        <w:spacing w:line="360" w:lineRule="auto"/>
        <w:rPr>
          <w:rFonts w:cs="宋体"/>
          <w:color w:val="000000" w:themeColor="text1"/>
          <w:highlight w:val="none"/>
        </w:rPr>
      </w:pPr>
      <w:r>
        <w:rPr>
          <w:rFonts w:hint="eastAsia" w:cs="宋体"/>
          <w:color w:val="000000" w:themeColor="text1"/>
          <w:highlight w:val="none"/>
          <w:lang w:val="en-US" w:eastAsia="zh-CN"/>
        </w:rPr>
        <w:t>综上所述，本项目运营期对动物影响较小。</w:t>
      </w:r>
    </w:p>
    <w:p w14:paraId="597B2713">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5.1.2.</w:t>
      </w:r>
      <w:r>
        <w:rPr>
          <w:rFonts w:hint="eastAsia"/>
          <w:color w:val="000000" w:themeColor="text1"/>
          <w:highlight w:val="none"/>
          <w:lang w:val="en-US" w:eastAsia="zh-CN"/>
        </w:rPr>
        <w:t>5对</w:t>
      </w:r>
      <w:r>
        <w:rPr>
          <w:color w:val="000000" w:themeColor="text1"/>
          <w:highlight w:val="none"/>
        </w:rPr>
        <w:t>水生</w:t>
      </w:r>
      <w:r>
        <w:rPr>
          <w:rFonts w:hint="eastAsia"/>
          <w:color w:val="000000" w:themeColor="text1"/>
          <w:highlight w:val="none"/>
          <w:lang w:val="en-US" w:eastAsia="zh-CN"/>
        </w:rPr>
        <w:t>生物的影响</w:t>
      </w:r>
    </w:p>
    <w:p w14:paraId="32960CD5">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项目沿线不设置服务区和收费站等集中式排污设施，故运营期不会对水生生物造成影响。</w:t>
      </w:r>
    </w:p>
    <w:p w14:paraId="6215780A">
      <w:pPr>
        <w:pStyle w:val="5"/>
        <w:pageBreakBefore w:val="0"/>
        <w:wordWrap/>
        <w:topLinePunct w:val="0"/>
        <w:bidi w:val="0"/>
        <w:spacing w:before="156" w:line="360" w:lineRule="auto"/>
        <w:rPr>
          <w:rFonts w:hint="default" w:eastAsia="宋体"/>
          <w:color w:val="000000" w:themeColor="text1"/>
          <w:highlight w:val="none"/>
          <w:lang w:val="en-US" w:eastAsia="zh-CN"/>
        </w:rPr>
      </w:pPr>
      <w:r>
        <w:rPr>
          <w:rFonts w:hint="eastAsia"/>
          <w:color w:val="000000" w:themeColor="text1"/>
          <w:highlight w:val="none"/>
        </w:rPr>
        <w:t>5.1.2.</w:t>
      </w:r>
      <w:r>
        <w:rPr>
          <w:rFonts w:hint="eastAsia"/>
          <w:color w:val="000000" w:themeColor="text1"/>
          <w:highlight w:val="none"/>
          <w:lang w:val="en-US" w:eastAsia="zh-CN"/>
        </w:rPr>
        <w:t>6对</w:t>
      </w:r>
      <w:r>
        <w:rPr>
          <w:color w:val="000000" w:themeColor="text1"/>
          <w:highlight w:val="none"/>
        </w:rPr>
        <w:t>景观</w:t>
      </w:r>
      <w:r>
        <w:rPr>
          <w:rFonts w:hint="eastAsia"/>
          <w:color w:val="000000" w:themeColor="text1"/>
          <w:highlight w:val="none"/>
          <w:lang w:val="en-US" w:eastAsia="zh-CN"/>
        </w:rPr>
        <w:t>的影响</w:t>
      </w:r>
    </w:p>
    <w:p w14:paraId="41645414">
      <w:pPr>
        <w:pageBreakBefore w:val="0"/>
        <w:wordWrap/>
        <w:topLinePunct w:val="0"/>
        <w:bidi w:val="0"/>
        <w:spacing w:line="360" w:lineRule="auto"/>
        <w:rPr>
          <w:color w:val="000000" w:themeColor="text1"/>
          <w:highlight w:val="none"/>
        </w:rPr>
      </w:pPr>
      <w:r>
        <w:rPr>
          <w:color w:val="000000" w:themeColor="text1"/>
          <w:highlight w:val="none"/>
        </w:rPr>
        <w:t>本项目为人工景观，呈带状在林地</w:t>
      </w:r>
      <w:r>
        <w:rPr>
          <w:rFonts w:hint="eastAsia"/>
          <w:color w:val="000000" w:themeColor="text1"/>
          <w:highlight w:val="none"/>
          <w:lang w:val="en-US" w:eastAsia="zh-CN"/>
        </w:rPr>
        <w:t>和</w:t>
      </w:r>
      <w:r>
        <w:rPr>
          <w:color w:val="000000" w:themeColor="text1"/>
          <w:highlight w:val="none"/>
        </w:rPr>
        <w:t>成片耕地之间，切割原有景观面貌，使其空间连续性和自然性被破坏，为永久影响，但评价区内绝大部分面积植被没有发生变化，因而保证生态系统功能的延续和对外界干扰的抵御。此外，公路黑色路面与周围绿色不相协调，对视觉有一定冲突。</w:t>
      </w:r>
      <w:r>
        <w:rPr>
          <w:rFonts w:hint="eastAsia"/>
          <w:color w:val="000000" w:themeColor="text1"/>
          <w:highlight w:val="none"/>
          <w:lang w:val="en-US" w:eastAsia="zh-CN"/>
        </w:rPr>
        <w:t>为降低上述影响，公路边坡均采取绿化措施，对周围景观的影响是可以接受的。</w:t>
      </w:r>
    </w:p>
    <w:p w14:paraId="004F76AF">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5.1.2.</w:t>
      </w:r>
      <w:r>
        <w:rPr>
          <w:rFonts w:hint="eastAsia"/>
          <w:color w:val="000000" w:themeColor="text1"/>
          <w:highlight w:val="none"/>
          <w:lang w:val="en-US" w:eastAsia="zh-CN"/>
        </w:rPr>
        <w:t>7评价结论</w:t>
      </w:r>
    </w:p>
    <w:p w14:paraId="6DA77A96">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对土地利用的影响主要发生在施工期，工程整体呈线性分布于沿线地区，线路横向影响范围较狭窄，因此对整个评价范围而言变化影响较小。项目沿线两侧大部分为农田，公路边缘效应在农田区不明显。项目建成后为不封闭的等级公路，基本不会对现有野生动物生境造成分割，动物生境片断化对动物影响不大；项目共设置桥梁3处，涵洞12道，可充分发挥通行作用，基本不会影响地面动物迁移途经、觅食等，对动物影响较小。项目沿线不设置服务区和收费站等集中式排污设施，故基本不会对水生生物造成影响。通过对公路边坡采取绿化措施，对周围景观的影响是可以接受的。</w:t>
      </w:r>
    </w:p>
    <w:p w14:paraId="5993D747">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综上所述，项目运营期对区域生态环境的影响可以接受，从环境保护的角度分析，项目选线及建设是可行的。</w:t>
      </w:r>
    </w:p>
    <w:p w14:paraId="3C78CAD3">
      <w:pPr>
        <w:pStyle w:val="3"/>
        <w:pageBreakBefore w:val="0"/>
        <w:wordWrap/>
        <w:topLinePunct w:val="0"/>
        <w:bidi w:val="0"/>
        <w:spacing w:line="360" w:lineRule="auto"/>
        <w:rPr>
          <w:color w:val="000000" w:themeColor="text1"/>
          <w:highlight w:val="none"/>
        </w:rPr>
      </w:pPr>
      <w:bookmarkStart w:id="358" w:name="_Toc2710"/>
      <w:bookmarkStart w:id="359" w:name="_Toc9701"/>
      <w:bookmarkStart w:id="360" w:name="_Toc954"/>
      <w:bookmarkStart w:id="361" w:name="_Toc14753"/>
      <w:bookmarkStart w:id="362" w:name="_Toc109991408"/>
      <w:bookmarkStart w:id="363" w:name="_Toc118981085"/>
      <w:bookmarkStart w:id="364" w:name="_Toc121999789"/>
      <w:bookmarkStart w:id="365" w:name="_Toc18797"/>
      <w:bookmarkStart w:id="366" w:name="_Toc208218283"/>
      <w:bookmarkStart w:id="367" w:name="_Toc110042398"/>
      <w:r>
        <w:rPr>
          <w:rFonts w:hint="eastAsia"/>
          <w:color w:val="000000" w:themeColor="text1"/>
          <w:highlight w:val="none"/>
        </w:rPr>
        <w:t>5.2</w:t>
      </w:r>
      <w:r>
        <w:rPr>
          <w:color w:val="000000" w:themeColor="text1"/>
          <w:highlight w:val="none"/>
        </w:rPr>
        <w:t>声环境</w:t>
      </w:r>
      <w:bookmarkEnd w:id="358"/>
      <w:bookmarkEnd w:id="359"/>
      <w:bookmarkEnd w:id="360"/>
      <w:bookmarkEnd w:id="361"/>
      <w:bookmarkEnd w:id="362"/>
      <w:bookmarkEnd w:id="363"/>
      <w:bookmarkEnd w:id="364"/>
      <w:bookmarkEnd w:id="365"/>
      <w:bookmarkEnd w:id="366"/>
      <w:bookmarkEnd w:id="367"/>
    </w:p>
    <w:p w14:paraId="6D317713">
      <w:pPr>
        <w:pStyle w:val="4"/>
        <w:pageBreakBefore w:val="0"/>
        <w:wordWrap/>
        <w:topLinePunct w:val="0"/>
        <w:bidi w:val="0"/>
        <w:spacing w:before="156" w:line="360" w:lineRule="auto"/>
        <w:rPr>
          <w:color w:val="000000" w:themeColor="text1"/>
          <w:highlight w:val="none"/>
        </w:rPr>
      </w:pPr>
      <w:bookmarkStart w:id="368" w:name="_Toc3505"/>
      <w:bookmarkStart w:id="369" w:name="_Toc2877"/>
      <w:r>
        <w:rPr>
          <w:rFonts w:hint="eastAsia"/>
          <w:color w:val="000000" w:themeColor="text1"/>
          <w:highlight w:val="none"/>
        </w:rPr>
        <w:t>5.2.1</w:t>
      </w:r>
      <w:r>
        <w:rPr>
          <w:color w:val="000000" w:themeColor="text1"/>
          <w:highlight w:val="none"/>
        </w:rPr>
        <w:t>施工期</w:t>
      </w:r>
      <w:bookmarkEnd w:id="368"/>
      <w:bookmarkEnd w:id="369"/>
    </w:p>
    <w:p w14:paraId="15A2FB06">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5.2.1.1</w:t>
      </w:r>
      <w:r>
        <w:rPr>
          <w:color w:val="000000" w:themeColor="text1"/>
          <w:highlight w:val="none"/>
        </w:rPr>
        <w:t>施工噪声预测模式</w:t>
      </w:r>
    </w:p>
    <w:p w14:paraId="6C64F6D9">
      <w:pPr>
        <w:pageBreakBefore w:val="0"/>
        <w:wordWrap/>
        <w:topLinePunct w:val="0"/>
        <w:bidi w:val="0"/>
        <w:spacing w:line="360" w:lineRule="auto"/>
        <w:rPr>
          <w:rFonts w:hint="default" w:ascii="Times New Roman" w:hAnsi="Times New Roman" w:cs="Times New Roman"/>
          <w:snapToGrid w:val="0"/>
          <w:color w:val="000000" w:themeColor="text1"/>
          <w:kern w:val="2"/>
          <w:sz w:val="24"/>
          <w:szCs w:val="24"/>
          <w:highlight w:val="none"/>
          <w:lang w:val="en-US" w:eastAsia="zh-CN" w:bidi="ar-SA"/>
        </w:rPr>
      </w:pPr>
      <w:r>
        <w:rPr>
          <w:rFonts w:hint="eastAsia"/>
          <w:color w:val="000000" w:themeColor="text1"/>
          <w:highlight w:val="none"/>
          <w:lang w:val="en-US" w:eastAsia="zh-CN"/>
        </w:rPr>
        <w:t>根据</w:t>
      </w:r>
      <w:r>
        <w:rPr>
          <w:rFonts w:hint="eastAsia" w:ascii="Times New Roman" w:hAnsi="Times New Roman" w:eastAsia="宋体" w:cs="Times New Roman"/>
          <w:snapToGrid w:val="0"/>
          <w:color w:val="000000" w:themeColor="text1"/>
          <w:kern w:val="2"/>
          <w:sz w:val="24"/>
          <w:szCs w:val="24"/>
          <w:highlight w:val="none"/>
          <w:lang w:val="en-US" w:eastAsia="zh-CN" w:bidi="ar-SA"/>
        </w:rPr>
        <w:t>《环境影响评价技术导则 公路建设项目》（HJ1358-2024）</w:t>
      </w:r>
      <w:r>
        <w:rPr>
          <w:rFonts w:hint="eastAsia" w:ascii="Times New Roman" w:hAnsi="Times New Roman" w:cs="Times New Roman"/>
          <w:snapToGrid w:val="0"/>
          <w:color w:val="000000" w:themeColor="text1"/>
          <w:kern w:val="2"/>
          <w:sz w:val="24"/>
          <w:szCs w:val="24"/>
          <w:highlight w:val="none"/>
          <w:lang w:val="en-US" w:eastAsia="zh-CN" w:bidi="ar-SA"/>
        </w:rPr>
        <w:t>，施工机械均按点声源计。其对保护目标的影响按下式计算：</w:t>
      </w:r>
    </w:p>
    <w:p w14:paraId="4F7C5271">
      <w:pPr>
        <w:pageBreakBefore w:val="0"/>
        <w:wordWrap/>
        <w:topLinePunct w:val="0"/>
        <w:bidi w:val="0"/>
        <w:spacing w:beforeLines="50" w:line="360" w:lineRule="auto"/>
        <w:jc w:val="center"/>
        <w:rPr>
          <w:rFonts w:hint="default" w:eastAsia="宋体"/>
          <w:color w:val="000000" w:themeColor="text1"/>
          <w:highlight w:val="none"/>
          <w:lang w:val="en-US" w:eastAsia="zh-CN"/>
        </w:rPr>
      </w:pPr>
      <w:r>
        <w:rPr>
          <w:rFonts w:hint="eastAsia"/>
          <w:color w:val="000000" w:themeColor="text1"/>
          <w:highlight w:val="none"/>
          <w:lang w:val="en-US" w:eastAsia="zh-CN"/>
        </w:rPr>
        <w:t>L</w:t>
      </w:r>
      <w:r>
        <w:rPr>
          <w:rFonts w:hint="eastAsia"/>
          <w:color w:val="000000" w:themeColor="text1"/>
          <w:highlight w:val="none"/>
          <w:vertAlign w:val="subscript"/>
          <w:lang w:val="en-US" w:eastAsia="zh-CN"/>
        </w:rPr>
        <w:t>i</w:t>
      </w:r>
      <w:r>
        <w:rPr>
          <w:rFonts w:hint="eastAsia"/>
          <w:color w:val="000000" w:themeColor="text1"/>
          <w:highlight w:val="none"/>
          <w:lang w:val="en-US" w:eastAsia="zh-CN"/>
        </w:rPr>
        <w:t>=L</w:t>
      </w:r>
      <w:r>
        <w:rPr>
          <w:rFonts w:hint="eastAsia"/>
          <w:color w:val="000000" w:themeColor="text1"/>
          <w:highlight w:val="none"/>
          <w:vertAlign w:val="subscript"/>
          <w:lang w:val="en-US" w:eastAsia="zh-CN"/>
        </w:rPr>
        <w:t>0</w:t>
      </w:r>
      <w:r>
        <w:rPr>
          <w:rFonts w:hint="eastAsia"/>
          <w:color w:val="000000" w:themeColor="text1"/>
          <w:highlight w:val="none"/>
          <w:lang w:val="en-US" w:eastAsia="zh-CN"/>
        </w:rPr>
        <w:t>-20lg（r</w:t>
      </w:r>
      <w:r>
        <w:rPr>
          <w:rFonts w:hint="eastAsia"/>
          <w:color w:val="000000" w:themeColor="text1"/>
          <w:highlight w:val="none"/>
          <w:vertAlign w:val="subscript"/>
          <w:lang w:val="en-US" w:eastAsia="zh-CN"/>
        </w:rPr>
        <w:t>i</w:t>
      </w:r>
      <w:r>
        <w:rPr>
          <w:rFonts w:hint="eastAsia"/>
          <w:color w:val="000000" w:themeColor="text1"/>
          <w:highlight w:val="none"/>
          <w:lang w:val="en-US" w:eastAsia="zh-CN"/>
        </w:rPr>
        <w:t>/r</w:t>
      </w:r>
      <w:r>
        <w:rPr>
          <w:rFonts w:hint="eastAsia"/>
          <w:color w:val="000000" w:themeColor="text1"/>
          <w:highlight w:val="none"/>
          <w:vertAlign w:val="subscript"/>
          <w:lang w:val="en-US" w:eastAsia="zh-CN"/>
        </w:rPr>
        <w:t>0</w:t>
      </w:r>
      <w:r>
        <w:rPr>
          <w:rFonts w:hint="eastAsia"/>
          <w:color w:val="000000" w:themeColor="text1"/>
          <w:highlight w:val="none"/>
          <w:lang w:val="en-US" w:eastAsia="zh-CN"/>
        </w:rPr>
        <w:t>）</w:t>
      </w:r>
    </w:p>
    <w:p w14:paraId="3825B318">
      <w:pPr>
        <w:pageBreakBefore w:val="0"/>
        <w:wordWrap/>
        <w:topLinePunct w:val="0"/>
        <w:bidi w:val="0"/>
        <w:spacing w:line="360" w:lineRule="auto"/>
        <w:rPr>
          <w:color w:val="000000" w:themeColor="text1"/>
          <w:highlight w:val="none"/>
          <w:lang w:val="zh-CN"/>
        </w:rPr>
      </w:pPr>
      <w:r>
        <w:rPr>
          <w:color w:val="000000" w:themeColor="text1"/>
          <w:highlight w:val="none"/>
          <w:lang w:val="zh-CN"/>
        </w:rPr>
        <w:t>式中：</w:t>
      </w:r>
      <w:r>
        <w:rPr>
          <w:rFonts w:hint="eastAsia"/>
          <w:color w:val="000000" w:themeColor="text1"/>
          <w:highlight w:val="none"/>
          <w:lang w:val="en-US" w:eastAsia="zh-CN"/>
        </w:rPr>
        <w:t>L</w:t>
      </w:r>
      <w:r>
        <w:rPr>
          <w:rFonts w:hint="eastAsia"/>
          <w:color w:val="000000" w:themeColor="text1"/>
          <w:highlight w:val="none"/>
          <w:vertAlign w:val="subscript"/>
          <w:lang w:val="en-US" w:eastAsia="zh-CN"/>
        </w:rPr>
        <w:t>i</w:t>
      </w:r>
      <w:r>
        <w:rPr>
          <w:color w:val="000000" w:themeColor="text1"/>
          <w:highlight w:val="none"/>
          <w:lang w:val="zh-CN"/>
        </w:rPr>
        <w:t>——</w:t>
      </w:r>
      <w:r>
        <w:rPr>
          <w:rFonts w:hint="eastAsia"/>
          <w:color w:val="000000" w:themeColor="text1"/>
          <w:highlight w:val="none"/>
          <w:lang w:val="en-US" w:eastAsia="zh-CN"/>
        </w:rPr>
        <w:t>预测点处的声压级</w:t>
      </w:r>
      <w:r>
        <w:rPr>
          <w:color w:val="000000" w:themeColor="text1"/>
          <w:highlight w:val="none"/>
          <w:lang w:val="zh-CN"/>
        </w:rPr>
        <w:t>，dB</w:t>
      </w:r>
      <w:r>
        <w:rPr>
          <w:rFonts w:hint="eastAsia"/>
          <w:color w:val="000000" w:themeColor="text1"/>
          <w:highlight w:val="none"/>
          <w:lang w:val="zh-CN"/>
        </w:rPr>
        <w:t>（</w:t>
      </w:r>
      <w:r>
        <w:rPr>
          <w:rFonts w:hint="eastAsia"/>
          <w:color w:val="000000" w:themeColor="text1"/>
          <w:highlight w:val="none"/>
        </w:rPr>
        <w:t>A</w:t>
      </w:r>
      <w:r>
        <w:rPr>
          <w:rFonts w:hint="eastAsia"/>
          <w:color w:val="000000" w:themeColor="text1"/>
          <w:highlight w:val="none"/>
          <w:lang w:val="zh-CN"/>
        </w:rPr>
        <w:t>）</w:t>
      </w:r>
      <w:r>
        <w:rPr>
          <w:color w:val="000000" w:themeColor="text1"/>
          <w:highlight w:val="none"/>
          <w:lang w:val="zh-CN"/>
        </w:rPr>
        <w:t>；</w:t>
      </w:r>
    </w:p>
    <w:p w14:paraId="03B4D79A">
      <w:pPr>
        <w:pageBreakBefore w:val="0"/>
        <w:wordWrap/>
        <w:topLinePunct w:val="0"/>
        <w:bidi w:val="0"/>
        <w:spacing w:line="360" w:lineRule="auto"/>
        <w:rPr>
          <w:rFonts w:hint="eastAsia" w:ascii="Times New Roman" w:hAnsi="Times New Roman" w:cs="Times New Roman"/>
          <w:color w:val="000000" w:themeColor="text1"/>
          <w:highlight w:val="none"/>
          <w:lang w:val="en-US" w:eastAsia="zh-CN"/>
        </w:rPr>
      </w:pPr>
      <w:r>
        <w:rPr>
          <w:rFonts w:hint="eastAsia" w:ascii="Times New Roman" w:hAnsi="Times New Roman" w:cs="Times New Roman"/>
          <w:color w:val="000000" w:themeColor="text1"/>
          <w:highlight w:val="none"/>
          <w:lang w:val="zh-CN" w:eastAsia="zh-CN"/>
        </w:rPr>
        <w:t xml:space="preserve">      </w:t>
      </w:r>
      <w:r>
        <w:rPr>
          <w:rFonts w:hint="eastAsia"/>
          <w:color w:val="000000" w:themeColor="text1"/>
          <w:highlight w:val="none"/>
          <w:lang w:val="en-US" w:eastAsia="zh-CN"/>
        </w:rPr>
        <w:t>L</w:t>
      </w:r>
      <w:r>
        <w:rPr>
          <w:rFonts w:hint="eastAsia"/>
          <w:color w:val="000000" w:themeColor="text1"/>
          <w:highlight w:val="none"/>
          <w:vertAlign w:val="subscript"/>
          <w:lang w:val="en-US" w:eastAsia="zh-CN"/>
        </w:rPr>
        <w:t>0</w:t>
      </w:r>
      <w:r>
        <w:rPr>
          <w:color w:val="000000" w:themeColor="text1"/>
          <w:highlight w:val="none"/>
          <w:lang w:val="zh-CN"/>
        </w:rPr>
        <w:t>——</w:t>
      </w:r>
      <w:r>
        <w:rPr>
          <w:rFonts w:hint="eastAsia" w:ascii="Times New Roman" w:hAnsi="Times New Roman" w:cs="Times New Roman"/>
          <w:color w:val="000000" w:themeColor="text1"/>
          <w:highlight w:val="none"/>
          <w:lang w:val="en-US" w:eastAsia="zh-CN"/>
        </w:rPr>
        <w:t>参照点处的声压级</w:t>
      </w:r>
      <w:r>
        <w:rPr>
          <w:rFonts w:hint="eastAsia" w:ascii="Times New Roman" w:hAnsi="Times New Roman" w:cs="Times New Roman"/>
          <w:color w:val="000000" w:themeColor="text1"/>
          <w:highlight w:val="none"/>
          <w:lang w:val="zh-CN" w:eastAsia="zh-CN"/>
        </w:rPr>
        <w:t>，dB（</w:t>
      </w:r>
      <w:r>
        <w:rPr>
          <w:rFonts w:hint="eastAsia" w:ascii="Times New Roman" w:hAnsi="Times New Roman" w:cs="Times New Roman"/>
          <w:color w:val="000000" w:themeColor="text1"/>
          <w:highlight w:val="none"/>
          <w:lang w:val="en-US" w:eastAsia="zh-CN"/>
        </w:rPr>
        <w:t>A</w:t>
      </w:r>
      <w:r>
        <w:rPr>
          <w:rFonts w:hint="eastAsia" w:ascii="Times New Roman" w:hAnsi="Times New Roman" w:cs="Times New Roman"/>
          <w:color w:val="000000" w:themeColor="text1"/>
          <w:highlight w:val="none"/>
          <w:lang w:val="zh-CN" w:eastAsia="zh-CN"/>
        </w:rPr>
        <w:t>），</w:t>
      </w:r>
      <w:r>
        <w:rPr>
          <w:rFonts w:hint="eastAsia" w:ascii="Times New Roman" w:hAnsi="Times New Roman" w:cs="Times New Roman"/>
          <w:color w:val="000000" w:themeColor="text1"/>
          <w:highlight w:val="none"/>
          <w:lang w:val="en-US" w:eastAsia="zh-CN"/>
        </w:rPr>
        <w:t>参照附录D确定；</w:t>
      </w:r>
    </w:p>
    <w:p w14:paraId="4B9A118C">
      <w:pPr>
        <w:pageBreakBefore w:val="0"/>
        <w:wordWrap/>
        <w:topLinePunct w:val="0"/>
        <w:bidi w:val="0"/>
        <w:spacing w:line="360" w:lineRule="auto"/>
        <w:ind w:firstLine="1200" w:firstLineChars="500"/>
        <w:rPr>
          <w:rFonts w:hint="eastAsia" w:ascii="Times New Roman" w:hAnsi="Times New Roman" w:eastAsia="宋体" w:cs="Times New Roman"/>
          <w:color w:val="000000" w:themeColor="text1"/>
          <w:highlight w:val="none"/>
          <w:lang w:val="en-US" w:eastAsia="zh-CN"/>
        </w:rPr>
      </w:pPr>
      <w:r>
        <w:rPr>
          <w:rFonts w:hint="eastAsia"/>
          <w:color w:val="000000" w:themeColor="text1"/>
          <w:highlight w:val="none"/>
          <w:lang w:val="en-US" w:eastAsia="zh-CN"/>
        </w:rPr>
        <w:t>r</w:t>
      </w:r>
      <w:r>
        <w:rPr>
          <w:rFonts w:hint="eastAsia"/>
          <w:color w:val="000000" w:themeColor="text1"/>
          <w:highlight w:val="none"/>
          <w:vertAlign w:val="subscript"/>
          <w:lang w:val="en-US" w:eastAsia="zh-CN"/>
        </w:rPr>
        <w:t>i</w:t>
      </w:r>
      <w:r>
        <w:rPr>
          <w:color w:val="000000" w:themeColor="text1"/>
          <w:highlight w:val="none"/>
          <w:lang w:val="zh-CN"/>
        </w:rPr>
        <w:t>——</w:t>
      </w:r>
      <w:r>
        <w:rPr>
          <w:rFonts w:hint="eastAsia"/>
          <w:color w:val="000000" w:themeColor="text1"/>
          <w:highlight w:val="none"/>
          <w:lang w:val="en-US" w:eastAsia="zh-CN"/>
        </w:rPr>
        <w:t>预测点距声源的距离，m；</w:t>
      </w:r>
    </w:p>
    <w:p w14:paraId="50E73630">
      <w:pPr>
        <w:pageBreakBefore w:val="0"/>
        <w:wordWrap/>
        <w:topLinePunct w:val="0"/>
        <w:bidi w:val="0"/>
        <w:spacing w:line="360" w:lineRule="auto"/>
        <w:ind w:firstLine="1200" w:firstLineChars="500"/>
        <w:rPr>
          <w:rFonts w:hint="eastAsia" w:ascii="Times New Roman" w:hAnsi="Times New Roman" w:cs="Times New Roman"/>
          <w:color w:val="000000" w:themeColor="text1"/>
          <w:highlight w:val="none"/>
          <w:lang w:val="zh-CN" w:eastAsia="zh-CN"/>
        </w:rPr>
      </w:pPr>
      <w:r>
        <w:rPr>
          <w:rFonts w:hint="eastAsia"/>
          <w:color w:val="000000" w:themeColor="text1"/>
          <w:highlight w:val="none"/>
          <w:lang w:val="en-US" w:eastAsia="zh-CN"/>
        </w:rPr>
        <w:t>r</w:t>
      </w:r>
      <w:r>
        <w:rPr>
          <w:rFonts w:hint="eastAsia"/>
          <w:color w:val="000000" w:themeColor="text1"/>
          <w:highlight w:val="none"/>
          <w:vertAlign w:val="subscript"/>
          <w:lang w:val="en-US" w:eastAsia="zh-CN"/>
        </w:rPr>
        <w:t>0</w:t>
      </w:r>
      <w:r>
        <w:rPr>
          <w:color w:val="000000" w:themeColor="text1"/>
          <w:highlight w:val="none"/>
          <w:lang w:val="zh-CN"/>
        </w:rPr>
        <w:t>——</w:t>
      </w:r>
      <w:r>
        <w:rPr>
          <w:rFonts w:hint="eastAsia"/>
          <w:color w:val="000000" w:themeColor="text1"/>
          <w:highlight w:val="none"/>
          <w:lang w:val="en-US" w:eastAsia="zh-CN"/>
        </w:rPr>
        <w:t>参照点距声源的距离，m</w:t>
      </w:r>
      <w:r>
        <w:rPr>
          <w:rFonts w:hint="eastAsia"/>
          <w:color w:val="000000" w:themeColor="text1"/>
          <w:highlight w:val="none"/>
          <w:lang w:val="zh-CN"/>
        </w:rPr>
        <w:t>。</w:t>
      </w:r>
    </w:p>
    <w:p w14:paraId="3987AAF9">
      <w:pPr>
        <w:pageBreakBefore w:val="0"/>
        <w:wordWrap/>
        <w:topLinePunct w:val="0"/>
        <w:bidi w:val="0"/>
        <w:spacing w:line="360" w:lineRule="auto"/>
        <w:rPr>
          <w:rFonts w:hint="default" w:ascii="Times New Roman" w:hAnsi="Times New Roman" w:cs="Times New Roman"/>
          <w:color w:val="000000" w:themeColor="text1"/>
          <w:highlight w:val="none"/>
          <w:lang w:val="en-US" w:eastAsia="zh-CN"/>
        </w:rPr>
      </w:pPr>
      <w:r>
        <w:rPr>
          <w:rFonts w:hint="eastAsia" w:ascii="Times New Roman" w:hAnsi="Times New Roman" w:cs="Times New Roman"/>
          <w:color w:val="000000" w:themeColor="text1"/>
          <w:highlight w:val="none"/>
          <w:lang w:val="en-US" w:eastAsia="zh-CN"/>
        </w:rPr>
        <w:t>对于多台施工机械对同一保护目标的影响，应进行声级叠加，按下式计算：</w:t>
      </w:r>
    </w:p>
    <w:p w14:paraId="7D525666">
      <w:pPr>
        <w:pageBreakBefore w:val="0"/>
        <w:wordWrap/>
        <w:topLinePunct w:val="0"/>
        <w:bidi w:val="0"/>
        <w:spacing w:beforeLines="50" w:line="360" w:lineRule="auto"/>
        <w:jc w:val="center"/>
        <w:rPr>
          <w:rFonts w:hint="default" w:eastAsia="宋体"/>
          <w:color w:val="000000" w:themeColor="text1"/>
          <w:highlight w:val="none"/>
          <w:lang w:val="en-US" w:eastAsia="zh-CN"/>
        </w:rPr>
      </w:pPr>
      <w:r>
        <w:rPr>
          <w:rFonts w:hint="eastAsia"/>
          <w:color w:val="000000" w:themeColor="text1"/>
          <w:highlight w:val="none"/>
          <w:lang w:val="en-US" w:eastAsia="zh-CN"/>
        </w:rPr>
        <w:t>L=10lg∑10</w:t>
      </w:r>
      <w:r>
        <w:rPr>
          <w:rFonts w:hint="eastAsia"/>
          <w:color w:val="000000" w:themeColor="text1"/>
          <w:highlight w:val="none"/>
          <w:vertAlign w:val="superscript"/>
          <w:lang w:val="en-US" w:eastAsia="zh-CN"/>
        </w:rPr>
        <w:t>0.1Li</w:t>
      </w:r>
    </w:p>
    <w:p w14:paraId="6F2D96E9">
      <w:pPr>
        <w:pageBreakBefore w:val="0"/>
        <w:wordWrap/>
        <w:topLinePunct w:val="0"/>
        <w:bidi w:val="0"/>
        <w:spacing w:line="360" w:lineRule="auto"/>
        <w:rPr>
          <w:color w:val="000000" w:themeColor="text1"/>
          <w:highlight w:val="none"/>
          <w:lang w:val="zh-CN"/>
        </w:rPr>
      </w:pPr>
      <w:r>
        <w:rPr>
          <w:color w:val="000000" w:themeColor="text1"/>
          <w:highlight w:val="none"/>
          <w:lang w:val="zh-CN"/>
        </w:rPr>
        <w:t>式中：</w:t>
      </w:r>
      <w:r>
        <w:rPr>
          <w:rFonts w:hint="eastAsia"/>
          <w:color w:val="000000" w:themeColor="text1"/>
          <w:highlight w:val="none"/>
          <w:lang w:val="en-US" w:eastAsia="zh-CN"/>
        </w:rPr>
        <w:t>L</w:t>
      </w:r>
      <w:r>
        <w:rPr>
          <w:color w:val="000000" w:themeColor="text1"/>
          <w:highlight w:val="none"/>
          <w:lang w:val="zh-CN"/>
        </w:rPr>
        <w:t>——</w:t>
      </w:r>
      <w:r>
        <w:rPr>
          <w:rFonts w:hint="eastAsia"/>
          <w:color w:val="000000" w:themeColor="text1"/>
          <w:highlight w:val="none"/>
          <w:lang w:val="en-US" w:eastAsia="zh-CN"/>
        </w:rPr>
        <w:t>多台施工机械在保护目标处叠加的声压级</w:t>
      </w:r>
      <w:r>
        <w:rPr>
          <w:color w:val="000000" w:themeColor="text1"/>
          <w:highlight w:val="none"/>
          <w:lang w:val="zh-CN"/>
        </w:rPr>
        <w:t>，dB</w:t>
      </w:r>
      <w:r>
        <w:rPr>
          <w:rFonts w:hint="eastAsia"/>
          <w:color w:val="000000" w:themeColor="text1"/>
          <w:highlight w:val="none"/>
          <w:lang w:val="zh-CN"/>
        </w:rPr>
        <w:t>（</w:t>
      </w:r>
      <w:r>
        <w:rPr>
          <w:rFonts w:hint="eastAsia"/>
          <w:color w:val="000000" w:themeColor="text1"/>
          <w:highlight w:val="none"/>
        </w:rPr>
        <w:t>A</w:t>
      </w:r>
      <w:r>
        <w:rPr>
          <w:rFonts w:hint="eastAsia"/>
          <w:color w:val="000000" w:themeColor="text1"/>
          <w:highlight w:val="none"/>
          <w:lang w:val="zh-CN"/>
        </w:rPr>
        <w:t>）</w:t>
      </w:r>
      <w:r>
        <w:rPr>
          <w:color w:val="000000" w:themeColor="text1"/>
          <w:highlight w:val="none"/>
          <w:lang w:val="zh-CN"/>
        </w:rPr>
        <w:t>；</w:t>
      </w:r>
    </w:p>
    <w:p w14:paraId="48E978AD">
      <w:pPr>
        <w:pageBreakBefore w:val="0"/>
        <w:wordWrap/>
        <w:topLinePunct w:val="0"/>
        <w:bidi w:val="0"/>
        <w:spacing w:line="360" w:lineRule="auto"/>
        <w:rPr>
          <w:rFonts w:hint="eastAsia" w:ascii="Times New Roman" w:hAnsi="Times New Roman" w:cs="Times New Roman"/>
          <w:color w:val="000000" w:themeColor="text1"/>
          <w:highlight w:val="none"/>
          <w:lang w:val="zh-CN" w:eastAsia="zh-CN"/>
        </w:rPr>
      </w:pPr>
      <w:r>
        <w:rPr>
          <w:rFonts w:hint="eastAsia" w:ascii="Times New Roman" w:hAnsi="Times New Roman" w:cs="Times New Roman"/>
          <w:color w:val="000000" w:themeColor="text1"/>
          <w:highlight w:val="none"/>
          <w:lang w:val="zh-CN" w:eastAsia="zh-CN"/>
        </w:rPr>
        <w:t xml:space="preserve">      </w:t>
      </w:r>
      <w:r>
        <w:rPr>
          <w:rFonts w:hint="eastAsia"/>
          <w:color w:val="000000" w:themeColor="text1"/>
          <w:highlight w:val="none"/>
          <w:lang w:val="en-US" w:eastAsia="zh-CN"/>
        </w:rPr>
        <w:t>L</w:t>
      </w:r>
      <w:r>
        <w:rPr>
          <w:rFonts w:hint="eastAsia"/>
          <w:color w:val="000000" w:themeColor="text1"/>
          <w:highlight w:val="none"/>
          <w:vertAlign w:val="subscript"/>
          <w:lang w:val="en-US" w:eastAsia="zh-CN"/>
        </w:rPr>
        <w:t>i</w:t>
      </w:r>
      <w:r>
        <w:rPr>
          <w:color w:val="000000" w:themeColor="text1"/>
          <w:highlight w:val="none"/>
          <w:lang w:val="zh-CN"/>
        </w:rPr>
        <w:t>——</w:t>
      </w:r>
      <w:r>
        <w:rPr>
          <w:rFonts w:hint="eastAsia" w:ascii="Times New Roman" w:hAnsi="Times New Roman" w:cs="Times New Roman"/>
          <w:color w:val="000000" w:themeColor="text1"/>
          <w:highlight w:val="none"/>
          <w:lang w:val="en-US" w:eastAsia="zh-CN"/>
        </w:rPr>
        <w:t>第i台施工机械在保护目标处的声压级</w:t>
      </w:r>
      <w:r>
        <w:rPr>
          <w:color w:val="000000" w:themeColor="text1"/>
          <w:highlight w:val="none"/>
          <w:lang w:val="zh-CN"/>
        </w:rPr>
        <w:t>，dB</w:t>
      </w:r>
      <w:r>
        <w:rPr>
          <w:rFonts w:hint="eastAsia"/>
          <w:color w:val="000000" w:themeColor="text1"/>
          <w:highlight w:val="none"/>
          <w:lang w:val="zh-CN"/>
        </w:rPr>
        <w:t>（</w:t>
      </w:r>
      <w:r>
        <w:rPr>
          <w:rFonts w:hint="eastAsia"/>
          <w:color w:val="000000" w:themeColor="text1"/>
          <w:highlight w:val="none"/>
        </w:rPr>
        <w:t>A</w:t>
      </w:r>
      <w:r>
        <w:rPr>
          <w:rFonts w:hint="eastAsia"/>
          <w:color w:val="000000" w:themeColor="text1"/>
          <w:highlight w:val="none"/>
          <w:lang w:val="zh-CN"/>
        </w:rPr>
        <w:t>）</w:t>
      </w:r>
      <w:r>
        <w:rPr>
          <w:rFonts w:hint="eastAsia" w:ascii="Times New Roman" w:hAnsi="Times New Roman" w:cs="Times New Roman"/>
          <w:color w:val="000000" w:themeColor="text1"/>
          <w:highlight w:val="none"/>
          <w:lang w:val="en-US" w:eastAsia="zh-CN"/>
        </w:rPr>
        <w:t>。</w:t>
      </w:r>
    </w:p>
    <w:p w14:paraId="1E1CD643">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w:t>
      </w:r>
      <w:r>
        <w:rPr>
          <w:rFonts w:hint="eastAsia"/>
          <w:color w:val="000000" w:themeColor="text1"/>
          <w:highlight w:val="none"/>
          <w:lang w:val="en-US" w:eastAsia="zh-CN"/>
        </w:rPr>
        <w:t>2.1</w:t>
      </w:r>
      <w:r>
        <w:rPr>
          <w:rFonts w:hint="eastAsia"/>
          <w:color w:val="000000" w:themeColor="text1"/>
          <w:highlight w:val="none"/>
        </w:rPr>
        <w:t>.2</w:t>
      </w:r>
      <w:r>
        <w:rPr>
          <w:color w:val="000000" w:themeColor="text1"/>
          <w:highlight w:val="none"/>
        </w:rPr>
        <w:t>噪声影响范围计算和分析</w:t>
      </w:r>
    </w:p>
    <w:p w14:paraId="55C517C5">
      <w:pPr>
        <w:pageBreakBefore w:val="0"/>
        <w:wordWrap/>
        <w:topLinePunct w:val="0"/>
        <w:bidi w:val="0"/>
        <w:spacing w:line="360" w:lineRule="auto"/>
        <w:rPr>
          <w:color w:val="000000" w:themeColor="text1"/>
          <w:highlight w:val="none"/>
        </w:rPr>
      </w:pPr>
      <w:r>
        <w:rPr>
          <w:color w:val="000000" w:themeColor="text1"/>
          <w:highlight w:val="none"/>
        </w:rPr>
        <w:t>根据前述预测方法和预测模式，对施工过程中各种设备噪声进行计算，得到其不同距离下噪声级见表5.</w:t>
      </w:r>
      <w:r>
        <w:rPr>
          <w:rFonts w:hint="eastAsia"/>
          <w:color w:val="000000" w:themeColor="text1"/>
          <w:highlight w:val="none"/>
        </w:rPr>
        <w:t>2</w:t>
      </w:r>
      <w:r>
        <w:rPr>
          <w:color w:val="000000" w:themeColor="text1"/>
          <w:highlight w:val="none"/>
        </w:rPr>
        <w:t>-1。</w:t>
      </w:r>
    </w:p>
    <w:p w14:paraId="07FB2664">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表5.</w:t>
      </w:r>
      <w:r>
        <w:rPr>
          <w:rFonts w:hint="eastAsia"/>
          <w:b/>
          <w:color w:val="000000" w:themeColor="text1"/>
          <w:highlight w:val="none"/>
        </w:rPr>
        <w:t>2</w:t>
      </w:r>
      <w:r>
        <w:rPr>
          <w:b/>
          <w:color w:val="000000" w:themeColor="text1"/>
          <w:highlight w:val="none"/>
        </w:rPr>
        <w:t>-1  主要施工机械不同距离处的噪声级   单位：dB（A）</w:t>
      </w:r>
    </w:p>
    <w:tbl>
      <w:tblPr>
        <w:tblStyle w:val="33"/>
        <w:tblW w:w="4994"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609"/>
        <w:gridCol w:w="526"/>
        <w:gridCol w:w="689"/>
        <w:gridCol w:w="585"/>
        <w:gridCol w:w="585"/>
        <w:gridCol w:w="585"/>
        <w:gridCol w:w="585"/>
        <w:gridCol w:w="585"/>
        <w:gridCol w:w="585"/>
        <w:gridCol w:w="585"/>
        <w:gridCol w:w="586"/>
        <w:gridCol w:w="586"/>
      </w:tblGrid>
      <w:tr w14:paraId="3594F0D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50" w:type="pct"/>
            <w:tcBorders>
              <w:top w:val="single" w:color="auto" w:sz="12" w:space="0"/>
              <w:left w:val="nil"/>
              <w:bottom w:val="single" w:color="auto" w:sz="4" w:space="0"/>
            </w:tcBorders>
            <w:vAlign w:val="center"/>
          </w:tcPr>
          <w:p w14:paraId="3BCDB1E1">
            <w:pPr>
              <w:pageBreakBefore w:val="0"/>
              <w:wordWrap/>
              <w:topLinePunct w:val="0"/>
              <w:bidi w:val="0"/>
              <w:spacing w:line="240" w:lineRule="auto"/>
              <w:ind w:firstLine="0" w:firstLineChars="0"/>
              <w:jc w:val="center"/>
              <w:rPr>
                <w:color w:val="000000" w:themeColor="text1"/>
                <w:position w:val="-24"/>
                <w:sz w:val="21"/>
                <w:szCs w:val="21"/>
                <w:highlight w:val="none"/>
              </w:rPr>
            </w:pPr>
            <w:r>
              <w:rPr>
                <w:color w:val="000000" w:themeColor="text1"/>
                <w:position w:val="-24"/>
                <w:sz w:val="21"/>
                <w:szCs w:val="21"/>
                <w:highlight w:val="none"/>
              </w:rPr>
              <w:t>序号</w:t>
            </w:r>
          </w:p>
        </w:tc>
        <w:tc>
          <w:tcPr>
            <w:tcW w:w="943" w:type="pct"/>
            <w:tcBorders>
              <w:top w:val="single" w:color="auto" w:sz="12" w:space="0"/>
              <w:bottom w:val="single" w:color="auto" w:sz="4" w:space="0"/>
              <w:tl2br w:val="single" w:color="auto" w:sz="4" w:space="0"/>
            </w:tcBorders>
            <w:vAlign w:val="center"/>
          </w:tcPr>
          <w:p w14:paraId="43C8F100">
            <w:pPr>
              <w:pageBreakBefore w:val="0"/>
              <w:wordWrap/>
              <w:topLinePunct w:val="0"/>
              <w:bidi w:val="0"/>
              <w:spacing w:line="240" w:lineRule="auto"/>
              <w:ind w:firstLine="0" w:firstLineChars="0"/>
              <w:jc w:val="center"/>
              <w:rPr>
                <w:rFonts w:hint="eastAsia" w:eastAsia="宋体"/>
                <w:color w:val="000000" w:themeColor="text1"/>
                <w:position w:val="-24"/>
                <w:sz w:val="21"/>
                <w:szCs w:val="21"/>
                <w:highlight w:val="none"/>
                <w:lang w:eastAsia="zh-CN"/>
              </w:rPr>
            </w:pPr>
            <w:r>
              <w:rPr>
                <w:color w:val="000000" w:themeColor="text1"/>
                <w:position w:val="-24"/>
                <w:sz w:val="21"/>
                <w:szCs w:val="21"/>
                <w:highlight w:val="none"/>
              </w:rPr>
              <w:t xml:space="preserve">  距施工点距离</w:t>
            </w:r>
            <w:r>
              <w:rPr>
                <w:rFonts w:hint="eastAsia"/>
                <w:color w:val="000000" w:themeColor="text1"/>
                <w:position w:val="-24"/>
                <w:sz w:val="21"/>
                <w:szCs w:val="21"/>
                <w:highlight w:val="none"/>
                <w:lang w:eastAsia="zh-CN"/>
              </w:rPr>
              <w:t>（</w:t>
            </w:r>
            <w:r>
              <w:rPr>
                <w:color w:val="000000" w:themeColor="text1"/>
                <w:position w:val="-24"/>
                <w:sz w:val="21"/>
                <w:szCs w:val="21"/>
                <w:highlight w:val="none"/>
              </w:rPr>
              <w:t>m</w:t>
            </w:r>
            <w:r>
              <w:rPr>
                <w:rFonts w:hint="eastAsia"/>
                <w:color w:val="000000" w:themeColor="text1"/>
                <w:position w:val="-24"/>
                <w:sz w:val="21"/>
                <w:szCs w:val="21"/>
                <w:highlight w:val="none"/>
                <w:lang w:eastAsia="zh-CN"/>
              </w:rPr>
              <w:t>）</w:t>
            </w:r>
          </w:p>
          <w:p w14:paraId="1249FA85">
            <w:pPr>
              <w:pageBreakBefore w:val="0"/>
              <w:wordWrap/>
              <w:topLinePunct w:val="0"/>
              <w:bidi w:val="0"/>
              <w:spacing w:line="240" w:lineRule="auto"/>
              <w:ind w:firstLine="0" w:firstLineChars="0"/>
              <w:rPr>
                <w:color w:val="000000" w:themeColor="text1"/>
                <w:position w:val="-24"/>
                <w:sz w:val="21"/>
                <w:szCs w:val="21"/>
                <w:highlight w:val="none"/>
              </w:rPr>
            </w:pPr>
            <w:r>
              <w:rPr>
                <w:color w:val="000000" w:themeColor="text1"/>
                <w:position w:val="-24"/>
                <w:sz w:val="21"/>
                <w:szCs w:val="21"/>
                <w:highlight w:val="none"/>
              </w:rPr>
              <w:t>机械类型</w:t>
            </w:r>
          </w:p>
        </w:tc>
        <w:tc>
          <w:tcPr>
            <w:tcW w:w="308" w:type="pct"/>
            <w:tcBorders>
              <w:top w:val="single" w:color="auto" w:sz="12" w:space="0"/>
              <w:bottom w:val="single" w:color="auto" w:sz="4" w:space="0"/>
            </w:tcBorders>
            <w:vAlign w:val="center"/>
          </w:tcPr>
          <w:p w14:paraId="7C56A4C9">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5</w:t>
            </w:r>
          </w:p>
        </w:tc>
        <w:tc>
          <w:tcPr>
            <w:tcW w:w="404" w:type="pct"/>
            <w:tcBorders>
              <w:top w:val="single" w:color="auto" w:sz="12" w:space="0"/>
              <w:bottom w:val="single" w:color="auto" w:sz="4" w:space="0"/>
            </w:tcBorders>
            <w:vAlign w:val="center"/>
          </w:tcPr>
          <w:p w14:paraId="2945227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10</w:t>
            </w:r>
          </w:p>
        </w:tc>
        <w:tc>
          <w:tcPr>
            <w:tcW w:w="343" w:type="pct"/>
            <w:tcBorders>
              <w:top w:val="single" w:color="auto" w:sz="12" w:space="0"/>
              <w:bottom w:val="single" w:color="auto" w:sz="4" w:space="0"/>
            </w:tcBorders>
            <w:vAlign w:val="center"/>
          </w:tcPr>
          <w:p w14:paraId="67EB582D">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20</w:t>
            </w:r>
          </w:p>
        </w:tc>
        <w:tc>
          <w:tcPr>
            <w:tcW w:w="343" w:type="pct"/>
            <w:tcBorders>
              <w:top w:val="single" w:color="auto" w:sz="12" w:space="0"/>
              <w:bottom w:val="single" w:color="auto" w:sz="4" w:space="0"/>
            </w:tcBorders>
            <w:vAlign w:val="center"/>
          </w:tcPr>
          <w:p w14:paraId="2CCA49CE">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40</w:t>
            </w:r>
          </w:p>
        </w:tc>
        <w:tc>
          <w:tcPr>
            <w:tcW w:w="343" w:type="pct"/>
            <w:tcBorders>
              <w:top w:val="single" w:color="auto" w:sz="12" w:space="0"/>
              <w:bottom w:val="single" w:color="auto" w:sz="4" w:space="0"/>
            </w:tcBorders>
            <w:vAlign w:val="center"/>
          </w:tcPr>
          <w:p w14:paraId="4046766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60</w:t>
            </w:r>
          </w:p>
        </w:tc>
        <w:tc>
          <w:tcPr>
            <w:tcW w:w="343" w:type="pct"/>
            <w:tcBorders>
              <w:top w:val="single" w:color="auto" w:sz="12" w:space="0"/>
              <w:bottom w:val="single" w:color="auto" w:sz="4" w:space="0"/>
            </w:tcBorders>
            <w:vAlign w:val="center"/>
          </w:tcPr>
          <w:p w14:paraId="049395CA">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80</w:t>
            </w:r>
          </w:p>
        </w:tc>
        <w:tc>
          <w:tcPr>
            <w:tcW w:w="343" w:type="pct"/>
            <w:tcBorders>
              <w:top w:val="single" w:color="auto" w:sz="12" w:space="0"/>
              <w:bottom w:val="single" w:color="auto" w:sz="4" w:space="0"/>
            </w:tcBorders>
            <w:vAlign w:val="center"/>
          </w:tcPr>
          <w:p w14:paraId="1A764BFA">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100</w:t>
            </w:r>
          </w:p>
        </w:tc>
        <w:tc>
          <w:tcPr>
            <w:tcW w:w="343" w:type="pct"/>
            <w:tcBorders>
              <w:top w:val="single" w:color="auto" w:sz="12" w:space="0"/>
              <w:bottom w:val="single" w:color="auto" w:sz="4" w:space="0"/>
            </w:tcBorders>
            <w:vAlign w:val="center"/>
          </w:tcPr>
          <w:p w14:paraId="38CFFB2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150</w:t>
            </w:r>
          </w:p>
        </w:tc>
        <w:tc>
          <w:tcPr>
            <w:tcW w:w="343" w:type="pct"/>
            <w:tcBorders>
              <w:top w:val="single" w:color="auto" w:sz="12" w:space="0"/>
              <w:bottom w:val="single" w:color="auto" w:sz="4" w:space="0"/>
            </w:tcBorders>
            <w:vAlign w:val="center"/>
          </w:tcPr>
          <w:p w14:paraId="79DCFD8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200</w:t>
            </w:r>
          </w:p>
        </w:tc>
        <w:tc>
          <w:tcPr>
            <w:tcW w:w="343" w:type="pct"/>
            <w:tcBorders>
              <w:top w:val="single" w:color="auto" w:sz="12" w:space="0"/>
              <w:bottom w:val="single" w:color="auto" w:sz="4" w:space="0"/>
              <w:right w:val="nil"/>
            </w:tcBorders>
            <w:vAlign w:val="center"/>
          </w:tcPr>
          <w:p w14:paraId="38692719">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300</w:t>
            </w:r>
          </w:p>
        </w:tc>
        <w:tc>
          <w:tcPr>
            <w:tcW w:w="343" w:type="pct"/>
            <w:tcBorders>
              <w:top w:val="single" w:color="auto" w:sz="12" w:space="0"/>
              <w:bottom w:val="single" w:color="auto" w:sz="4" w:space="0"/>
              <w:right w:val="nil"/>
            </w:tcBorders>
            <w:vAlign w:val="center"/>
          </w:tcPr>
          <w:p w14:paraId="400B768D">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500</w:t>
            </w:r>
          </w:p>
        </w:tc>
      </w:tr>
      <w:tr w14:paraId="66C6EDC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53B7AF17">
            <w:pPr>
              <w:pageBreakBefore w:val="0"/>
              <w:wordWrap/>
              <w:topLinePunct w:val="0"/>
              <w:bidi w:val="0"/>
              <w:spacing w:line="240" w:lineRule="auto"/>
              <w:ind w:firstLine="0" w:firstLineChars="0"/>
              <w:jc w:val="center"/>
              <w:rPr>
                <w:color w:val="000000" w:themeColor="text1"/>
                <w:position w:val="-24"/>
                <w:sz w:val="21"/>
                <w:szCs w:val="21"/>
                <w:highlight w:val="none"/>
              </w:rPr>
            </w:pPr>
            <w:r>
              <w:rPr>
                <w:color w:val="000000" w:themeColor="text1"/>
                <w:position w:val="-24"/>
                <w:sz w:val="21"/>
                <w:szCs w:val="21"/>
                <w:highlight w:val="none"/>
              </w:rPr>
              <w:t>1</w:t>
            </w:r>
          </w:p>
        </w:tc>
        <w:tc>
          <w:tcPr>
            <w:tcW w:w="943" w:type="pct"/>
            <w:tcBorders>
              <w:top w:val="single" w:color="auto" w:sz="4" w:space="0"/>
              <w:bottom w:val="single" w:color="auto" w:sz="4" w:space="0"/>
            </w:tcBorders>
            <w:shd w:val="clear" w:color="auto" w:fill="auto"/>
            <w:vAlign w:val="center"/>
          </w:tcPr>
          <w:p w14:paraId="4DD9693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液压挖掘机</w:t>
            </w:r>
          </w:p>
        </w:tc>
        <w:tc>
          <w:tcPr>
            <w:tcW w:w="308" w:type="pct"/>
            <w:tcBorders>
              <w:top w:val="single" w:color="auto" w:sz="4" w:space="0"/>
              <w:bottom w:val="single" w:color="auto" w:sz="4" w:space="0"/>
            </w:tcBorders>
            <w:shd w:val="clear" w:color="auto" w:fill="auto"/>
            <w:vAlign w:val="center"/>
          </w:tcPr>
          <w:p w14:paraId="0C590F9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w:t>
            </w:r>
          </w:p>
        </w:tc>
        <w:tc>
          <w:tcPr>
            <w:tcW w:w="404" w:type="pct"/>
            <w:tcBorders>
              <w:top w:val="single" w:color="auto" w:sz="4" w:space="0"/>
              <w:bottom w:val="single" w:color="auto" w:sz="4" w:space="0"/>
            </w:tcBorders>
            <w:vAlign w:val="center"/>
          </w:tcPr>
          <w:p w14:paraId="5FB12555">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84.0</w:t>
            </w:r>
          </w:p>
        </w:tc>
        <w:tc>
          <w:tcPr>
            <w:tcW w:w="343" w:type="pct"/>
            <w:tcBorders>
              <w:top w:val="single" w:color="auto" w:sz="4" w:space="0"/>
              <w:bottom w:val="single" w:color="auto" w:sz="4" w:space="0"/>
            </w:tcBorders>
            <w:vAlign w:val="center"/>
          </w:tcPr>
          <w:p w14:paraId="0130A4D5">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78.0</w:t>
            </w:r>
          </w:p>
        </w:tc>
        <w:tc>
          <w:tcPr>
            <w:tcW w:w="343" w:type="pct"/>
            <w:tcBorders>
              <w:top w:val="single" w:color="auto" w:sz="4" w:space="0"/>
              <w:bottom w:val="single" w:color="auto" w:sz="4" w:space="0"/>
            </w:tcBorders>
            <w:vAlign w:val="center"/>
          </w:tcPr>
          <w:p w14:paraId="3335C53A">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71.9</w:t>
            </w:r>
          </w:p>
        </w:tc>
        <w:tc>
          <w:tcPr>
            <w:tcW w:w="343" w:type="pct"/>
            <w:tcBorders>
              <w:top w:val="single" w:color="auto" w:sz="4" w:space="0"/>
              <w:bottom w:val="single" w:color="auto" w:sz="4" w:space="0"/>
            </w:tcBorders>
            <w:vAlign w:val="center"/>
          </w:tcPr>
          <w:p w14:paraId="36D77B01">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68.4</w:t>
            </w:r>
          </w:p>
        </w:tc>
        <w:tc>
          <w:tcPr>
            <w:tcW w:w="343" w:type="pct"/>
            <w:tcBorders>
              <w:top w:val="single" w:color="auto" w:sz="4" w:space="0"/>
              <w:bottom w:val="single" w:color="auto" w:sz="4" w:space="0"/>
            </w:tcBorders>
            <w:vAlign w:val="center"/>
          </w:tcPr>
          <w:p w14:paraId="35B4A388">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65.9</w:t>
            </w:r>
          </w:p>
        </w:tc>
        <w:tc>
          <w:tcPr>
            <w:tcW w:w="343" w:type="pct"/>
            <w:tcBorders>
              <w:top w:val="single" w:color="auto" w:sz="4" w:space="0"/>
              <w:bottom w:val="single" w:color="auto" w:sz="4" w:space="0"/>
            </w:tcBorders>
            <w:vAlign w:val="center"/>
          </w:tcPr>
          <w:p w14:paraId="2BE3DD7E">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64</w:t>
            </w:r>
          </w:p>
        </w:tc>
        <w:tc>
          <w:tcPr>
            <w:tcW w:w="343" w:type="pct"/>
            <w:tcBorders>
              <w:top w:val="single" w:color="auto" w:sz="4" w:space="0"/>
              <w:bottom w:val="single" w:color="auto" w:sz="4" w:space="0"/>
            </w:tcBorders>
            <w:vAlign w:val="center"/>
          </w:tcPr>
          <w:p w14:paraId="39E2197A">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60.5</w:t>
            </w:r>
          </w:p>
        </w:tc>
        <w:tc>
          <w:tcPr>
            <w:tcW w:w="343" w:type="pct"/>
            <w:tcBorders>
              <w:top w:val="single" w:color="auto" w:sz="4" w:space="0"/>
              <w:bottom w:val="single" w:color="auto" w:sz="4" w:space="0"/>
            </w:tcBorders>
            <w:vAlign w:val="center"/>
          </w:tcPr>
          <w:p w14:paraId="4E3E988C">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58.0</w:t>
            </w:r>
          </w:p>
        </w:tc>
        <w:tc>
          <w:tcPr>
            <w:tcW w:w="343" w:type="pct"/>
            <w:tcBorders>
              <w:top w:val="single" w:color="auto" w:sz="4" w:space="0"/>
              <w:bottom w:val="single" w:color="auto" w:sz="4" w:space="0"/>
              <w:right w:val="nil"/>
            </w:tcBorders>
            <w:vAlign w:val="center"/>
          </w:tcPr>
          <w:p w14:paraId="0E73C90D">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54.4</w:t>
            </w:r>
          </w:p>
        </w:tc>
        <w:tc>
          <w:tcPr>
            <w:tcW w:w="343" w:type="pct"/>
            <w:tcBorders>
              <w:top w:val="single" w:color="auto" w:sz="4" w:space="0"/>
              <w:bottom w:val="single" w:color="auto" w:sz="4" w:space="0"/>
              <w:right w:val="nil"/>
            </w:tcBorders>
            <w:vAlign w:val="center"/>
          </w:tcPr>
          <w:p w14:paraId="74F006A6">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49.3</w:t>
            </w:r>
          </w:p>
        </w:tc>
      </w:tr>
      <w:tr w14:paraId="1CC257E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4169F12B">
            <w:pPr>
              <w:pageBreakBefore w:val="0"/>
              <w:wordWrap/>
              <w:topLinePunct w:val="0"/>
              <w:bidi w:val="0"/>
              <w:spacing w:line="240" w:lineRule="auto"/>
              <w:ind w:firstLine="0" w:firstLineChars="0"/>
              <w:jc w:val="center"/>
              <w:rPr>
                <w:color w:val="000000" w:themeColor="text1"/>
                <w:position w:val="-24"/>
                <w:sz w:val="21"/>
                <w:szCs w:val="21"/>
                <w:highlight w:val="none"/>
              </w:rPr>
            </w:pPr>
            <w:r>
              <w:rPr>
                <w:color w:val="000000" w:themeColor="text1"/>
                <w:position w:val="-24"/>
                <w:sz w:val="21"/>
                <w:szCs w:val="21"/>
                <w:highlight w:val="none"/>
              </w:rPr>
              <w:t>2</w:t>
            </w:r>
          </w:p>
        </w:tc>
        <w:tc>
          <w:tcPr>
            <w:tcW w:w="943" w:type="pct"/>
            <w:tcBorders>
              <w:top w:val="single" w:color="auto" w:sz="4" w:space="0"/>
              <w:bottom w:val="single" w:color="auto" w:sz="4" w:space="0"/>
            </w:tcBorders>
            <w:shd w:val="clear" w:color="auto" w:fill="auto"/>
            <w:vAlign w:val="center"/>
          </w:tcPr>
          <w:p w14:paraId="0D0645EE">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电动挖掘机</w:t>
            </w:r>
          </w:p>
        </w:tc>
        <w:tc>
          <w:tcPr>
            <w:tcW w:w="308" w:type="pct"/>
            <w:tcBorders>
              <w:top w:val="single" w:color="auto" w:sz="4" w:space="0"/>
              <w:bottom w:val="single" w:color="auto" w:sz="4" w:space="0"/>
            </w:tcBorders>
            <w:shd w:val="clear" w:color="auto" w:fill="auto"/>
            <w:vAlign w:val="center"/>
          </w:tcPr>
          <w:p w14:paraId="7A0E77C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86</w:t>
            </w:r>
          </w:p>
        </w:tc>
        <w:tc>
          <w:tcPr>
            <w:tcW w:w="404" w:type="pct"/>
            <w:tcBorders>
              <w:top w:val="single" w:color="auto" w:sz="4" w:space="0"/>
              <w:bottom w:val="single" w:color="auto" w:sz="4" w:space="0"/>
            </w:tcBorders>
            <w:shd w:val="clear" w:color="auto" w:fill="auto"/>
            <w:vAlign w:val="center"/>
          </w:tcPr>
          <w:p w14:paraId="29BA4FE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80.0</w:t>
            </w:r>
          </w:p>
        </w:tc>
        <w:tc>
          <w:tcPr>
            <w:tcW w:w="343" w:type="pct"/>
            <w:tcBorders>
              <w:top w:val="single" w:color="auto" w:sz="4" w:space="0"/>
              <w:bottom w:val="single" w:color="auto" w:sz="4" w:space="0"/>
            </w:tcBorders>
            <w:shd w:val="clear" w:color="auto" w:fill="auto"/>
            <w:vAlign w:val="center"/>
          </w:tcPr>
          <w:p w14:paraId="6C96CEB6">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74.0</w:t>
            </w:r>
          </w:p>
        </w:tc>
        <w:tc>
          <w:tcPr>
            <w:tcW w:w="343" w:type="pct"/>
            <w:tcBorders>
              <w:top w:val="single" w:color="auto" w:sz="4" w:space="0"/>
              <w:bottom w:val="single" w:color="auto" w:sz="4" w:space="0"/>
            </w:tcBorders>
            <w:shd w:val="clear" w:color="auto" w:fill="auto"/>
            <w:vAlign w:val="center"/>
          </w:tcPr>
          <w:p w14:paraId="078C1710">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67.9</w:t>
            </w:r>
          </w:p>
        </w:tc>
        <w:tc>
          <w:tcPr>
            <w:tcW w:w="343" w:type="pct"/>
            <w:tcBorders>
              <w:top w:val="single" w:color="auto" w:sz="4" w:space="0"/>
              <w:bottom w:val="single" w:color="auto" w:sz="4" w:space="0"/>
            </w:tcBorders>
            <w:shd w:val="clear" w:color="auto" w:fill="auto"/>
            <w:vAlign w:val="center"/>
          </w:tcPr>
          <w:p w14:paraId="6DF16A9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64.4</w:t>
            </w:r>
          </w:p>
        </w:tc>
        <w:tc>
          <w:tcPr>
            <w:tcW w:w="343" w:type="pct"/>
            <w:tcBorders>
              <w:top w:val="single" w:color="auto" w:sz="4" w:space="0"/>
              <w:bottom w:val="single" w:color="auto" w:sz="4" w:space="0"/>
            </w:tcBorders>
            <w:shd w:val="clear" w:color="auto" w:fill="auto"/>
            <w:vAlign w:val="center"/>
          </w:tcPr>
          <w:p w14:paraId="762D2EE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61.9</w:t>
            </w:r>
          </w:p>
        </w:tc>
        <w:tc>
          <w:tcPr>
            <w:tcW w:w="343" w:type="pct"/>
            <w:tcBorders>
              <w:top w:val="single" w:color="auto" w:sz="4" w:space="0"/>
              <w:bottom w:val="single" w:color="auto" w:sz="4" w:space="0"/>
            </w:tcBorders>
            <w:shd w:val="clear" w:color="auto" w:fill="auto"/>
            <w:vAlign w:val="center"/>
          </w:tcPr>
          <w:p w14:paraId="26D10ABC">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60.0</w:t>
            </w:r>
          </w:p>
        </w:tc>
        <w:tc>
          <w:tcPr>
            <w:tcW w:w="343" w:type="pct"/>
            <w:tcBorders>
              <w:top w:val="single" w:color="auto" w:sz="4" w:space="0"/>
              <w:bottom w:val="single" w:color="auto" w:sz="4" w:space="0"/>
            </w:tcBorders>
            <w:shd w:val="clear" w:color="auto" w:fill="auto"/>
            <w:vAlign w:val="center"/>
          </w:tcPr>
          <w:p w14:paraId="47DB9946">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56.5</w:t>
            </w:r>
          </w:p>
        </w:tc>
        <w:tc>
          <w:tcPr>
            <w:tcW w:w="343" w:type="pct"/>
            <w:tcBorders>
              <w:top w:val="single" w:color="auto" w:sz="4" w:space="0"/>
              <w:bottom w:val="single" w:color="auto" w:sz="4" w:space="0"/>
            </w:tcBorders>
            <w:shd w:val="clear" w:color="auto" w:fill="auto"/>
            <w:vAlign w:val="center"/>
          </w:tcPr>
          <w:p w14:paraId="2D7A8D9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54.0</w:t>
            </w:r>
          </w:p>
        </w:tc>
        <w:tc>
          <w:tcPr>
            <w:tcW w:w="343" w:type="pct"/>
            <w:tcBorders>
              <w:top w:val="single" w:color="auto" w:sz="4" w:space="0"/>
              <w:bottom w:val="single" w:color="auto" w:sz="4" w:space="0"/>
              <w:right w:val="nil"/>
            </w:tcBorders>
            <w:shd w:val="clear" w:color="auto" w:fill="auto"/>
            <w:vAlign w:val="center"/>
          </w:tcPr>
          <w:p w14:paraId="0F999EF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50.4</w:t>
            </w:r>
          </w:p>
        </w:tc>
        <w:tc>
          <w:tcPr>
            <w:tcW w:w="343" w:type="pct"/>
            <w:tcBorders>
              <w:top w:val="single" w:color="auto" w:sz="4" w:space="0"/>
              <w:bottom w:val="single" w:color="auto" w:sz="4" w:space="0"/>
              <w:right w:val="nil"/>
            </w:tcBorders>
            <w:shd w:val="clear" w:color="auto" w:fill="auto"/>
            <w:vAlign w:val="center"/>
          </w:tcPr>
          <w:p w14:paraId="77DAF36F">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45.3</w:t>
            </w:r>
          </w:p>
        </w:tc>
      </w:tr>
      <w:tr w14:paraId="1A9C174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340" w:hRule="atLeast"/>
          <w:jc w:val="center"/>
        </w:trPr>
        <w:tc>
          <w:tcPr>
            <w:tcW w:w="250" w:type="pct"/>
            <w:tcBorders>
              <w:top w:val="single" w:color="auto" w:sz="4" w:space="0"/>
              <w:left w:val="nil"/>
              <w:bottom w:val="single" w:color="auto" w:sz="4" w:space="0"/>
            </w:tcBorders>
            <w:vAlign w:val="center"/>
          </w:tcPr>
          <w:p w14:paraId="16D9D71F">
            <w:pPr>
              <w:pageBreakBefore w:val="0"/>
              <w:wordWrap/>
              <w:topLinePunct w:val="0"/>
              <w:bidi w:val="0"/>
              <w:spacing w:line="240" w:lineRule="auto"/>
              <w:ind w:firstLine="0" w:firstLineChars="0"/>
              <w:jc w:val="center"/>
              <w:rPr>
                <w:color w:val="000000" w:themeColor="text1"/>
                <w:position w:val="-24"/>
                <w:sz w:val="21"/>
                <w:szCs w:val="21"/>
                <w:highlight w:val="none"/>
              </w:rPr>
            </w:pPr>
            <w:r>
              <w:rPr>
                <w:color w:val="000000" w:themeColor="text1"/>
                <w:position w:val="-24"/>
                <w:sz w:val="21"/>
                <w:szCs w:val="21"/>
                <w:highlight w:val="none"/>
              </w:rPr>
              <w:t>3</w:t>
            </w:r>
          </w:p>
        </w:tc>
        <w:tc>
          <w:tcPr>
            <w:tcW w:w="943" w:type="pct"/>
            <w:tcBorders>
              <w:top w:val="single" w:color="auto" w:sz="4" w:space="0"/>
              <w:bottom w:val="single" w:color="auto" w:sz="4" w:space="0"/>
            </w:tcBorders>
            <w:shd w:val="clear" w:color="auto" w:fill="auto"/>
            <w:vAlign w:val="center"/>
          </w:tcPr>
          <w:p w14:paraId="3D56FC3B">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轮式装载机</w:t>
            </w:r>
          </w:p>
        </w:tc>
        <w:tc>
          <w:tcPr>
            <w:tcW w:w="308" w:type="pct"/>
            <w:tcBorders>
              <w:top w:val="single" w:color="auto" w:sz="4" w:space="0"/>
              <w:bottom w:val="single" w:color="auto" w:sz="4" w:space="0"/>
            </w:tcBorders>
            <w:shd w:val="clear" w:color="auto" w:fill="auto"/>
            <w:vAlign w:val="center"/>
          </w:tcPr>
          <w:p w14:paraId="2FD0B9F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95</w:t>
            </w:r>
          </w:p>
        </w:tc>
        <w:tc>
          <w:tcPr>
            <w:tcW w:w="404" w:type="pct"/>
            <w:tcBorders>
              <w:top w:val="single" w:color="auto" w:sz="4" w:space="0"/>
              <w:bottom w:val="single" w:color="auto" w:sz="4" w:space="0"/>
            </w:tcBorders>
            <w:shd w:val="clear" w:color="auto" w:fill="auto"/>
            <w:vAlign w:val="center"/>
          </w:tcPr>
          <w:p w14:paraId="4837F19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w:t>
            </w:r>
            <w:r>
              <w:rPr>
                <w:rFonts w:hint="eastAsia"/>
                <w:snapToGrid w:val="0"/>
                <w:color w:val="000000" w:themeColor="text1"/>
                <w:kern w:val="0"/>
                <w:sz w:val="21"/>
                <w:szCs w:val="21"/>
                <w:highlight w:val="none"/>
                <w:lang w:val="en-US" w:eastAsia="zh-CN"/>
              </w:rPr>
              <w:t>9</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5619F2D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83</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4774B12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301C94DD">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73</w:t>
            </w:r>
            <w:r>
              <w:rPr>
                <w:snapToGrid w:val="0"/>
                <w:color w:val="000000" w:themeColor="text1"/>
                <w:kern w:val="0"/>
                <w:sz w:val="21"/>
                <w:szCs w:val="21"/>
                <w:highlight w:val="none"/>
              </w:rPr>
              <w:t>.4</w:t>
            </w:r>
          </w:p>
        </w:tc>
        <w:tc>
          <w:tcPr>
            <w:tcW w:w="343" w:type="pct"/>
            <w:tcBorders>
              <w:top w:val="single" w:color="auto" w:sz="4" w:space="0"/>
              <w:bottom w:val="single" w:color="auto" w:sz="4" w:space="0"/>
            </w:tcBorders>
            <w:shd w:val="clear" w:color="auto" w:fill="auto"/>
            <w:vAlign w:val="center"/>
          </w:tcPr>
          <w:p w14:paraId="6A8E4B9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70</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54F996B2">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9</w:t>
            </w:r>
          </w:p>
        </w:tc>
        <w:tc>
          <w:tcPr>
            <w:tcW w:w="343" w:type="pct"/>
            <w:tcBorders>
              <w:top w:val="single" w:color="auto" w:sz="4" w:space="0"/>
              <w:bottom w:val="single" w:color="auto" w:sz="4" w:space="0"/>
            </w:tcBorders>
            <w:shd w:val="clear" w:color="auto" w:fill="auto"/>
            <w:vAlign w:val="center"/>
          </w:tcPr>
          <w:p w14:paraId="7F0577B6">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5</w:t>
            </w:r>
            <w:r>
              <w:rPr>
                <w:snapToGrid w:val="0"/>
                <w:color w:val="000000" w:themeColor="text1"/>
                <w:kern w:val="0"/>
                <w:sz w:val="21"/>
                <w:szCs w:val="21"/>
                <w:highlight w:val="none"/>
              </w:rPr>
              <w:t>.5</w:t>
            </w:r>
          </w:p>
        </w:tc>
        <w:tc>
          <w:tcPr>
            <w:tcW w:w="343" w:type="pct"/>
            <w:tcBorders>
              <w:top w:val="single" w:color="auto" w:sz="4" w:space="0"/>
              <w:bottom w:val="single" w:color="auto" w:sz="4" w:space="0"/>
            </w:tcBorders>
            <w:shd w:val="clear" w:color="auto" w:fill="auto"/>
            <w:vAlign w:val="center"/>
          </w:tcPr>
          <w:p w14:paraId="0C6DEE7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63</w:t>
            </w:r>
            <w:r>
              <w:rPr>
                <w:snapToGrid w:val="0"/>
                <w:color w:val="000000" w:themeColor="text1"/>
                <w:kern w:val="0"/>
                <w:sz w:val="21"/>
                <w:szCs w:val="21"/>
                <w:highlight w:val="none"/>
              </w:rPr>
              <w:t>.0</w:t>
            </w:r>
          </w:p>
        </w:tc>
        <w:tc>
          <w:tcPr>
            <w:tcW w:w="343" w:type="pct"/>
            <w:tcBorders>
              <w:top w:val="single" w:color="auto" w:sz="4" w:space="0"/>
              <w:bottom w:val="single" w:color="auto" w:sz="4" w:space="0"/>
              <w:right w:val="nil"/>
            </w:tcBorders>
            <w:shd w:val="clear" w:color="auto" w:fill="auto"/>
            <w:vAlign w:val="center"/>
          </w:tcPr>
          <w:p w14:paraId="3E7758DA">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9</w:t>
            </w:r>
            <w:r>
              <w:rPr>
                <w:snapToGrid w:val="0"/>
                <w:color w:val="000000" w:themeColor="text1"/>
                <w:kern w:val="0"/>
                <w:sz w:val="21"/>
                <w:szCs w:val="21"/>
                <w:highlight w:val="none"/>
              </w:rPr>
              <w:t>.4</w:t>
            </w:r>
          </w:p>
        </w:tc>
        <w:tc>
          <w:tcPr>
            <w:tcW w:w="343" w:type="pct"/>
            <w:tcBorders>
              <w:top w:val="single" w:color="auto" w:sz="4" w:space="0"/>
              <w:bottom w:val="single" w:color="auto" w:sz="4" w:space="0"/>
              <w:right w:val="nil"/>
            </w:tcBorders>
            <w:shd w:val="clear" w:color="auto" w:fill="auto"/>
            <w:vAlign w:val="center"/>
          </w:tcPr>
          <w:p w14:paraId="505F4951">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44.3</w:t>
            </w:r>
          </w:p>
        </w:tc>
      </w:tr>
      <w:tr w14:paraId="700D4DD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6C1EC4A1">
            <w:pPr>
              <w:pageBreakBefore w:val="0"/>
              <w:wordWrap/>
              <w:topLinePunct w:val="0"/>
              <w:bidi w:val="0"/>
              <w:spacing w:line="240" w:lineRule="auto"/>
              <w:ind w:firstLine="0" w:firstLineChars="0"/>
              <w:jc w:val="center"/>
              <w:rPr>
                <w:color w:val="000000" w:themeColor="text1"/>
                <w:position w:val="-24"/>
                <w:sz w:val="21"/>
                <w:szCs w:val="21"/>
                <w:highlight w:val="none"/>
              </w:rPr>
            </w:pPr>
            <w:r>
              <w:rPr>
                <w:color w:val="000000" w:themeColor="text1"/>
                <w:position w:val="-24"/>
                <w:sz w:val="21"/>
                <w:szCs w:val="21"/>
                <w:highlight w:val="none"/>
              </w:rPr>
              <w:t>4</w:t>
            </w:r>
          </w:p>
        </w:tc>
        <w:tc>
          <w:tcPr>
            <w:tcW w:w="943" w:type="pct"/>
            <w:tcBorders>
              <w:top w:val="single" w:color="auto" w:sz="4" w:space="0"/>
              <w:bottom w:val="single" w:color="auto" w:sz="4" w:space="0"/>
            </w:tcBorders>
            <w:shd w:val="clear" w:color="auto" w:fill="auto"/>
            <w:vAlign w:val="center"/>
          </w:tcPr>
          <w:p w14:paraId="28FA3CB3">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推土机</w:t>
            </w:r>
          </w:p>
        </w:tc>
        <w:tc>
          <w:tcPr>
            <w:tcW w:w="308" w:type="pct"/>
            <w:tcBorders>
              <w:top w:val="single" w:color="auto" w:sz="4" w:space="0"/>
              <w:bottom w:val="single" w:color="auto" w:sz="4" w:space="0"/>
            </w:tcBorders>
            <w:shd w:val="clear" w:color="auto" w:fill="auto"/>
            <w:vAlign w:val="center"/>
          </w:tcPr>
          <w:p w14:paraId="2ECEDA02">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88</w:t>
            </w:r>
          </w:p>
        </w:tc>
        <w:tc>
          <w:tcPr>
            <w:tcW w:w="404" w:type="pct"/>
            <w:tcBorders>
              <w:top w:val="single" w:color="auto" w:sz="4" w:space="0"/>
              <w:bottom w:val="single" w:color="auto" w:sz="4" w:space="0"/>
            </w:tcBorders>
            <w:shd w:val="clear" w:color="auto" w:fill="auto"/>
            <w:vAlign w:val="center"/>
          </w:tcPr>
          <w:p w14:paraId="1BF720A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7CF63F5F">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054CDF80">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9</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227EF97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.4</w:t>
            </w:r>
          </w:p>
        </w:tc>
        <w:tc>
          <w:tcPr>
            <w:tcW w:w="343" w:type="pct"/>
            <w:tcBorders>
              <w:top w:val="single" w:color="auto" w:sz="4" w:space="0"/>
              <w:bottom w:val="single" w:color="auto" w:sz="4" w:space="0"/>
            </w:tcBorders>
            <w:shd w:val="clear" w:color="auto" w:fill="auto"/>
            <w:vAlign w:val="center"/>
          </w:tcPr>
          <w:p w14:paraId="13F0469E">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3</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7658484E">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232CDBE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8</w:t>
            </w:r>
            <w:r>
              <w:rPr>
                <w:snapToGrid w:val="0"/>
                <w:color w:val="000000" w:themeColor="text1"/>
                <w:kern w:val="0"/>
                <w:sz w:val="21"/>
                <w:szCs w:val="21"/>
                <w:highlight w:val="none"/>
              </w:rPr>
              <w:t>.5</w:t>
            </w:r>
          </w:p>
        </w:tc>
        <w:tc>
          <w:tcPr>
            <w:tcW w:w="343" w:type="pct"/>
            <w:tcBorders>
              <w:top w:val="single" w:color="auto" w:sz="4" w:space="0"/>
              <w:bottom w:val="single" w:color="auto" w:sz="4" w:space="0"/>
            </w:tcBorders>
            <w:shd w:val="clear" w:color="auto" w:fill="auto"/>
            <w:vAlign w:val="center"/>
          </w:tcPr>
          <w:p w14:paraId="03A84BD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.0</w:t>
            </w:r>
          </w:p>
        </w:tc>
        <w:tc>
          <w:tcPr>
            <w:tcW w:w="343" w:type="pct"/>
            <w:tcBorders>
              <w:top w:val="single" w:color="auto" w:sz="4" w:space="0"/>
              <w:bottom w:val="single" w:color="auto" w:sz="4" w:space="0"/>
              <w:right w:val="nil"/>
            </w:tcBorders>
            <w:shd w:val="clear" w:color="auto" w:fill="auto"/>
            <w:vAlign w:val="center"/>
          </w:tcPr>
          <w:p w14:paraId="6F130DA6">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.4</w:t>
            </w:r>
          </w:p>
        </w:tc>
        <w:tc>
          <w:tcPr>
            <w:tcW w:w="343" w:type="pct"/>
            <w:tcBorders>
              <w:top w:val="single" w:color="auto" w:sz="4" w:space="0"/>
              <w:bottom w:val="single" w:color="auto" w:sz="4" w:space="0"/>
              <w:right w:val="nil"/>
            </w:tcBorders>
            <w:shd w:val="clear" w:color="auto" w:fill="auto"/>
            <w:vAlign w:val="center"/>
          </w:tcPr>
          <w:p w14:paraId="70AFA79A">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47.3</w:t>
            </w:r>
          </w:p>
        </w:tc>
      </w:tr>
      <w:tr w14:paraId="6B45AC8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46187699">
            <w:pPr>
              <w:pageBreakBefore w:val="0"/>
              <w:wordWrap/>
              <w:topLinePunct w:val="0"/>
              <w:bidi w:val="0"/>
              <w:spacing w:line="240" w:lineRule="auto"/>
              <w:ind w:firstLine="0" w:firstLineChars="0"/>
              <w:jc w:val="center"/>
              <w:rPr>
                <w:rFonts w:hint="eastAsia" w:eastAsia="宋体"/>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5</w:t>
            </w:r>
          </w:p>
        </w:tc>
        <w:tc>
          <w:tcPr>
            <w:tcW w:w="943" w:type="pct"/>
            <w:tcBorders>
              <w:top w:val="single" w:color="auto" w:sz="4" w:space="0"/>
              <w:bottom w:val="single" w:color="auto" w:sz="4" w:space="0"/>
            </w:tcBorders>
            <w:shd w:val="clear" w:color="auto" w:fill="auto"/>
            <w:vAlign w:val="center"/>
          </w:tcPr>
          <w:p w14:paraId="5826BF07">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各类压路机</w:t>
            </w:r>
          </w:p>
        </w:tc>
        <w:tc>
          <w:tcPr>
            <w:tcW w:w="308" w:type="pct"/>
            <w:tcBorders>
              <w:top w:val="single" w:color="auto" w:sz="4" w:space="0"/>
              <w:bottom w:val="single" w:color="auto" w:sz="4" w:space="0"/>
            </w:tcBorders>
            <w:shd w:val="clear" w:color="auto" w:fill="auto"/>
            <w:vAlign w:val="center"/>
          </w:tcPr>
          <w:p w14:paraId="6CDE6CFC">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w:t>
            </w:r>
          </w:p>
        </w:tc>
        <w:tc>
          <w:tcPr>
            <w:tcW w:w="404" w:type="pct"/>
            <w:tcBorders>
              <w:top w:val="single" w:color="auto" w:sz="4" w:space="0"/>
              <w:bottom w:val="single" w:color="auto" w:sz="4" w:space="0"/>
            </w:tcBorders>
            <w:shd w:val="clear" w:color="auto" w:fill="auto"/>
            <w:vAlign w:val="center"/>
          </w:tcPr>
          <w:p w14:paraId="5D5D47E9">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84.0</w:t>
            </w:r>
          </w:p>
        </w:tc>
        <w:tc>
          <w:tcPr>
            <w:tcW w:w="343" w:type="pct"/>
            <w:tcBorders>
              <w:top w:val="single" w:color="auto" w:sz="4" w:space="0"/>
              <w:bottom w:val="single" w:color="auto" w:sz="4" w:space="0"/>
            </w:tcBorders>
            <w:shd w:val="clear" w:color="auto" w:fill="auto"/>
            <w:vAlign w:val="center"/>
          </w:tcPr>
          <w:p w14:paraId="75EF708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78.0</w:t>
            </w:r>
          </w:p>
        </w:tc>
        <w:tc>
          <w:tcPr>
            <w:tcW w:w="343" w:type="pct"/>
            <w:tcBorders>
              <w:top w:val="single" w:color="auto" w:sz="4" w:space="0"/>
              <w:bottom w:val="single" w:color="auto" w:sz="4" w:space="0"/>
            </w:tcBorders>
            <w:shd w:val="clear" w:color="auto" w:fill="auto"/>
            <w:vAlign w:val="center"/>
          </w:tcPr>
          <w:p w14:paraId="7F0646D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71.9</w:t>
            </w:r>
          </w:p>
        </w:tc>
        <w:tc>
          <w:tcPr>
            <w:tcW w:w="343" w:type="pct"/>
            <w:tcBorders>
              <w:top w:val="single" w:color="auto" w:sz="4" w:space="0"/>
              <w:bottom w:val="single" w:color="auto" w:sz="4" w:space="0"/>
            </w:tcBorders>
            <w:shd w:val="clear" w:color="auto" w:fill="auto"/>
            <w:vAlign w:val="center"/>
          </w:tcPr>
          <w:p w14:paraId="4066B4C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68.4</w:t>
            </w:r>
          </w:p>
        </w:tc>
        <w:tc>
          <w:tcPr>
            <w:tcW w:w="343" w:type="pct"/>
            <w:tcBorders>
              <w:top w:val="single" w:color="auto" w:sz="4" w:space="0"/>
              <w:bottom w:val="single" w:color="auto" w:sz="4" w:space="0"/>
            </w:tcBorders>
            <w:shd w:val="clear" w:color="auto" w:fill="auto"/>
            <w:vAlign w:val="center"/>
          </w:tcPr>
          <w:p w14:paraId="10707D18">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65.9</w:t>
            </w:r>
          </w:p>
        </w:tc>
        <w:tc>
          <w:tcPr>
            <w:tcW w:w="343" w:type="pct"/>
            <w:tcBorders>
              <w:top w:val="single" w:color="auto" w:sz="4" w:space="0"/>
              <w:bottom w:val="single" w:color="auto" w:sz="4" w:space="0"/>
            </w:tcBorders>
            <w:shd w:val="clear" w:color="auto" w:fill="auto"/>
            <w:vAlign w:val="center"/>
          </w:tcPr>
          <w:p w14:paraId="64F78F5F">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64</w:t>
            </w:r>
          </w:p>
        </w:tc>
        <w:tc>
          <w:tcPr>
            <w:tcW w:w="343" w:type="pct"/>
            <w:tcBorders>
              <w:top w:val="single" w:color="auto" w:sz="4" w:space="0"/>
              <w:bottom w:val="single" w:color="auto" w:sz="4" w:space="0"/>
            </w:tcBorders>
            <w:shd w:val="clear" w:color="auto" w:fill="auto"/>
            <w:vAlign w:val="center"/>
          </w:tcPr>
          <w:p w14:paraId="459F7B8F">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60.5</w:t>
            </w:r>
          </w:p>
        </w:tc>
        <w:tc>
          <w:tcPr>
            <w:tcW w:w="343" w:type="pct"/>
            <w:tcBorders>
              <w:top w:val="single" w:color="auto" w:sz="4" w:space="0"/>
              <w:bottom w:val="single" w:color="auto" w:sz="4" w:space="0"/>
            </w:tcBorders>
            <w:shd w:val="clear" w:color="auto" w:fill="auto"/>
            <w:vAlign w:val="center"/>
          </w:tcPr>
          <w:p w14:paraId="27EC906A">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58.0</w:t>
            </w:r>
          </w:p>
        </w:tc>
        <w:tc>
          <w:tcPr>
            <w:tcW w:w="343" w:type="pct"/>
            <w:tcBorders>
              <w:top w:val="single" w:color="auto" w:sz="4" w:space="0"/>
              <w:bottom w:val="single" w:color="auto" w:sz="4" w:space="0"/>
              <w:right w:val="nil"/>
            </w:tcBorders>
            <w:shd w:val="clear" w:color="auto" w:fill="auto"/>
            <w:vAlign w:val="center"/>
          </w:tcPr>
          <w:p w14:paraId="7AE8A3E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54.4</w:t>
            </w:r>
          </w:p>
        </w:tc>
        <w:tc>
          <w:tcPr>
            <w:tcW w:w="343" w:type="pct"/>
            <w:tcBorders>
              <w:top w:val="single" w:color="auto" w:sz="4" w:space="0"/>
              <w:bottom w:val="single" w:color="auto" w:sz="4" w:space="0"/>
              <w:right w:val="nil"/>
            </w:tcBorders>
            <w:shd w:val="clear" w:color="auto" w:fill="auto"/>
            <w:vAlign w:val="center"/>
          </w:tcPr>
          <w:p w14:paraId="6FFC1004">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49.3</w:t>
            </w:r>
          </w:p>
        </w:tc>
      </w:tr>
      <w:tr w14:paraId="5E32887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7E37958F">
            <w:pPr>
              <w:pageBreakBefore w:val="0"/>
              <w:wordWrap/>
              <w:topLinePunct w:val="0"/>
              <w:bidi w:val="0"/>
              <w:spacing w:line="240" w:lineRule="auto"/>
              <w:ind w:firstLine="0" w:firstLineChars="0"/>
              <w:jc w:val="center"/>
              <w:rPr>
                <w:rFonts w:hint="eastAsia" w:eastAsia="宋体"/>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6</w:t>
            </w:r>
          </w:p>
        </w:tc>
        <w:tc>
          <w:tcPr>
            <w:tcW w:w="943" w:type="pct"/>
            <w:tcBorders>
              <w:top w:val="single" w:color="auto" w:sz="4" w:space="0"/>
              <w:bottom w:val="single" w:color="auto" w:sz="4" w:space="0"/>
            </w:tcBorders>
            <w:shd w:val="clear" w:color="auto" w:fill="auto"/>
            <w:vAlign w:val="center"/>
          </w:tcPr>
          <w:p w14:paraId="69748CD7">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静力压桩基</w:t>
            </w:r>
          </w:p>
        </w:tc>
        <w:tc>
          <w:tcPr>
            <w:tcW w:w="308" w:type="pct"/>
            <w:tcBorders>
              <w:top w:val="single" w:color="auto" w:sz="4" w:space="0"/>
              <w:bottom w:val="single" w:color="auto" w:sz="4" w:space="0"/>
            </w:tcBorders>
            <w:shd w:val="clear" w:color="auto" w:fill="auto"/>
            <w:vAlign w:val="center"/>
          </w:tcPr>
          <w:p w14:paraId="3A7628C6">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75</w:t>
            </w:r>
          </w:p>
        </w:tc>
        <w:tc>
          <w:tcPr>
            <w:tcW w:w="404" w:type="pct"/>
            <w:tcBorders>
              <w:top w:val="single" w:color="auto" w:sz="4" w:space="0"/>
              <w:bottom w:val="single" w:color="auto" w:sz="4" w:space="0"/>
            </w:tcBorders>
            <w:shd w:val="clear" w:color="auto" w:fill="auto"/>
            <w:vAlign w:val="center"/>
          </w:tcPr>
          <w:p w14:paraId="62B730E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69</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71DCA2B2">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63</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3969A58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56</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27DB793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53</w:t>
            </w:r>
            <w:r>
              <w:rPr>
                <w:snapToGrid w:val="0"/>
                <w:color w:val="000000" w:themeColor="text1"/>
                <w:kern w:val="0"/>
                <w:sz w:val="21"/>
                <w:szCs w:val="21"/>
                <w:highlight w:val="none"/>
              </w:rPr>
              <w:t>.4</w:t>
            </w:r>
          </w:p>
        </w:tc>
        <w:tc>
          <w:tcPr>
            <w:tcW w:w="343" w:type="pct"/>
            <w:tcBorders>
              <w:top w:val="single" w:color="auto" w:sz="4" w:space="0"/>
              <w:bottom w:val="single" w:color="auto" w:sz="4" w:space="0"/>
            </w:tcBorders>
            <w:shd w:val="clear" w:color="auto" w:fill="auto"/>
            <w:vAlign w:val="center"/>
          </w:tcPr>
          <w:p w14:paraId="13FFE8E0">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50</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2C312748">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49</w:t>
            </w:r>
          </w:p>
        </w:tc>
        <w:tc>
          <w:tcPr>
            <w:tcW w:w="343" w:type="pct"/>
            <w:tcBorders>
              <w:top w:val="single" w:color="auto" w:sz="4" w:space="0"/>
              <w:bottom w:val="single" w:color="auto" w:sz="4" w:space="0"/>
            </w:tcBorders>
            <w:shd w:val="clear" w:color="auto" w:fill="auto"/>
            <w:vAlign w:val="center"/>
          </w:tcPr>
          <w:p w14:paraId="76BF0399">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45</w:t>
            </w:r>
            <w:r>
              <w:rPr>
                <w:snapToGrid w:val="0"/>
                <w:color w:val="000000" w:themeColor="text1"/>
                <w:kern w:val="0"/>
                <w:sz w:val="21"/>
                <w:szCs w:val="21"/>
                <w:highlight w:val="none"/>
              </w:rPr>
              <w:t>.5</w:t>
            </w:r>
          </w:p>
        </w:tc>
        <w:tc>
          <w:tcPr>
            <w:tcW w:w="343" w:type="pct"/>
            <w:tcBorders>
              <w:top w:val="single" w:color="auto" w:sz="4" w:space="0"/>
              <w:bottom w:val="single" w:color="auto" w:sz="4" w:space="0"/>
            </w:tcBorders>
            <w:shd w:val="clear" w:color="auto" w:fill="auto"/>
            <w:vAlign w:val="center"/>
          </w:tcPr>
          <w:p w14:paraId="4803765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43</w:t>
            </w:r>
            <w:r>
              <w:rPr>
                <w:snapToGrid w:val="0"/>
                <w:color w:val="000000" w:themeColor="text1"/>
                <w:kern w:val="0"/>
                <w:sz w:val="21"/>
                <w:szCs w:val="21"/>
                <w:highlight w:val="none"/>
              </w:rPr>
              <w:t>.0</w:t>
            </w:r>
          </w:p>
        </w:tc>
        <w:tc>
          <w:tcPr>
            <w:tcW w:w="343" w:type="pct"/>
            <w:tcBorders>
              <w:top w:val="single" w:color="auto" w:sz="4" w:space="0"/>
              <w:bottom w:val="single" w:color="auto" w:sz="4" w:space="0"/>
              <w:right w:val="nil"/>
            </w:tcBorders>
            <w:shd w:val="clear" w:color="auto" w:fill="auto"/>
            <w:vAlign w:val="center"/>
          </w:tcPr>
          <w:p w14:paraId="76F02369">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39</w:t>
            </w:r>
            <w:r>
              <w:rPr>
                <w:snapToGrid w:val="0"/>
                <w:color w:val="000000" w:themeColor="text1"/>
                <w:kern w:val="0"/>
                <w:sz w:val="21"/>
                <w:szCs w:val="21"/>
                <w:highlight w:val="none"/>
              </w:rPr>
              <w:t>.4</w:t>
            </w:r>
          </w:p>
        </w:tc>
        <w:tc>
          <w:tcPr>
            <w:tcW w:w="343" w:type="pct"/>
            <w:tcBorders>
              <w:top w:val="single" w:color="auto" w:sz="4" w:space="0"/>
              <w:bottom w:val="single" w:color="auto" w:sz="4" w:space="0"/>
              <w:right w:val="nil"/>
            </w:tcBorders>
            <w:shd w:val="clear" w:color="auto" w:fill="auto"/>
            <w:vAlign w:val="center"/>
          </w:tcPr>
          <w:p w14:paraId="028924F2">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34.3</w:t>
            </w:r>
          </w:p>
        </w:tc>
      </w:tr>
      <w:tr w14:paraId="55E1C58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774E62BD">
            <w:pPr>
              <w:pageBreakBefore w:val="0"/>
              <w:wordWrap/>
              <w:topLinePunct w:val="0"/>
              <w:bidi w:val="0"/>
              <w:spacing w:line="240" w:lineRule="auto"/>
              <w:ind w:firstLine="0" w:firstLineChars="0"/>
              <w:jc w:val="center"/>
              <w:rPr>
                <w:rFonts w:hint="default" w:eastAsia="宋体"/>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7</w:t>
            </w:r>
          </w:p>
        </w:tc>
        <w:tc>
          <w:tcPr>
            <w:tcW w:w="943" w:type="pct"/>
            <w:tcBorders>
              <w:top w:val="single" w:color="auto" w:sz="4" w:space="0"/>
              <w:bottom w:val="single" w:color="auto" w:sz="4" w:space="0"/>
            </w:tcBorders>
            <w:shd w:val="clear" w:color="auto" w:fill="auto"/>
            <w:vAlign w:val="center"/>
          </w:tcPr>
          <w:p w14:paraId="0F53788B">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风镐</w:t>
            </w:r>
          </w:p>
        </w:tc>
        <w:tc>
          <w:tcPr>
            <w:tcW w:w="308" w:type="pct"/>
            <w:tcBorders>
              <w:top w:val="single" w:color="auto" w:sz="4" w:space="0"/>
              <w:bottom w:val="single" w:color="auto" w:sz="4" w:space="0"/>
            </w:tcBorders>
            <w:shd w:val="clear" w:color="auto" w:fill="auto"/>
            <w:vAlign w:val="center"/>
          </w:tcPr>
          <w:p w14:paraId="0BDD0F6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92</w:t>
            </w:r>
          </w:p>
        </w:tc>
        <w:tc>
          <w:tcPr>
            <w:tcW w:w="404" w:type="pct"/>
            <w:tcBorders>
              <w:top w:val="single" w:color="auto" w:sz="4" w:space="0"/>
              <w:bottom w:val="single" w:color="auto" w:sz="4" w:space="0"/>
            </w:tcBorders>
            <w:shd w:val="clear" w:color="auto" w:fill="auto"/>
            <w:vAlign w:val="center"/>
          </w:tcPr>
          <w:p w14:paraId="0909DB0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32A6536A">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80</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5056121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w:t>
            </w:r>
            <w:r>
              <w:rPr>
                <w:rFonts w:hint="eastAsia"/>
                <w:snapToGrid w:val="0"/>
                <w:color w:val="000000" w:themeColor="text1"/>
                <w:kern w:val="0"/>
                <w:sz w:val="21"/>
                <w:szCs w:val="21"/>
                <w:highlight w:val="none"/>
                <w:lang w:val="en-US" w:eastAsia="zh-CN"/>
              </w:rPr>
              <w:t>3</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5E587B0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70</w:t>
            </w:r>
            <w:r>
              <w:rPr>
                <w:snapToGrid w:val="0"/>
                <w:color w:val="000000" w:themeColor="text1"/>
                <w:kern w:val="0"/>
                <w:sz w:val="21"/>
                <w:szCs w:val="21"/>
                <w:highlight w:val="none"/>
              </w:rPr>
              <w:t>.4</w:t>
            </w:r>
          </w:p>
        </w:tc>
        <w:tc>
          <w:tcPr>
            <w:tcW w:w="343" w:type="pct"/>
            <w:tcBorders>
              <w:top w:val="single" w:color="auto" w:sz="4" w:space="0"/>
              <w:bottom w:val="single" w:color="auto" w:sz="4" w:space="0"/>
            </w:tcBorders>
            <w:shd w:val="clear" w:color="auto" w:fill="auto"/>
            <w:vAlign w:val="center"/>
          </w:tcPr>
          <w:p w14:paraId="1F41986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7</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66BDAE57">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6</w:t>
            </w:r>
          </w:p>
        </w:tc>
        <w:tc>
          <w:tcPr>
            <w:tcW w:w="343" w:type="pct"/>
            <w:tcBorders>
              <w:top w:val="single" w:color="auto" w:sz="4" w:space="0"/>
              <w:bottom w:val="single" w:color="auto" w:sz="4" w:space="0"/>
            </w:tcBorders>
            <w:shd w:val="clear" w:color="auto" w:fill="auto"/>
            <w:vAlign w:val="center"/>
          </w:tcPr>
          <w:p w14:paraId="5A325ED6">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.5</w:t>
            </w:r>
          </w:p>
        </w:tc>
        <w:tc>
          <w:tcPr>
            <w:tcW w:w="343" w:type="pct"/>
            <w:tcBorders>
              <w:top w:val="single" w:color="auto" w:sz="4" w:space="0"/>
              <w:bottom w:val="single" w:color="auto" w:sz="4" w:space="0"/>
            </w:tcBorders>
            <w:shd w:val="clear" w:color="auto" w:fill="auto"/>
            <w:vAlign w:val="center"/>
          </w:tcPr>
          <w:p w14:paraId="1928BD36">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60</w:t>
            </w:r>
            <w:r>
              <w:rPr>
                <w:snapToGrid w:val="0"/>
                <w:color w:val="000000" w:themeColor="text1"/>
                <w:kern w:val="0"/>
                <w:sz w:val="21"/>
                <w:szCs w:val="21"/>
                <w:highlight w:val="none"/>
              </w:rPr>
              <w:t>.0</w:t>
            </w:r>
          </w:p>
        </w:tc>
        <w:tc>
          <w:tcPr>
            <w:tcW w:w="343" w:type="pct"/>
            <w:tcBorders>
              <w:top w:val="single" w:color="auto" w:sz="4" w:space="0"/>
              <w:bottom w:val="single" w:color="auto" w:sz="4" w:space="0"/>
              <w:right w:val="nil"/>
            </w:tcBorders>
            <w:shd w:val="clear" w:color="auto" w:fill="auto"/>
            <w:vAlign w:val="center"/>
          </w:tcPr>
          <w:p w14:paraId="75F7526C">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.4</w:t>
            </w:r>
          </w:p>
        </w:tc>
        <w:tc>
          <w:tcPr>
            <w:tcW w:w="343" w:type="pct"/>
            <w:tcBorders>
              <w:top w:val="single" w:color="auto" w:sz="4" w:space="0"/>
              <w:bottom w:val="single" w:color="auto" w:sz="4" w:space="0"/>
              <w:right w:val="nil"/>
            </w:tcBorders>
            <w:shd w:val="clear" w:color="auto" w:fill="auto"/>
            <w:vAlign w:val="center"/>
          </w:tcPr>
          <w:p w14:paraId="53D48F9E">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51.3</w:t>
            </w:r>
          </w:p>
        </w:tc>
      </w:tr>
      <w:tr w14:paraId="2ABECFB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72759464">
            <w:pPr>
              <w:pageBreakBefore w:val="0"/>
              <w:wordWrap/>
              <w:topLinePunct w:val="0"/>
              <w:bidi w:val="0"/>
              <w:spacing w:line="240" w:lineRule="auto"/>
              <w:ind w:firstLine="0" w:firstLineChars="0"/>
              <w:jc w:val="center"/>
              <w:rPr>
                <w:rFonts w:hint="default" w:eastAsia="宋体"/>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8</w:t>
            </w:r>
          </w:p>
        </w:tc>
        <w:tc>
          <w:tcPr>
            <w:tcW w:w="943" w:type="pct"/>
            <w:tcBorders>
              <w:top w:val="single" w:color="auto" w:sz="4" w:space="0"/>
              <w:bottom w:val="single" w:color="auto" w:sz="4" w:space="0"/>
            </w:tcBorders>
            <w:shd w:val="clear" w:color="auto" w:fill="auto"/>
            <w:vAlign w:val="center"/>
          </w:tcPr>
          <w:p w14:paraId="66BA3D0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混凝土输送泵</w:t>
            </w:r>
          </w:p>
        </w:tc>
        <w:tc>
          <w:tcPr>
            <w:tcW w:w="308" w:type="pct"/>
            <w:tcBorders>
              <w:top w:val="single" w:color="auto" w:sz="4" w:space="0"/>
              <w:bottom w:val="single" w:color="auto" w:sz="4" w:space="0"/>
            </w:tcBorders>
            <w:shd w:val="clear" w:color="auto" w:fill="auto"/>
            <w:vAlign w:val="center"/>
          </w:tcPr>
          <w:p w14:paraId="067FDBEA">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95</w:t>
            </w:r>
          </w:p>
        </w:tc>
        <w:tc>
          <w:tcPr>
            <w:tcW w:w="404" w:type="pct"/>
            <w:tcBorders>
              <w:top w:val="single" w:color="auto" w:sz="4" w:space="0"/>
              <w:bottom w:val="single" w:color="auto" w:sz="4" w:space="0"/>
            </w:tcBorders>
            <w:shd w:val="clear" w:color="auto" w:fill="auto"/>
            <w:vAlign w:val="center"/>
          </w:tcPr>
          <w:p w14:paraId="6C1F490E">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w:t>
            </w:r>
            <w:r>
              <w:rPr>
                <w:rFonts w:hint="eastAsia"/>
                <w:snapToGrid w:val="0"/>
                <w:color w:val="000000" w:themeColor="text1"/>
                <w:kern w:val="0"/>
                <w:sz w:val="21"/>
                <w:szCs w:val="21"/>
                <w:highlight w:val="none"/>
                <w:lang w:val="en-US" w:eastAsia="zh-CN"/>
              </w:rPr>
              <w:t>9</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238EB799">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83</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5674AC2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5C7F15F2">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73</w:t>
            </w:r>
            <w:r>
              <w:rPr>
                <w:snapToGrid w:val="0"/>
                <w:color w:val="000000" w:themeColor="text1"/>
                <w:kern w:val="0"/>
                <w:sz w:val="21"/>
                <w:szCs w:val="21"/>
                <w:highlight w:val="none"/>
              </w:rPr>
              <w:t>.4</w:t>
            </w:r>
          </w:p>
        </w:tc>
        <w:tc>
          <w:tcPr>
            <w:tcW w:w="343" w:type="pct"/>
            <w:tcBorders>
              <w:top w:val="single" w:color="auto" w:sz="4" w:space="0"/>
              <w:bottom w:val="single" w:color="auto" w:sz="4" w:space="0"/>
            </w:tcBorders>
            <w:shd w:val="clear" w:color="auto" w:fill="auto"/>
            <w:vAlign w:val="center"/>
          </w:tcPr>
          <w:p w14:paraId="6EB6EF4F">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70</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00713FB2">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9</w:t>
            </w:r>
          </w:p>
        </w:tc>
        <w:tc>
          <w:tcPr>
            <w:tcW w:w="343" w:type="pct"/>
            <w:tcBorders>
              <w:top w:val="single" w:color="auto" w:sz="4" w:space="0"/>
              <w:bottom w:val="single" w:color="auto" w:sz="4" w:space="0"/>
            </w:tcBorders>
            <w:shd w:val="clear" w:color="auto" w:fill="auto"/>
            <w:vAlign w:val="center"/>
          </w:tcPr>
          <w:p w14:paraId="65130C4D">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5</w:t>
            </w:r>
            <w:r>
              <w:rPr>
                <w:snapToGrid w:val="0"/>
                <w:color w:val="000000" w:themeColor="text1"/>
                <w:kern w:val="0"/>
                <w:sz w:val="21"/>
                <w:szCs w:val="21"/>
                <w:highlight w:val="none"/>
              </w:rPr>
              <w:t>.5</w:t>
            </w:r>
          </w:p>
        </w:tc>
        <w:tc>
          <w:tcPr>
            <w:tcW w:w="343" w:type="pct"/>
            <w:tcBorders>
              <w:top w:val="single" w:color="auto" w:sz="4" w:space="0"/>
              <w:bottom w:val="single" w:color="auto" w:sz="4" w:space="0"/>
            </w:tcBorders>
            <w:shd w:val="clear" w:color="auto" w:fill="auto"/>
            <w:vAlign w:val="center"/>
          </w:tcPr>
          <w:p w14:paraId="5520130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63</w:t>
            </w:r>
            <w:r>
              <w:rPr>
                <w:snapToGrid w:val="0"/>
                <w:color w:val="000000" w:themeColor="text1"/>
                <w:kern w:val="0"/>
                <w:sz w:val="21"/>
                <w:szCs w:val="21"/>
                <w:highlight w:val="none"/>
              </w:rPr>
              <w:t>.0</w:t>
            </w:r>
          </w:p>
        </w:tc>
        <w:tc>
          <w:tcPr>
            <w:tcW w:w="343" w:type="pct"/>
            <w:tcBorders>
              <w:top w:val="single" w:color="auto" w:sz="4" w:space="0"/>
              <w:bottom w:val="single" w:color="auto" w:sz="4" w:space="0"/>
              <w:right w:val="nil"/>
            </w:tcBorders>
            <w:shd w:val="clear" w:color="auto" w:fill="auto"/>
            <w:vAlign w:val="center"/>
          </w:tcPr>
          <w:p w14:paraId="16441658">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9</w:t>
            </w:r>
            <w:r>
              <w:rPr>
                <w:snapToGrid w:val="0"/>
                <w:color w:val="000000" w:themeColor="text1"/>
                <w:kern w:val="0"/>
                <w:sz w:val="21"/>
                <w:szCs w:val="21"/>
                <w:highlight w:val="none"/>
              </w:rPr>
              <w:t>.4</w:t>
            </w:r>
          </w:p>
        </w:tc>
        <w:tc>
          <w:tcPr>
            <w:tcW w:w="343" w:type="pct"/>
            <w:tcBorders>
              <w:top w:val="single" w:color="auto" w:sz="4" w:space="0"/>
              <w:bottom w:val="single" w:color="auto" w:sz="4" w:space="0"/>
              <w:right w:val="nil"/>
            </w:tcBorders>
            <w:shd w:val="clear" w:color="auto" w:fill="auto"/>
            <w:vAlign w:val="center"/>
          </w:tcPr>
          <w:p w14:paraId="0FDE2DA9">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54.3</w:t>
            </w:r>
          </w:p>
        </w:tc>
      </w:tr>
      <w:tr w14:paraId="503AA12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216102FA">
            <w:pPr>
              <w:pageBreakBefore w:val="0"/>
              <w:wordWrap/>
              <w:topLinePunct w:val="0"/>
              <w:bidi w:val="0"/>
              <w:spacing w:line="240" w:lineRule="auto"/>
              <w:ind w:firstLine="0" w:firstLineChars="0"/>
              <w:jc w:val="center"/>
              <w:rPr>
                <w:rFonts w:hint="default" w:eastAsia="宋体"/>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9</w:t>
            </w:r>
          </w:p>
        </w:tc>
        <w:tc>
          <w:tcPr>
            <w:tcW w:w="943" w:type="pct"/>
            <w:tcBorders>
              <w:top w:val="single" w:color="auto" w:sz="4" w:space="0"/>
              <w:bottom w:val="single" w:color="auto" w:sz="4" w:space="0"/>
            </w:tcBorders>
            <w:shd w:val="clear" w:color="auto" w:fill="auto"/>
            <w:vAlign w:val="center"/>
          </w:tcPr>
          <w:p w14:paraId="7C276569">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商砼搅拌车</w:t>
            </w:r>
          </w:p>
        </w:tc>
        <w:tc>
          <w:tcPr>
            <w:tcW w:w="308" w:type="pct"/>
            <w:tcBorders>
              <w:top w:val="single" w:color="auto" w:sz="4" w:space="0"/>
              <w:bottom w:val="single" w:color="auto" w:sz="4" w:space="0"/>
            </w:tcBorders>
            <w:shd w:val="clear" w:color="auto" w:fill="auto"/>
            <w:vAlign w:val="center"/>
          </w:tcPr>
          <w:p w14:paraId="192B5098">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90</w:t>
            </w:r>
          </w:p>
        </w:tc>
        <w:tc>
          <w:tcPr>
            <w:tcW w:w="404" w:type="pct"/>
            <w:tcBorders>
              <w:top w:val="single" w:color="auto" w:sz="4" w:space="0"/>
              <w:bottom w:val="single" w:color="auto" w:sz="4" w:space="0"/>
            </w:tcBorders>
            <w:shd w:val="clear" w:color="auto" w:fill="auto"/>
            <w:vAlign w:val="center"/>
          </w:tcPr>
          <w:p w14:paraId="739525D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84.0</w:t>
            </w:r>
          </w:p>
        </w:tc>
        <w:tc>
          <w:tcPr>
            <w:tcW w:w="343" w:type="pct"/>
            <w:tcBorders>
              <w:top w:val="single" w:color="auto" w:sz="4" w:space="0"/>
              <w:bottom w:val="single" w:color="auto" w:sz="4" w:space="0"/>
            </w:tcBorders>
            <w:shd w:val="clear" w:color="auto" w:fill="auto"/>
            <w:vAlign w:val="center"/>
          </w:tcPr>
          <w:p w14:paraId="3F2916D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78.0</w:t>
            </w:r>
          </w:p>
        </w:tc>
        <w:tc>
          <w:tcPr>
            <w:tcW w:w="343" w:type="pct"/>
            <w:tcBorders>
              <w:top w:val="single" w:color="auto" w:sz="4" w:space="0"/>
              <w:bottom w:val="single" w:color="auto" w:sz="4" w:space="0"/>
            </w:tcBorders>
            <w:shd w:val="clear" w:color="auto" w:fill="auto"/>
            <w:vAlign w:val="center"/>
          </w:tcPr>
          <w:p w14:paraId="7C44BEB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71.9</w:t>
            </w:r>
          </w:p>
        </w:tc>
        <w:tc>
          <w:tcPr>
            <w:tcW w:w="343" w:type="pct"/>
            <w:tcBorders>
              <w:top w:val="single" w:color="auto" w:sz="4" w:space="0"/>
              <w:bottom w:val="single" w:color="auto" w:sz="4" w:space="0"/>
            </w:tcBorders>
            <w:shd w:val="clear" w:color="auto" w:fill="auto"/>
            <w:vAlign w:val="center"/>
          </w:tcPr>
          <w:p w14:paraId="123CEFA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68.4</w:t>
            </w:r>
          </w:p>
        </w:tc>
        <w:tc>
          <w:tcPr>
            <w:tcW w:w="343" w:type="pct"/>
            <w:tcBorders>
              <w:top w:val="single" w:color="auto" w:sz="4" w:space="0"/>
              <w:bottom w:val="single" w:color="auto" w:sz="4" w:space="0"/>
            </w:tcBorders>
            <w:shd w:val="clear" w:color="auto" w:fill="auto"/>
            <w:vAlign w:val="center"/>
          </w:tcPr>
          <w:p w14:paraId="0019CA4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65.9</w:t>
            </w:r>
          </w:p>
        </w:tc>
        <w:tc>
          <w:tcPr>
            <w:tcW w:w="343" w:type="pct"/>
            <w:tcBorders>
              <w:top w:val="single" w:color="auto" w:sz="4" w:space="0"/>
              <w:bottom w:val="single" w:color="auto" w:sz="4" w:space="0"/>
            </w:tcBorders>
            <w:shd w:val="clear" w:color="auto" w:fill="auto"/>
            <w:vAlign w:val="center"/>
          </w:tcPr>
          <w:p w14:paraId="734047C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64</w:t>
            </w:r>
          </w:p>
        </w:tc>
        <w:tc>
          <w:tcPr>
            <w:tcW w:w="343" w:type="pct"/>
            <w:tcBorders>
              <w:top w:val="single" w:color="auto" w:sz="4" w:space="0"/>
              <w:bottom w:val="single" w:color="auto" w:sz="4" w:space="0"/>
            </w:tcBorders>
            <w:shd w:val="clear" w:color="auto" w:fill="auto"/>
            <w:vAlign w:val="center"/>
          </w:tcPr>
          <w:p w14:paraId="75B3650D">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60.5</w:t>
            </w:r>
          </w:p>
        </w:tc>
        <w:tc>
          <w:tcPr>
            <w:tcW w:w="343" w:type="pct"/>
            <w:tcBorders>
              <w:top w:val="single" w:color="auto" w:sz="4" w:space="0"/>
              <w:bottom w:val="single" w:color="auto" w:sz="4" w:space="0"/>
            </w:tcBorders>
            <w:shd w:val="clear" w:color="auto" w:fill="auto"/>
            <w:vAlign w:val="center"/>
          </w:tcPr>
          <w:p w14:paraId="10DF421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58.0</w:t>
            </w:r>
          </w:p>
        </w:tc>
        <w:tc>
          <w:tcPr>
            <w:tcW w:w="343" w:type="pct"/>
            <w:tcBorders>
              <w:top w:val="single" w:color="auto" w:sz="4" w:space="0"/>
              <w:bottom w:val="single" w:color="auto" w:sz="4" w:space="0"/>
              <w:right w:val="nil"/>
            </w:tcBorders>
            <w:shd w:val="clear" w:color="auto" w:fill="auto"/>
            <w:vAlign w:val="center"/>
          </w:tcPr>
          <w:p w14:paraId="737C9ECA">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54.4</w:t>
            </w:r>
          </w:p>
        </w:tc>
        <w:tc>
          <w:tcPr>
            <w:tcW w:w="343" w:type="pct"/>
            <w:tcBorders>
              <w:top w:val="single" w:color="auto" w:sz="4" w:space="0"/>
              <w:bottom w:val="single" w:color="auto" w:sz="4" w:space="0"/>
              <w:right w:val="nil"/>
            </w:tcBorders>
            <w:shd w:val="clear" w:color="auto" w:fill="auto"/>
            <w:vAlign w:val="center"/>
          </w:tcPr>
          <w:p w14:paraId="186673B7">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49.3</w:t>
            </w:r>
          </w:p>
        </w:tc>
      </w:tr>
      <w:tr w14:paraId="36B8FFB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 w:type="pct"/>
            <w:tcBorders>
              <w:top w:val="single" w:color="auto" w:sz="4" w:space="0"/>
              <w:left w:val="nil"/>
              <w:bottom w:val="single" w:color="auto" w:sz="4" w:space="0"/>
            </w:tcBorders>
            <w:vAlign w:val="center"/>
          </w:tcPr>
          <w:p w14:paraId="0CE6A339">
            <w:pPr>
              <w:pageBreakBefore w:val="0"/>
              <w:wordWrap/>
              <w:topLinePunct w:val="0"/>
              <w:bidi w:val="0"/>
              <w:spacing w:line="240" w:lineRule="auto"/>
              <w:ind w:firstLine="0" w:firstLineChars="0"/>
              <w:jc w:val="center"/>
              <w:rPr>
                <w:rFonts w:hint="default" w:eastAsia="宋体"/>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10</w:t>
            </w:r>
          </w:p>
        </w:tc>
        <w:tc>
          <w:tcPr>
            <w:tcW w:w="943" w:type="pct"/>
            <w:tcBorders>
              <w:top w:val="single" w:color="auto" w:sz="4" w:space="0"/>
              <w:bottom w:val="single" w:color="auto" w:sz="4" w:space="0"/>
            </w:tcBorders>
            <w:shd w:val="clear" w:color="auto" w:fill="auto"/>
            <w:vAlign w:val="center"/>
          </w:tcPr>
          <w:p w14:paraId="0D9CF44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混凝土振捣器</w:t>
            </w:r>
          </w:p>
        </w:tc>
        <w:tc>
          <w:tcPr>
            <w:tcW w:w="308" w:type="pct"/>
            <w:tcBorders>
              <w:top w:val="single" w:color="auto" w:sz="4" w:space="0"/>
              <w:bottom w:val="single" w:color="auto" w:sz="4" w:space="0"/>
            </w:tcBorders>
            <w:shd w:val="clear" w:color="auto" w:fill="auto"/>
            <w:vAlign w:val="center"/>
          </w:tcPr>
          <w:p w14:paraId="08D2B647">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88</w:t>
            </w:r>
          </w:p>
        </w:tc>
        <w:tc>
          <w:tcPr>
            <w:tcW w:w="404" w:type="pct"/>
            <w:tcBorders>
              <w:top w:val="single" w:color="auto" w:sz="4" w:space="0"/>
              <w:bottom w:val="single" w:color="auto" w:sz="4" w:space="0"/>
            </w:tcBorders>
            <w:shd w:val="clear" w:color="auto" w:fill="auto"/>
            <w:vAlign w:val="center"/>
          </w:tcPr>
          <w:p w14:paraId="57651C0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4B8C711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090D0464">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9</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682689F0">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.4</w:t>
            </w:r>
          </w:p>
        </w:tc>
        <w:tc>
          <w:tcPr>
            <w:tcW w:w="343" w:type="pct"/>
            <w:tcBorders>
              <w:top w:val="single" w:color="auto" w:sz="4" w:space="0"/>
              <w:bottom w:val="single" w:color="auto" w:sz="4" w:space="0"/>
            </w:tcBorders>
            <w:shd w:val="clear" w:color="auto" w:fill="auto"/>
            <w:vAlign w:val="center"/>
          </w:tcPr>
          <w:p w14:paraId="34305843">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3</w:t>
            </w:r>
            <w:r>
              <w:rPr>
                <w:snapToGrid w:val="0"/>
                <w:color w:val="000000" w:themeColor="text1"/>
                <w:kern w:val="0"/>
                <w:sz w:val="21"/>
                <w:szCs w:val="21"/>
                <w:highlight w:val="none"/>
              </w:rPr>
              <w:t>.9</w:t>
            </w:r>
          </w:p>
        </w:tc>
        <w:tc>
          <w:tcPr>
            <w:tcW w:w="343" w:type="pct"/>
            <w:tcBorders>
              <w:top w:val="single" w:color="auto" w:sz="4" w:space="0"/>
              <w:bottom w:val="single" w:color="auto" w:sz="4" w:space="0"/>
            </w:tcBorders>
            <w:shd w:val="clear" w:color="auto" w:fill="auto"/>
            <w:vAlign w:val="center"/>
          </w:tcPr>
          <w:p w14:paraId="4E42C03C">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.0</w:t>
            </w:r>
          </w:p>
        </w:tc>
        <w:tc>
          <w:tcPr>
            <w:tcW w:w="343" w:type="pct"/>
            <w:tcBorders>
              <w:top w:val="single" w:color="auto" w:sz="4" w:space="0"/>
              <w:bottom w:val="single" w:color="auto" w:sz="4" w:space="0"/>
            </w:tcBorders>
            <w:shd w:val="clear" w:color="auto" w:fill="auto"/>
            <w:vAlign w:val="center"/>
          </w:tcPr>
          <w:p w14:paraId="7F961C68">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8</w:t>
            </w:r>
            <w:r>
              <w:rPr>
                <w:snapToGrid w:val="0"/>
                <w:color w:val="000000" w:themeColor="text1"/>
                <w:kern w:val="0"/>
                <w:sz w:val="21"/>
                <w:szCs w:val="21"/>
                <w:highlight w:val="none"/>
              </w:rPr>
              <w:t>.5</w:t>
            </w:r>
          </w:p>
        </w:tc>
        <w:tc>
          <w:tcPr>
            <w:tcW w:w="343" w:type="pct"/>
            <w:tcBorders>
              <w:top w:val="single" w:color="auto" w:sz="4" w:space="0"/>
              <w:bottom w:val="single" w:color="auto" w:sz="4" w:space="0"/>
            </w:tcBorders>
            <w:shd w:val="clear" w:color="auto" w:fill="auto"/>
            <w:vAlign w:val="center"/>
          </w:tcPr>
          <w:p w14:paraId="60FA861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.0</w:t>
            </w:r>
          </w:p>
        </w:tc>
        <w:tc>
          <w:tcPr>
            <w:tcW w:w="343" w:type="pct"/>
            <w:tcBorders>
              <w:top w:val="single" w:color="auto" w:sz="4" w:space="0"/>
              <w:bottom w:val="single" w:color="auto" w:sz="4" w:space="0"/>
              <w:right w:val="nil"/>
            </w:tcBorders>
            <w:shd w:val="clear" w:color="auto" w:fill="auto"/>
            <w:vAlign w:val="center"/>
          </w:tcPr>
          <w:p w14:paraId="2EF1624F">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.4</w:t>
            </w:r>
          </w:p>
        </w:tc>
        <w:tc>
          <w:tcPr>
            <w:tcW w:w="343" w:type="pct"/>
            <w:tcBorders>
              <w:top w:val="single" w:color="auto" w:sz="4" w:space="0"/>
              <w:bottom w:val="single" w:color="auto" w:sz="4" w:space="0"/>
              <w:right w:val="nil"/>
            </w:tcBorders>
            <w:shd w:val="clear" w:color="auto" w:fill="auto"/>
            <w:vAlign w:val="center"/>
          </w:tcPr>
          <w:p w14:paraId="2F699E28">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47.3</w:t>
            </w:r>
          </w:p>
        </w:tc>
      </w:tr>
      <w:tr w14:paraId="4FFFEFF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340" w:hRule="atLeast"/>
          <w:jc w:val="center"/>
        </w:trPr>
        <w:tc>
          <w:tcPr>
            <w:tcW w:w="250" w:type="pct"/>
            <w:tcBorders>
              <w:top w:val="single" w:color="auto" w:sz="4" w:space="0"/>
              <w:left w:val="nil"/>
              <w:bottom w:val="single" w:color="auto" w:sz="12" w:space="0"/>
            </w:tcBorders>
            <w:vAlign w:val="center"/>
          </w:tcPr>
          <w:p w14:paraId="27894BF8">
            <w:pPr>
              <w:pageBreakBefore w:val="0"/>
              <w:wordWrap/>
              <w:topLinePunct w:val="0"/>
              <w:bidi w:val="0"/>
              <w:spacing w:line="240" w:lineRule="auto"/>
              <w:ind w:firstLine="0" w:firstLineChars="0"/>
              <w:jc w:val="center"/>
              <w:rPr>
                <w:rFonts w:hint="default"/>
                <w:color w:val="000000" w:themeColor="text1"/>
                <w:position w:val="-24"/>
                <w:sz w:val="21"/>
                <w:szCs w:val="21"/>
                <w:highlight w:val="none"/>
                <w:lang w:val="en-US" w:eastAsia="zh-CN"/>
              </w:rPr>
            </w:pPr>
            <w:r>
              <w:rPr>
                <w:rFonts w:hint="eastAsia"/>
                <w:color w:val="000000" w:themeColor="text1"/>
                <w:position w:val="-24"/>
                <w:sz w:val="21"/>
                <w:szCs w:val="21"/>
                <w:highlight w:val="none"/>
                <w:lang w:val="en-US" w:eastAsia="zh-CN"/>
              </w:rPr>
              <w:t>11</w:t>
            </w:r>
          </w:p>
        </w:tc>
        <w:tc>
          <w:tcPr>
            <w:tcW w:w="943" w:type="pct"/>
            <w:tcBorders>
              <w:top w:val="single" w:color="auto" w:sz="4" w:space="0"/>
              <w:bottom w:val="single" w:color="auto" w:sz="12" w:space="0"/>
            </w:tcBorders>
            <w:shd w:val="clear" w:color="auto" w:fill="auto"/>
            <w:vAlign w:val="center"/>
          </w:tcPr>
          <w:p w14:paraId="68DCF7F5">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空压机</w:t>
            </w:r>
          </w:p>
        </w:tc>
        <w:tc>
          <w:tcPr>
            <w:tcW w:w="308" w:type="pct"/>
            <w:tcBorders>
              <w:top w:val="single" w:color="auto" w:sz="4" w:space="0"/>
              <w:bottom w:val="single" w:color="auto" w:sz="12" w:space="0"/>
            </w:tcBorders>
            <w:shd w:val="clear" w:color="auto" w:fill="auto"/>
            <w:vAlign w:val="center"/>
          </w:tcPr>
          <w:p w14:paraId="271AAEDD">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92</w:t>
            </w:r>
          </w:p>
        </w:tc>
        <w:tc>
          <w:tcPr>
            <w:tcW w:w="404" w:type="pct"/>
            <w:tcBorders>
              <w:top w:val="single" w:color="auto" w:sz="4" w:space="0"/>
              <w:bottom w:val="single" w:color="auto" w:sz="12" w:space="0"/>
            </w:tcBorders>
            <w:shd w:val="clear" w:color="auto" w:fill="auto"/>
            <w:vAlign w:val="center"/>
          </w:tcPr>
          <w:p w14:paraId="34F186B7">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8</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.0</w:t>
            </w:r>
          </w:p>
        </w:tc>
        <w:tc>
          <w:tcPr>
            <w:tcW w:w="343" w:type="pct"/>
            <w:tcBorders>
              <w:top w:val="single" w:color="auto" w:sz="4" w:space="0"/>
              <w:bottom w:val="single" w:color="auto" w:sz="12" w:space="0"/>
            </w:tcBorders>
            <w:shd w:val="clear" w:color="auto" w:fill="auto"/>
            <w:vAlign w:val="center"/>
          </w:tcPr>
          <w:p w14:paraId="75A4C3A1">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80</w:t>
            </w:r>
            <w:r>
              <w:rPr>
                <w:snapToGrid w:val="0"/>
                <w:color w:val="000000" w:themeColor="text1"/>
                <w:kern w:val="0"/>
                <w:sz w:val="21"/>
                <w:szCs w:val="21"/>
                <w:highlight w:val="none"/>
              </w:rPr>
              <w:t>.0</w:t>
            </w:r>
          </w:p>
        </w:tc>
        <w:tc>
          <w:tcPr>
            <w:tcW w:w="343" w:type="pct"/>
            <w:tcBorders>
              <w:top w:val="single" w:color="auto" w:sz="4" w:space="0"/>
              <w:bottom w:val="single" w:color="auto" w:sz="12" w:space="0"/>
            </w:tcBorders>
            <w:shd w:val="clear" w:color="auto" w:fill="auto"/>
            <w:vAlign w:val="center"/>
          </w:tcPr>
          <w:p w14:paraId="6B91D7A9">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7</w:t>
            </w:r>
            <w:r>
              <w:rPr>
                <w:rFonts w:hint="eastAsia"/>
                <w:snapToGrid w:val="0"/>
                <w:color w:val="000000" w:themeColor="text1"/>
                <w:kern w:val="0"/>
                <w:sz w:val="21"/>
                <w:szCs w:val="21"/>
                <w:highlight w:val="none"/>
                <w:lang w:val="en-US" w:eastAsia="zh-CN"/>
              </w:rPr>
              <w:t>3</w:t>
            </w:r>
            <w:r>
              <w:rPr>
                <w:snapToGrid w:val="0"/>
                <w:color w:val="000000" w:themeColor="text1"/>
                <w:kern w:val="0"/>
                <w:sz w:val="21"/>
                <w:szCs w:val="21"/>
                <w:highlight w:val="none"/>
              </w:rPr>
              <w:t>.9</w:t>
            </w:r>
          </w:p>
        </w:tc>
        <w:tc>
          <w:tcPr>
            <w:tcW w:w="343" w:type="pct"/>
            <w:tcBorders>
              <w:top w:val="single" w:color="auto" w:sz="4" w:space="0"/>
              <w:bottom w:val="single" w:color="auto" w:sz="12" w:space="0"/>
            </w:tcBorders>
            <w:shd w:val="clear" w:color="auto" w:fill="auto"/>
            <w:vAlign w:val="center"/>
          </w:tcPr>
          <w:p w14:paraId="4061E90C">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70</w:t>
            </w:r>
            <w:r>
              <w:rPr>
                <w:snapToGrid w:val="0"/>
                <w:color w:val="000000" w:themeColor="text1"/>
                <w:kern w:val="0"/>
                <w:sz w:val="21"/>
                <w:szCs w:val="21"/>
                <w:highlight w:val="none"/>
              </w:rPr>
              <w:t>.4</w:t>
            </w:r>
          </w:p>
        </w:tc>
        <w:tc>
          <w:tcPr>
            <w:tcW w:w="343" w:type="pct"/>
            <w:tcBorders>
              <w:top w:val="single" w:color="auto" w:sz="4" w:space="0"/>
              <w:bottom w:val="single" w:color="auto" w:sz="12" w:space="0"/>
            </w:tcBorders>
            <w:shd w:val="clear" w:color="auto" w:fill="auto"/>
            <w:vAlign w:val="center"/>
          </w:tcPr>
          <w:p w14:paraId="324291A5">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7</w:t>
            </w:r>
            <w:r>
              <w:rPr>
                <w:snapToGrid w:val="0"/>
                <w:color w:val="000000" w:themeColor="text1"/>
                <w:kern w:val="0"/>
                <w:sz w:val="21"/>
                <w:szCs w:val="21"/>
                <w:highlight w:val="none"/>
              </w:rPr>
              <w:t>.9</w:t>
            </w:r>
          </w:p>
        </w:tc>
        <w:tc>
          <w:tcPr>
            <w:tcW w:w="343" w:type="pct"/>
            <w:tcBorders>
              <w:top w:val="single" w:color="auto" w:sz="4" w:space="0"/>
              <w:bottom w:val="single" w:color="auto" w:sz="12" w:space="0"/>
            </w:tcBorders>
            <w:shd w:val="clear" w:color="auto" w:fill="auto"/>
            <w:vAlign w:val="center"/>
          </w:tcPr>
          <w:p w14:paraId="518D265F">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6</w:t>
            </w:r>
          </w:p>
        </w:tc>
        <w:tc>
          <w:tcPr>
            <w:tcW w:w="343" w:type="pct"/>
            <w:tcBorders>
              <w:top w:val="single" w:color="auto" w:sz="4" w:space="0"/>
              <w:bottom w:val="single" w:color="auto" w:sz="12" w:space="0"/>
            </w:tcBorders>
            <w:shd w:val="clear" w:color="auto" w:fill="auto"/>
            <w:vAlign w:val="center"/>
          </w:tcPr>
          <w:p w14:paraId="6276B6BB">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6</w:t>
            </w:r>
            <w:r>
              <w:rPr>
                <w:rFonts w:hint="eastAsia"/>
                <w:snapToGrid w:val="0"/>
                <w:color w:val="000000" w:themeColor="text1"/>
                <w:kern w:val="0"/>
                <w:sz w:val="21"/>
                <w:szCs w:val="21"/>
                <w:highlight w:val="none"/>
                <w:lang w:val="en-US" w:eastAsia="zh-CN"/>
              </w:rPr>
              <w:t>2</w:t>
            </w:r>
            <w:r>
              <w:rPr>
                <w:snapToGrid w:val="0"/>
                <w:color w:val="000000" w:themeColor="text1"/>
                <w:kern w:val="0"/>
                <w:sz w:val="21"/>
                <w:szCs w:val="21"/>
                <w:highlight w:val="none"/>
              </w:rPr>
              <w:t>.5</w:t>
            </w:r>
          </w:p>
        </w:tc>
        <w:tc>
          <w:tcPr>
            <w:tcW w:w="343" w:type="pct"/>
            <w:tcBorders>
              <w:top w:val="single" w:color="auto" w:sz="4" w:space="0"/>
              <w:bottom w:val="single" w:color="auto" w:sz="12" w:space="0"/>
            </w:tcBorders>
            <w:shd w:val="clear" w:color="auto" w:fill="auto"/>
            <w:vAlign w:val="center"/>
          </w:tcPr>
          <w:p w14:paraId="5FE2D2AD">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60</w:t>
            </w:r>
            <w:r>
              <w:rPr>
                <w:snapToGrid w:val="0"/>
                <w:color w:val="000000" w:themeColor="text1"/>
                <w:kern w:val="0"/>
                <w:sz w:val="21"/>
                <w:szCs w:val="21"/>
                <w:highlight w:val="none"/>
              </w:rPr>
              <w:t>.0</w:t>
            </w:r>
          </w:p>
        </w:tc>
        <w:tc>
          <w:tcPr>
            <w:tcW w:w="343" w:type="pct"/>
            <w:tcBorders>
              <w:top w:val="single" w:color="auto" w:sz="4" w:space="0"/>
              <w:bottom w:val="single" w:color="auto" w:sz="12" w:space="0"/>
              <w:right w:val="nil"/>
            </w:tcBorders>
            <w:shd w:val="clear" w:color="auto" w:fill="auto"/>
            <w:vAlign w:val="center"/>
          </w:tcPr>
          <w:p w14:paraId="7179487A">
            <w:pPr>
              <w:pageBreakBefore w:val="0"/>
              <w:wordWrap/>
              <w:topLinePunct w:val="0"/>
              <w:bidi w:val="0"/>
              <w:spacing w:line="240" w:lineRule="auto"/>
              <w:ind w:firstLine="0" w:firstLineChars="0"/>
              <w:jc w:val="center"/>
              <w:rPr>
                <w:rFonts w:ascii="Times New Roman" w:hAnsi="Times New Roman" w:eastAsia="宋体" w:cs="Times New Roman"/>
                <w:snapToGrid w:val="0"/>
                <w:color w:val="000000" w:themeColor="text1"/>
                <w:kern w:val="0"/>
                <w:sz w:val="21"/>
                <w:szCs w:val="21"/>
                <w:highlight w:val="none"/>
                <w:lang w:val="en-US" w:eastAsia="zh-CN" w:bidi="ar-SA"/>
              </w:rPr>
            </w:pPr>
            <w:r>
              <w:rPr>
                <w:snapToGrid w:val="0"/>
                <w:color w:val="000000" w:themeColor="text1"/>
                <w:kern w:val="0"/>
                <w:sz w:val="21"/>
                <w:szCs w:val="21"/>
                <w:highlight w:val="none"/>
              </w:rPr>
              <w:t>5</w:t>
            </w:r>
            <w:r>
              <w:rPr>
                <w:rFonts w:hint="eastAsia"/>
                <w:snapToGrid w:val="0"/>
                <w:color w:val="000000" w:themeColor="text1"/>
                <w:kern w:val="0"/>
                <w:sz w:val="21"/>
                <w:szCs w:val="21"/>
                <w:highlight w:val="none"/>
                <w:lang w:val="en-US" w:eastAsia="zh-CN"/>
              </w:rPr>
              <w:t>6</w:t>
            </w:r>
            <w:r>
              <w:rPr>
                <w:snapToGrid w:val="0"/>
                <w:color w:val="000000" w:themeColor="text1"/>
                <w:kern w:val="0"/>
                <w:sz w:val="21"/>
                <w:szCs w:val="21"/>
                <w:highlight w:val="none"/>
              </w:rPr>
              <w:t>.4</w:t>
            </w:r>
          </w:p>
        </w:tc>
        <w:tc>
          <w:tcPr>
            <w:tcW w:w="343" w:type="pct"/>
            <w:tcBorders>
              <w:top w:val="single" w:color="auto" w:sz="4" w:space="0"/>
              <w:bottom w:val="single" w:color="auto" w:sz="12" w:space="0"/>
              <w:right w:val="nil"/>
            </w:tcBorders>
            <w:shd w:val="clear" w:color="auto" w:fill="auto"/>
            <w:vAlign w:val="center"/>
          </w:tcPr>
          <w:p w14:paraId="13ACC8EA">
            <w:pPr>
              <w:pageBreakBefore w:val="0"/>
              <w:wordWrap/>
              <w:topLinePunct w:val="0"/>
              <w:bidi w:val="0"/>
              <w:spacing w:line="240" w:lineRule="auto"/>
              <w:ind w:firstLine="0" w:firstLineChars="0"/>
              <w:jc w:val="center"/>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51.3</w:t>
            </w:r>
          </w:p>
        </w:tc>
      </w:tr>
    </w:tbl>
    <w:p w14:paraId="176AE9C6">
      <w:pPr>
        <w:pStyle w:val="13"/>
        <w:pageBreakBefore w:val="0"/>
        <w:wordWrap/>
        <w:topLinePunct w:val="0"/>
        <w:bidi w:val="0"/>
        <w:spacing w:line="360" w:lineRule="auto"/>
        <w:jc w:val="left"/>
        <w:rPr>
          <w:rFonts w:ascii="Times New Roman" w:hAnsi="Times New Roman"/>
          <w:b/>
          <w:color w:val="000000" w:themeColor="text1"/>
          <w:sz w:val="21"/>
          <w:szCs w:val="21"/>
          <w:highlight w:val="none"/>
        </w:rPr>
      </w:pPr>
      <w:r>
        <w:rPr>
          <w:rFonts w:hint="default" w:ascii="Times New Roman" w:hAnsi="Times New Roman" w:eastAsia="宋体" w:cs="Times New Roman"/>
          <w:b/>
          <w:color w:val="000000" w:themeColor="text1"/>
          <w:sz w:val="21"/>
          <w:szCs w:val="21"/>
          <w:highlight w:val="none"/>
        </w:rPr>
        <w:t>注：5m处的噪声级为实测值，其它为预测值，实际情况可能稍有出入。</w:t>
      </w:r>
    </w:p>
    <w:p w14:paraId="60AA07B8">
      <w:pPr>
        <w:pStyle w:val="13"/>
        <w:pageBreakBefore w:val="0"/>
        <w:wordWrap/>
        <w:topLinePunct w:val="0"/>
        <w:bidi w:val="0"/>
        <w:spacing w:line="360" w:lineRule="auto"/>
        <w:ind w:firstLine="482" w:firstLineChars="200"/>
        <w:jc w:val="center"/>
        <w:rPr>
          <w:rFonts w:hint="eastAsia" w:ascii="Times New Roman" w:hAnsi="Times New Roman" w:eastAsia="宋体"/>
          <w:b/>
          <w:color w:val="000000" w:themeColor="text1"/>
          <w:sz w:val="24"/>
          <w:highlight w:val="none"/>
          <w:lang w:eastAsia="zh-CN"/>
        </w:rPr>
      </w:pPr>
      <w:r>
        <w:rPr>
          <w:rFonts w:hint="default" w:ascii="Times New Roman" w:hAnsi="Times New Roman" w:eastAsia="宋体" w:cs="Times New Roman"/>
          <w:b/>
          <w:color w:val="000000" w:themeColor="text1"/>
          <w:sz w:val="24"/>
          <w:highlight w:val="none"/>
        </w:rPr>
        <w:t>表5.2-2  多种施工机械同时作业噪声预测结果  单位：dB</w:t>
      </w:r>
      <w:r>
        <w:rPr>
          <w:rFonts w:hint="eastAsia" w:ascii="Times New Roman" w:hAnsi="Times New Roman" w:eastAsia="宋体" w:cs="Times New Roman"/>
          <w:b/>
          <w:color w:val="000000" w:themeColor="text1"/>
          <w:sz w:val="24"/>
          <w:highlight w:val="none"/>
          <w:lang w:eastAsia="zh-CN"/>
        </w:rPr>
        <w:t>（</w:t>
      </w:r>
      <w:r>
        <w:rPr>
          <w:rFonts w:hint="default" w:ascii="Times New Roman" w:hAnsi="Times New Roman" w:eastAsia="宋体" w:cs="Times New Roman"/>
          <w:b/>
          <w:color w:val="000000" w:themeColor="text1"/>
          <w:sz w:val="24"/>
          <w:highlight w:val="none"/>
        </w:rPr>
        <w:t>A</w:t>
      </w:r>
      <w:r>
        <w:rPr>
          <w:rFonts w:hint="eastAsia" w:ascii="Times New Roman" w:hAnsi="Times New Roman" w:eastAsia="宋体" w:cs="Times New Roman"/>
          <w:b/>
          <w:color w:val="000000" w:themeColor="text1"/>
          <w:sz w:val="24"/>
          <w:highlight w:val="none"/>
          <w:lang w:eastAsia="zh-CN"/>
        </w:rPr>
        <w:t>）</w:t>
      </w:r>
    </w:p>
    <w:tbl>
      <w:tblPr>
        <w:tblStyle w:val="33"/>
        <w:tblW w:w="836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992"/>
        <w:gridCol w:w="730"/>
        <w:gridCol w:w="730"/>
        <w:gridCol w:w="730"/>
        <w:gridCol w:w="730"/>
        <w:gridCol w:w="730"/>
        <w:gridCol w:w="726"/>
      </w:tblGrid>
      <w:tr w14:paraId="0AC00A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992" w:type="dxa"/>
            <w:tcMar>
              <w:left w:w="28" w:type="dxa"/>
              <w:right w:w="28" w:type="dxa"/>
            </w:tcMar>
            <w:vAlign w:val="center"/>
          </w:tcPr>
          <w:p w14:paraId="114AF735">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多台施工机械同时作业组合</w:t>
            </w:r>
          </w:p>
        </w:tc>
        <w:tc>
          <w:tcPr>
            <w:tcW w:w="730" w:type="dxa"/>
            <w:tcMar>
              <w:left w:w="28" w:type="dxa"/>
              <w:right w:w="28" w:type="dxa"/>
            </w:tcMar>
            <w:vAlign w:val="center"/>
          </w:tcPr>
          <w:p w14:paraId="154E3340">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20m</w:t>
            </w:r>
          </w:p>
        </w:tc>
        <w:tc>
          <w:tcPr>
            <w:tcW w:w="730" w:type="dxa"/>
            <w:tcMar>
              <w:left w:w="28" w:type="dxa"/>
              <w:right w:w="28" w:type="dxa"/>
            </w:tcMar>
            <w:vAlign w:val="center"/>
          </w:tcPr>
          <w:p w14:paraId="591EDCE2">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40m</w:t>
            </w:r>
          </w:p>
        </w:tc>
        <w:tc>
          <w:tcPr>
            <w:tcW w:w="730" w:type="dxa"/>
            <w:tcMar>
              <w:left w:w="28" w:type="dxa"/>
              <w:right w:w="28" w:type="dxa"/>
            </w:tcMar>
            <w:vAlign w:val="center"/>
          </w:tcPr>
          <w:p w14:paraId="74C3D4A9">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80m</w:t>
            </w:r>
          </w:p>
        </w:tc>
        <w:tc>
          <w:tcPr>
            <w:tcW w:w="730" w:type="dxa"/>
            <w:tcMar>
              <w:left w:w="28" w:type="dxa"/>
              <w:right w:w="28" w:type="dxa"/>
            </w:tcMar>
            <w:vAlign w:val="center"/>
          </w:tcPr>
          <w:p w14:paraId="3B7DFD17">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100m</w:t>
            </w:r>
          </w:p>
        </w:tc>
        <w:tc>
          <w:tcPr>
            <w:tcW w:w="730" w:type="dxa"/>
            <w:tcMar>
              <w:left w:w="28" w:type="dxa"/>
              <w:right w:w="28" w:type="dxa"/>
            </w:tcMar>
            <w:vAlign w:val="center"/>
          </w:tcPr>
          <w:p w14:paraId="42B1EA40">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300m</w:t>
            </w:r>
          </w:p>
        </w:tc>
        <w:tc>
          <w:tcPr>
            <w:tcW w:w="726" w:type="dxa"/>
            <w:tcMar>
              <w:left w:w="28" w:type="dxa"/>
              <w:right w:w="28" w:type="dxa"/>
            </w:tcMar>
            <w:vAlign w:val="center"/>
          </w:tcPr>
          <w:p w14:paraId="724754E5">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400m</w:t>
            </w:r>
          </w:p>
        </w:tc>
      </w:tr>
      <w:tr w14:paraId="65708E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92" w:type="dxa"/>
            <w:tcMar>
              <w:left w:w="28" w:type="dxa"/>
              <w:right w:w="28" w:type="dxa"/>
            </w:tcMar>
            <w:vAlign w:val="center"/>
          </w:tcPr>
          <w:p w14:paraId="05729F3E">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装载机、推土机、平地机、挖掘机、钻机井</w:t>
            </w:r>
          </w:p>
        </w:tc>
        <w:tc>
          <w:tcPr>
            <w:tcW w:w="730" w:type="dxa"/>
            <w:shd w:val="clear" w:color="auto" w:fill="auto"/>
            <w:tcMar>
              <w:left w:w="28" w:type="dxa"/>
              <w:right w:w="28" w:type="dxa"/>
            </w:tcMar>
            <w:vAlign w:val="center"/>
          </w:tcPr>
          <w:p w14:paraId="7CCF5BF2">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88.2 </w:t>
            </w:r>
          </w:p>
        </w:tc>
        <w:tc>
          <w:tcPr>
            <w:tcW w:w="730" w:type="dxa"/>
            <w:shd w:val="clear" w:color="auto" w:fill="auto"/>
            <w:tcMar>
              <w:left w:w="28" w:type="dxa"/>
              <w:right w:w="28" w:type="dxa"/>
            </w:tcMar>
            <w:vAlign w:val="center"/>
          </w:tcPr>
          <w:p w14:paraId="1E2F1A8B">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82.2 </w:t>
            </w:r>
          </w:p>
        </w:tc>
        <w:tc>
          <w:tcPr>
            <w:tcW w:w="730" w:type="dxa"/>
            <w:shd w:val="clear" w:color="auto" w:fill="auto"/>
            <w:tcMar>
              <w:left w:w="28" w:type="dxa"/>
              <w:right w:w="28" w:type="dxa"/>
            </w:tcMar>
            <w:vAlign w:val="center"/>
          </w:tcPr>
          <w:p w14:paraId="632F0DB6">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72.6 </w:t>
            </w:r>
          </w:p>
        </w:tc>
        <w:tc>
          <w:tcPr>
            <w:tcW w:w="730" w:type="dxa"/>
            <w:shd w:val="clear" w:color="auto" w:fill="auto"/>
            <w:tcMar>
              <w:left w:w="28" w:type="dxa"/>
              <w:right w:w="28" w:type="dxa"/>
            </w:tcMar>
            <w:vAlign w:val="center"/>
          </w:tcPr>
          <w:p w14:paraId="508AAD2E">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70.0 </w:t>
            </w:r>
          </w:p>
        </w:tc>
        <w:tc>
          <w:tcPr>
            <w:tcW w:w="730" w:type="dxa"/>
            <w:shd w:val="clear" w:color="auto" w:fill="auto"/>
            <w:tcMar>
              <w:left w:w="28" w:type="dxa"/>
              <w:right w:w="28" w:type="dxa"/>
            </w:tcMar>
            <w:vAlign w:val="center"/>
          </w:tcPr>
          <w:p w14:paraId="42949A0D">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61.1</w:t>
            </w:r>
          </w:p>
        </w:tc>
        <w:tc>
          <w:tcPr>
            <w:tcW w:w="726" w:type="dxa"/>
            <w:shd w:val="clear" w:color="auto" w:fill="auto"/>
            <w:tcMar>
              <w:left w:w="28" w:type="dxa"/>
              <w:right w:w="28" w:type="dxa"/>
            </w:tcMar>
            <w:vAlign w:val="center"/>
          </w:tcPr>
          <w:p w14:paraId="7C456AD9">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58.6</w:t>
            </w:r>
          </w:p>
        </w:tc>
      </w:tr>
      <w:tr w14:paraId="53BD34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92" w:type="dxa"/>
            <w:tcMar>
              <w:left w:w="28" w:type="dxa"/>
              <w:right w:w="28" w:type="dxa"/>
            </w:tcMar>
            <w:vAlign w:val="center"/>
          </w:tcPr>
          <w:p w14:paraId="419C9FB5">
            <w:pPr>
              <w:pageBreakBefore w:val="0"/>
              <w:wordWrap/>
              <w:topLinePunct w:val="0"/>
              <w:bidi w:val="0"/>
              <w:spacing w:line="240" w:lineRule="auto"/>
              <w:ind w:firstLine="0" w:firstLineChars="0"/>
              <w:jc w:val="center"/>
              <w:rPr>
                <w:snapToGrid w:val="0"/>
                <w:color w:val="000000" w:themeColor="text1"/>
                <w:kern w:val="0"/>
                <w:sz w:val="21"/>
                <w:szCs w:val="21"/>
                <w:highlight w:val="none"/>
              </w:rPr>
            </w:pPr>
            <w:r>
              <w:rPr>
                <w:snapToGrid w:val="0"/>
                <w:color w:val="000000" w:themeColor="text1"/>
                <w:kern w:val="0"/>
                <w:sz w:val="21"/>
                <w:szCs w:val="21"/>
                <w:highlight w:val="none"/>
              </w:rPr>
              <w:t>压路机、摊铺机、拌合机</w:t>
            </w:r>
          </w:p>
        </w:tc>
        <w:tc>
          <w:tcPr>
            <w:tcW w:w="730" w:type="dxa"/>
            <w:shd w:val="clear" w:color="auto" w:fill="auto"/>
            <w:tcMar>
              <w:left w:w="28" w:type="dxa"/>
              <w:right w:w="28" w:type="dxa"/>
            </w:tcMar>
            <w:vAlign w:val="center"/>
          </w:tcPr>
          <w:p w14:paraId="2D8FECB2">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79.0 </w:t>
            </w:r>
          </w:p>
        </w:tc>
        <w:tc>
          <w:tcPr>
            <w:tcW w:w="730" w:type="dxa"/>
            <w:shd w:val="clear" w:color="auto" w:fill="auto"/>
            <w:tcMar>
              <w:left w:w="28" w:type="dxa"/>
              <w:right w:w="28" w:type="dxa"/>
            </w:tcMar>
            <w:vAlign w:val="center"/>
          </w:tcPr>
          <w:p w14:paraId="3BB29087">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73.0 </w:t>
            </w:r>
          </w:p>
        </w:tc>
        <w:tc>
          <w:tcPr>
            <w:tcW w:w="730" w:type="dxa"/>
            <w:shd w:val="clear" w:color="auto" w:fill="auto"/>
            <w:tcMar>
              <w:left w:w="28" w:type="dxa"/>
              <w:right w:w="28" w:type="dxa"/>
            </w:tcMar>
            <w:vAlign w:val="center"/>
          </w:tcPr>
          <w:p w14:paraId="51237BAE">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67.0 </w:t>
            </w:r>
          </w:p>
        </w:tc>
        <w:tc>
          <w:tcPr>
            <w:tcW w:w="730" w:type="dxa"/>
            <w:shd w:val="clear" w:color="auto" w:fill="auto"/>
            <w:tcMar>
              <w:left w:w="28" w:type="dxa"/>
              <w:right w:w="28" w:type="dxa"/>
            </w:tcMar>
            <w:vAlign w:val="center"/>
          </w:tcPr>
          <w:p w14:paraId="389A5985">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 xml:space="preserve">65.0 </w:t>
            </w:r>
          </w:p>
        </w:tc>
        <w:tc>
          <w:tcPr>
            <w:tcW w:w="730" w:type="dxa"/>
            <w:shd w:val="clear" w:color="auto" w:fill="auto"/>
            <w:tcMar>
              <w:left w:w="28" w:type="dxa"/>
              <w:right w:w="28" w:type="dxa"/>
            </w:tcMar>
            <w:vAlign w:val="center"/>
          </w:tcPr>
          <w:p w14:paraId="3852171A">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55.5</w:t>
            </w:r>
          </w:p>
        </w:tc>
        <w:tc>
          <w:tcPr>
            <w:tcW w:w="726" w:type="dxa"/>
            <w:shd w:val="clear" w:color="auto" w:fill="auto"/>
            <w:tcMar>
              <w:left w:w="28" w:type="dxa"/>
              <w:right w:w="28" w:type="dxa"/>
            </w:tcMar>
            <w:vAlign w:val="center"/>
          </w:tcPr>
          <w:p w14:paraId="22DBD6A7">
            <w:pPr>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53.0</w:t>
            </w:r>
          </w:p>
        </w:tc>
      </w:tr>
    </w:tbl>
    <w:p w14:paraId="4507B7BD">
      <w:pPr>
        <w:pageBreakBefore w:val="0"/>
        <w:widowControl/>
        <w:wordWrap/>
        <w:topLinePunct w:val="0"/>
        <w:bidi w:val="0"/>
        <w:spacing w:line="360" w:lineRule="auto"/>
        <w:rPr>
          <w:bCs/>
          <w:color w:val="000000" w:themeColor="text1"/>
          <w:szCs w:val="20"/>
          <w:highlight w:val="none"/>
        </w:rPr>
      </w:pPr>
      <w:r>
        <w:rPr>
          <w:bCs/>
          <w:color w:val="000000" w:themeColor="text1"/>
          <w:szCs w:val="20"/>
          <w:highlight w:val="none"/>
        </w:rPr>
        <w:t>从</w:t>
      </w:r>
      <w:r>
        <w:rPr>
          <w:rFonts w:hint="eastAsia"/>
          <w:bCs/>
          <w:color w:val="000000" w:themeColor="text1"/>
          <w:szCs w:val="20"/>
          <w:highlight w:val="none"/>
          <w:lang w:val="en-US" w:eastAsia="zh-CN"/>
        </w:rPr>
        <w:t>上表</w:t>
      </w:r>
      <w:r>
        <w:rPr>
          <w:bCs/>
          <w:color w:val="000000" w:themeColor="text1"/>
          <w:szCs w:val="20"/>
          <w:highlight w:val="none"/>
        </w:rPr>
        <w:t>预测可知：单台机械作业时，昼间最大</w:t>
      </w:r>
      <w:r>
        <w:rPr>
          <w:rFonts w:hint="eastAsia"/>
          <w:bCs/>
          <w:color w:val="000000" w:themeColor="text1"/>
          <w:szCs w:val="20"/>
          <w:highlight w:val="none"/>
          <w:lang w:val="en-US" w:eastAsia="zh-CN"/>
        </w:rPr>
        <w:t>噪声预测值</w:t>
      </w:r>
      <w:r>
        <w:rPr>
          <w:bCs/>
          <w:color w:val="000000" w:themeColor="text1"/>
          <w:szCs w:val="20"/>
          <w:highlight w:val="none"/>
        </w:rPr>
        <w:t>在距</w:t>
      </w:r>
      <w:r>
        <w:rPr>
          <w:rFonts w:hint="eastAsia"/>
          <w:bCs/>
          <w:color w:val="000000" w:themeColor="text1"/>
          <w:szCs w:val="20"/>
          <w:highlight w:val="none"/>
          <w:lang w:val="en-US" w:eastAsia="zh-CN"/>
        </w:rPr>
        <w:t>声</w:t>
      </w:r>
      <w:r>
        <w:rPr>
          <w:bCs/>
          <w:color w:val="000000" w:themeColor="text1"/>
          <w:szCs w:val="20"/>
          <w:highlight w:val="none"/>
        </w:rPr>
        <w:t>源</w:t>
      </w:r>
      <w:r>
        <w:rPr>
          <w:rFonts w:hint="eastAsia"/>
          <w:bCs/>
          <w:color w:val="000000" w:themeColor="text1"/>
          <w:szCs w:val="20"/>
          <w:highlight w:val="none"/>
          <w:lang w:val="en-US" w:eastAsia="zh-CN"/>
        </w:rPr>
        <w:t>1</w:t>
      </w:r>
      <w:r>
        <w:rPr>
          <w:bCs/>
          <w:color w:val="000000" w:themeColor="text1"/>
          <w:szCs w:val="20"/>
          <w:highlight w:val="none"/>
        </w:rPr>
        <w:t>0</w:t>
      </w:r>
      <w:r>
        <w:rPr>
          <w:rFonts w:hint="eastAsia"/>
          <w:bCs/>
          <w:color w:val="000000" w:themeColor="text1"/>
          <w:szCs w:val="20"/>
          <w:highlight w:val="none"/>
          <w:lang w:val="en-US" w:eastAsia="zh-CN"/>
        </w:rPr>
        <w:t>0</w:t>
      </w:r>
      <w:r>
        <w:rPr>
          <w:bCs/>
          <w:color w:val="000000" w:themeColor="text1"/>
          <w:szCs w:val="20"/>
          <w:highlight w:val="none"/>
        </w:rPr>
        <w:t>m处噪声可满足《建筑施工场界噪声排放标准》昼间70dB（A）的标准；夜间施工在距离施工机械</w:t>
      </w:r>
      <w:r>
        <w:rPr>
          <w:rFonts w:hint="eastAsia"/>
          <w:bCs/>
          <w:color w:val="000000" w:themeColor="text1"/>
          <w:szCs w:val="20"/>
          <w:highlight w:val="none"/>
          <w:lang w:val="en-US" w:eastAsia="zh-CN"/>
        </w:rPr>
        <w:t>4</w:t>
      </w:r>
      <w:r>
        <w:rPr>
          <w:bCs/>
          <w:color w:val="000000" w:themeColor="text1"/>
          <w:szCs w:val="20"/>
          <w:highlight w:val="none"/>
        </w:rPr>
        <w:t>00m处可以满足夜间55dB（A）标准；多种施工机械同时作业时，路基基础施工阶段昼间施工噪声在距离施工机械100m处可满足昼间70dB（A）标准，夜间施工在距离施工机械600m处可以满足夜间55dB（A）的标准；面层施工阶段昼间施工噪声在距离施工机械56m处可满足昼间70dB（A）标准，夜间施工在距离施工机械318m处可以满足夜间55dB（A）的标准。</w:t>
      </w:r>
    </w:p>
    <w:p w14:paraId="6DEBA61B">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w:t>
      </w:r>
      <w:r>
        <w:rPr>
          <w:rFonts w:hint="eastAsia"/>
          <w:color w:val="000000" w:themeColor="text1"/>
          <w:highlight w:val="none"/>
          <w:lang w:val="en-US" w:eastAsia="zh-CN"/>
        </w:rPr>
        <w:t>2.1</w:t>
      </w:r>
      <w:r>
        <w:rPr>
          <w:rFonts w:hint="eastAsia"/>
          <w:color w:val="000000" w:themeColor="text1"/>
          <w:highlight w:val="none"/>
        </w:rPr>
        <w:t>.3</w:t>
      </w:r>
      <w:r>
        <w:rPr>
          <w:color w:val="000000" w:themeColor="text1"/>
          <w:highlight w:val="none"/>
        </w:rPr>
        <w:t>对敏感点影响分析</w:t>
      </w:r>
    </w:p>
    <w:p w14:paraId="09A51A92">
      <w:pPr>
        <w:pageBreakBefore w:val="0"/>
        <w:wordWrap/>
        <w:topLinePunct w:val="0"/>
        <w:bidi w:val="0"/>
        <w:spacing w:line="360" w:lineRule="auto"/>
        <w:rPr>
          <w:color w:val="000000" w:themeColor="text1"/>
          <w:highlight w:val="none"/>
        </w:rPr>
      </w:pPr>
      <w:r>
        <w:rPr>
          <w:rFonts w:hint="eastAsia"/>
          <w:bCs/>
          <w:color w:val="000000" w:themeColor="text1"/>
          <w:szCs w:val="20"/>
          <w:highlight w:val="none"/>
          <w:lang w:val="en-US" w:eastAsia="zh-CN"/>
        </w:rPr>
        <w:t>本项目不涉及噪声环境敏感点。</w:t>
      </w:r>
    </w:p>
    <w:p w14:paraId="210C493D">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w:t>
      </w:r>
      <w:r>
        <w:rPr>
          <w:rFonts w:hint="eastAsia"/>
          <w:color w:val="000000" w:themeColor="text1"/>
          <w:highlight w:val="none"/>
          <w:lang w:val="en-US" w:eastAsia="zh-CN"/>
        </w:rPr>
        <w:t>2.1</w:t>
      </w:r>
      <w:r>
        <w:rPr>
          <w:rFonts w:hint="eastAsia"/>
          <w:color w:val="000000" w:themeColor="text1"/>
          <w:highlight w:val="none"/>
        </w:rPr>
        <w:t>.4</w:t>
      </w:r>
      <w:r>
        <w:rPr>
          <w:color w:val="000000" w:themeColor="text1"/>
          <w:highlight w:val="none"/>
        </w:rPr>
        <w:t>施工期噪声预测结果</w:t>
      </w:r>
    </w:p>
    <w:p w14:paraId="4099F7C0">
      <w:pPr>
        <w:pageBreakBefore w:val="0"/>
        <w:wordWrap/>
        <w:topLinePunct w:val="0"/>
        <w:bidi w:val="0"/>
        <w:spacing w:line="360" w:lineRule="auto"/>
        <w:rPr>
          <w:bCs/>
          <w:color w:val="000000" w:themeColor="text1"/>
          <w:szCs w:val="20"/>
          <w:highlight w:val="none"/>
        </w:rPr>
      </w:pPr>
      <w:r>
        <w:rPr>
          <w:rFonts w:hint="eastAsia"/>
          <w:bCs/>
          <w:color w:val="000000" w:themeColor="text1"/>
          <w:szCs w:val="20"/>
          <w:highlight w:val="none"/>
          <w:lang w:val="en-US" w:eastAsia="zh-CN"/>
        </w:rPr>
        <w:t>本项目不涉及噪声环境敏感点。</w:t>
      </w:r>
      <w:r>
        <w:rPr>
          <w:bCs/>
          <w:color w:val="000000" w:themeColor="text1"/>
          <w:szCs w:val="20"/>
          <w:highlight w:val="none"/>
        </w:rPr>
        <w:t>单台机械作业时，昼间最大</w:t>
      </w:r>
      <w:r>
        <w:rPr>
          <w:rFonts w:hint="eastAsia"/>
          <w:bCs/>
          <w:color w:val="000000" w:themeColor="text1"/>
          <w:szCs w:val="20"/>
          <w:highlight w:val="none"/>
          <w:lang w:val="en-US" w:eastAsia="zh-CN"/>
        </w:rPr>
        <w:t>噪声预测值</w:t>
      </w:r>
      <w:r>
        <w:rPr>
          <w:bCs/>
          <w:color w:val="000000" w:themeColor="text1"/>
          <w:szCs w:val="20"/>
          <w:highlight w:val="none"/>
        </w:rPr>
        <w:t>在距</w:t>
      </w:r>
      <w:r>
        <w:rPr>
          <w:rFonts w:hint="eastAsia"/>
          <w:bCs/>
          <w:color w:val="000000" w:themeColor="text1"/>
          <w:szCs w:val="20"/>
          <w:highlight w:val="none"/>
          <w:lang w:val="en-US" w:eastAsia="zh-CN"/>
        </w:rPr>
        <w:t>声</w:t>
      </w:r>
      <w:r>
        <w:rPr>
          <w:bCs/>
          <w:color w:val="000000" w:themeColor="text1"/>
          <w:szCs w:val="20"/>
          <w:highlight w:val="none"/>
        </w:rPr>
        <w:t>源</w:t>
      </w:r>
      <w:r>
        <w:rPr>
          <w:rFonts w:hint="eastAsia"/>
          <w:bCs/>
          <w:color w:val="000000" w:themeColor="text1"/>
          <w:szCs w:val="20"/>
          <w:highlight w:val="none"/>
          <w:lang w:val="en-US" w:eastAsia="zh-CN"/>
        </w:rPr>
        <w:t>1</w:t>
      </w:r>
      <w:r>
        <w:rPr>
          <w:bCs/>
          <w:color w:val="000000" w:themeColor="text1"/>
          <w:szCs w:val="20"/>
          <w:highlight w:val="none"/>
        </w:rPr>
        <w:t>0</w:t>
      </w:r>
      <w:r>
        <w:rPr>
          <w:rFonts w:hint="eastAsia"/>
          <w:bCs/>
          <w:color w:val="000000" w:themeColor="text1"/>
          <w:szCs w:val="20"/>
          <w:highlight w:val="none"/>
          <w:lang w:val="en-US" w:eastAsia="zh-CN"/>
        </w:rPr>
        <w:t>0</w:t>
      </w:r>
      <w:r>
        <w:rPr>
          <w:bCs/>
          <w:color w:val="000000" w:themeColor="text1"/>
          <w:szCs w:val="20"/>
          <w:highlight w:val="none"/>
        </w:rPr>
        <w:t>m处噪声可满足《建筑施工场界噪声排放标准》昼间70dB（A）的标准；夜间施工在距离施工机械</w:t>
      </w:r>
      <w:r>
        <w:rPr>
          <w:rFonts w:hint="eastAsia"/>
          <w:bCs/>
          <w:color w:val="000000" w:themeColor="text1"/>
          <w:szCs w:val="20"/>
          <w:highlight w:val="none"/>
          <w:lang w:val="en-US" w:eastAsia="zh-CN"/>
        </w:rPr>
        <w:t>4</w:t>
      </w:r>
      <w:r>
        <w:rPr>
          <w:bCs/>
          <w:color w:val="000000" w:themeColor="text1"/>
          <w:szCs w:val="20"/>
          <w:highlight w:val="none"/>
        </w:rPr>
        <w:t>00m处可以满足夜间55dB（A）标准；多种施工机械同时作业时，路基基础施工阶段昼间施工噪声在距离施工机械100m处可满足昼间70dB（A）标准，夜间施工在距离施工机械600m处可以满足夜间55dB（A）的标准；面层施工阶段昼间施工噪声在距离施工机械56m处可满足昼间70dB（A）标准，夜间施工在距离施工机械318m处可以满足夜间55dB（A）的标准。</w:t>
      </w:r>
    </w:p>
    <w:p w14:paraId="4AD1FF96">
      <w:pPr>
        <w:pageBreakBefore w:val="0"/>
        <w:wordWrap/>
        <w:topLinePunct w:val="0"/>
        <w:bidi w:val="0"/>
        <w:spacing w:line="360" w:lineRule="auto"/>
        <w:rPr>
          <w:color w:val="000000" w:themeColor="text1"/>
          <w:highlight w:val="none"/>
        </w:rPr>
      </w:pPr>
      <w:r>
        <w:rPr>
          <w:color w:val="000000" w:themeColor="text1"/>
          <w:highlight w:val="none"/>
        </w:rPr>
        <w:t>因此本评价要求施工时合理安排施工时间，禁止夜间（22:00～06:00）施工作业；施工时设置高3m移动式隔声隔尘挡板</w:t>
      </w:r>
      <w:r>
        <w:rPr>
          <w:rFonts w:hint="eastAsia"/>
          <w:color w:val="000000" w:themeColor="text1"/>
          <w:highlight w:val="none"/>
          <w:lang w:val="en-US" w:eastAsia="zh-CN"/>
        </w:rPr>
        <w:t>，</w:t>
      </w:r>
      <w:r>
        <w:rPr>
          <w:color w:val="000000" w:themeColor="text1"/>
          <w:highlight w:val="none"/>
        </w:rPr>
        <w:t>并对高噪声施工机械采取消声减震措施，避免高噪声设备同时使用</w:t>
      </w:r>
      <w:r>
        <w:rPr>
          <w:rFonts w:hint="eastAsia"/>
          <w:color w:val="000000" w:themeColor="text1"/>
          <w:highlight w:val="none"/>
          <w:lang w:eastAsia="zh-CN"/>
        </w:rPr>
        <w:t>，</w:t>
      </w:r>
      <w:r>
        <w:rPr>
          <w:rFonts w:hint="eastAsia"/>
          <w:color w:val="000000" w:themeColor="text1"/>
          <w:highlight w:val="none"/>
          <w:lang w:val="en-US" w:eastAsia="zh-CN"/>
        </w:rPr>
        <w:t>敏感路段实行限速管理</w:t>
      </w:r>
      <w:r>
        <w:rPr>
          <w:color w:val="000000" w:themeColor="text1"/>
          <w:highlight w:val="none"/>
        </w:rPr>
        <w:t>。</w:t>
      </w:r>
    </w:p>
    <w:p w14:paraId="400AF668">
      <w:pPr>
        <w:pageBreakBefore w:val="0"/>
        <w:wordWrap/>
        <w:topLinePunct w:val="0"/>
        <w:bidi w:val="0"/>
        <w:spacing w:line="360" w:lineRule="auto"/>
        <w:rPr>
          <w:color w:val="000000" w:themeColor="text1"/>
          <w:highlight w:val="none"/>
        </w:rPr>
      </w:pPr>
      <w:r>
        <w:rPr>
          <w:color w:val="000000" w:themeColor="text1"/>
          <w:highlight w:val="none"/>
        </w:rPr>
        <w:t>采取上述措施，施工厂界噪声排放满足《建筑施工场界环境噪声排放标准》（GB12523-2011），即昼间70dB</w:t>
      </w:r>
      <w:r>
        <w:rPr>
          <w:rFonts w:hint="eastAsia"/>
          <w:color w:val="000000" w:themeColor="text1"/>
          <w:highlight w:val="none"/>
          <w:lang w:eastAsia="zh-CN"/>
        </w:rPr>
        <w:t>（</w:t>
      </w:r>
      <w:r>
        <w:rPr>
          <w:color w:val="000000" w:themeColor="text1"/>
          <w:highlight w:val="none"/>
        </w:rPr>
        <w:t>A</w:t>
      </w:r>
      <w:r>
        <w:rPr>
          <w:rFonts w:hint="eastAsia"/>
          <w:color w:val="000000" w:themeColor="text1"/>
          <w:highlight w:val="none"/>
          <w:lang w:eastAsia="zh-CN"/>
        </w:rPr>
        <w:t>）</w:t>
      </w:r>
      <w:r>
        <w:rPr>
          <w:color w:val="000000" w:themeColor="text1"/>
          <w:highlight w:val="none"/>
        </w:rPr>
        <w:t>、夜间55dB</w:t>
      </w:r>
      <w:r>
        <w:rPr>
          <w:rFonts w:hint="eastAsia"/>
          <w:color w:val="000000" w:themeColor="text1"/>
          <w:highlight w:val="none"/>
          <w:lang w:eastAsia="zh-CN"/>
        </w:rPr>
        <w:t>（</w:t>
      </w:r>
      <w:r>
        <w:rPr>
          <w:color w:val="000000" w:themeColor="text1"/>
          <w:highlight w:val="none"/>
        </w:rPr>
        <w:t>A</w:t>
      </w:r>
      <w:r>
        <w:rPr>
          <w:rFonts w:hint="eastAsia"/>
          <w:color w:val="000000" w:themeColor="text1"/>
          <w:highlight w:val="none"/>
          <w:lang w:eastAsia="zh-CN"/>
        </w:rPr>
        <w:t>）</w:t>
      </w:r>
      <w:r>
        <w:rPr>
          <w:color w:val="000000" w:themeColor="text1"/>
          <w:highlight w:val="none"/>
        </w:rPr>
        <w:t>。</w:t>
      </w:r>
    </w:p>
    <w:p w14:paraId="5D952C23">
      <w:pPr>
        <w:pageBreakBefore w:val="0"/>
        <w:wordWrap/>
        <w:topLinePunct w:val="0"/>
        <w:bidi w:val="0"/>
        <w:spacing w:line="360" w:lineRule="auto"/>
        <w:rPr>
          <w:color w:val="000000" w:themeColor="text1"/>
          <w:highlight w:val="none"/>
        </w:rPr>
      </w:pPr>
      <w:r>
        <w:rPr>
          <w:color w:val="000000" w:themeColor="text1"/>
          <w:highlight w:val="none"/>
        </w:rPr>
        <w:t>拟建公路施工期</w:t>
      </w:r>
      <w:r>
        <w:rPr>
          <w:rFonts w:hint="eastAsia"/>
          <w:color w:val="000000" w:themeColor="text1"/>
          <w:highlight w:val="none"/>
        </w:rPr>
        <w:t>较短</w:t>
      </w:r>
      <w:r>
        <w:rPr>
          <w:color w:val="000000" w:themeColor="text1"/>
          <w:highlight w:val="none"/>
        </w:rPr>
        <w:t>，施工噪声对沿线影响属于短期的、暂时的，施工结束后就会自然消失。</w:t>
      </w:r>
    </w:p>
    <w:p w14:paraId="0CFCF971">
      <w:pPr>
        <w:pStyle w:val="5"/>
        <w:pageBreakBefore w:val="0"/>
        <w:wordWrap/>
        <w:topLinePunct w:val="0"/>
        <w:bidi w:val="0"/>
        <w:spacing w:before="156" w:line="360" w:lineRule="auto"/>
        <w:rPr>
          <w:color w:val="000000" w:themeColor="text1"/>
          <w:highlight w:val="none"/>
          <w:lang w:val="zh-CN"/>
        </w:rPr>
      </w:pPr>
      <w:r>
        <w:rPr>
          <w:rFonts w:hint="eastAsia"/>
          <w:color w:val="000000" w:themeColor="text1"/>
          <w:highlight w:val="none"/>
          <w:lang w:val="zh-CN"/>
        </w:rPr>
        <w:t>5.</w:t>
      </w:r>
      <w:r>
        <w:rPr>
          <w:rFonts w:hint="eastAsia"/>
          <w:color w:val="000000" w:themeColor="text1"/>
          <w:highlight w:val="none"/>
          <w:lang w:val="en-US" w:eastAsia="zh-CN"/>
        </w:rPr>
        <w:t>2.1</w:t>
      </w:r>
      <w:r>
        <w:rPr>
          <w:rFonts w:hint="eastAsia"/>
          <w:color w:val="000000" w:themeColor="text1"/>
          <w:highlight w:val="none"/>
          <w:lang w:val="zh-CN"/>
        </w:rPr>
        <w:t>.5物料运输路线交通噪声对敏感点</w:t>
      </w:r>
      <w:r>
        <w:rPr>
          <w:color w:val="000000" w:themeColor="text1"/>
          <w:highlight w:val="none"/>
          <w:lang w:val="zh-CN"/>
        </w:rPr>
        <w:t>影响分析</w:t>
      </w:r>
    </w:p>
    <w:p w14:paraId="5859066B">
      <w:pPr>
        <w:pageBreakBefore w:val="0"/>
        <w:wordWrap/>
        <w:topLinePunct w:val="0"/>
        <w:bidi w:val="0"/>
        <w:spacing w:line="360" w:lineRule="auto"/>
        <w:rPr>
          <w:snapToGrid w:val="0"/>
          <w:color w:val="000000" w:themeColor="text1"/>
          <w:highlight w:val="none"/>
          <w:lang w:val="zh-CN"/>
        </w:rPr>
      </w:pPr>
      <w:r>
        <w:rPr>
          <w:rFonts w:hint="eastAsia"/>
          <w:snapToGrid w:val="0"/>
          <w:color w:val="000000" w:themeColor="text1"/>
          <w:highlight w:val="none"/>
          <w:lang w:val="zh-CN"/>
        </w:rPr>
        <w:t>本项目物料运输一般为大型装载车，如高速行驶，对运输道路两侧敏感点声环境影响较大。因此，为减缓物料运输对途经敏感点的影响，</w:t>
      </w:r>
      <w:r>
        <w:rPr>
          <w:snapToGrid w:val="0"/>
          <w:color w:val="000000" w:themeColor="text1"/>
          <w:highlight w:val="none"/>
          <w:lang w:val="zh-CN"/>
        </w:rPr>
        <w:t>本评价要求物料运输途径环境敏感点时减速慢行</w:t>
      </w:r>
      <w:r>
        <w:rPr>
          <w:rFonts w:hint="eastAsia"/>
          <w:snapToGrid w:val="0"/>
          <w:color w:val="000000" w:themeColor="text1"/>
          <w:highlight w:val="none"/>
          <w:lang w:val="zh-CN"/>
        </w:rPr>
        <w:t>、</w:t>
      </w:r>
      <w:r>
        <w:rPr>
          <w:snapToGrid w:val="0"/>
          <w:color w:val="000000" w:themeColor="text1"/>
          <w:highlight w:val="none"/>
          <w:lang w:val="zh-CN"/>
        </w:rPr>
        <w:t>禁止鸣笛</w:t>
      </w:r>
      <w:r>
        <w:rPr>
          <w:rFonts w:hint="eastAsia"/>
          <w:snapToGrid w:val="0"/>
          <w:color w:val="000000" w:themeColor="text1"/>
          <w:highlight w:val="none"/>
          <w:lang w:val="zh-CN"/>
        </w:rPr>
        <w:t>及夜间禁止运输，</w:t>
      </w:r>
      <w:r>
        <w:rPr>
          <w:snapToGrid w:val="0"/>
          <w:color w:val="000000" w:themeColor="text1"/>
          <w:highlight w:val="none"/>
          <w:lang w:val="zh-CN"/>
        </w:rPr>
        <w:t>采取上述措施后，本项目物料运输对沿线环境敏感点影响较小。</w:t>
      </w:r>
    </w:p>
    <w:p w14:paraId="6E0621D0">
      <w:pPr>
        <w:pStyle w:val="4"/>
        <w:pageBreakBefore w:val="0"/>
        <w:wordWrap/>
        <w:topLinePunct w:val="0"/>
        <w:bidi w:val="0"/>
        <w:spacing w:before="156" w:line="360" w:lineRule="auto"/>
        <w:rPr>
          <w:color w:val="000000" w:themeColor="text1"/>
          <w:highlight w:val="none"/>
        </w:rPr>
      </w:pPr>
      <w:bookmarkStart w:id="370" w:name="_Toc17020"/>
      <w:bookmarkStart w:id="371" w:name="_Toc29895"/>
      <w:r>
        <w:rPr>
          <w:rFonts w:hint="eastAsia"/>
          <w:color w:val="000000" w:themeColor="text1"/>
          <w:highlight w:val="none"/>
        </w:rPr>
        <w:t>5.2.2</w:t>
      </w:r>
      <w:r>
        <w:rPr>
          <w:color w:val="000000" w:themeColor="text1"/>
          <w:highlight w:val="none"/>
        </w:rPr>
        <w:t>营运期</w:t>
      </w:r>
      <w:bookmarkEnd w:id="370"/>
      <w:bookmarkEnd w:id="371"/>
    </w:p>
    <w:p w14:paraId="6023E9CA">
      <w:pPr>
        <w:pStyle w:val="5"/>
        <w:pageBreakBefore w:val="0"/>
        <w:wordWrap/>
        <w:topLinePunct w:val="0"/>
        <w:bidi w:val="0"/>
        <w:spacing w:before="156" w:line="360" w:lineRule="auto"/>
        <w:rPr>
          <w:color w:val="000000" w:themeColor="text1"/>
          <w:highlight w:val="none"/>
        </w:rPr>
      </w:pPr>
      <w:r>
        <w:rPr>
          <w:rFonts w:hint="eastAsia"/>
          <w:color w:val="000000" w:themeColor="text1"/>
          <w:highlight w:val="none"/>
        </w:rPr>
        <w:t>5.2.2.1</w:t>
      </w:r>
      <w:r>
        <w:rPr>
          <w:color w:val="000000" w:themeColor="text1"/>
          <w:highlight w:val="none"/>
        </w:rPr>
        <w:t>交通噪声</w:t>
      </w:r>
    </w:p>
    <w:p w14:paraId="11026767">
      <w:pPr>
        <w:pStyle w:val="92"/>
        <w:pageBreakBefore w:val="0"/>
        <w:wordWrap/>
        <w:topLinePunct w:val="0"/>
        <w:bidi w:val="0"/>
        <w:spacing w:line="360" w:lineRule="auto"/>
        <w:rPr>
          <w:color w:val="000000" w:themeColor="text1"/>
          <w:highlight w:val="none"/>
        </w:rPr>
      </w:pPr>
      <w:r>
        <w:rPr>
          <w:color w:val="000000" w:themeColor="text1"/>
          <w:highlight w:val="none"/>
        </w:rPr>
        <w:t>（1）预测模式</w:t>
      </w:r>
    </w:p>
    <w:p w14:paraId="18F7BE4C">
      <w:pPr>
        <w:pStyle w:val="92"/>
        <w:pageBreakBefore w:val="0"/>
        <w:wordWrap/>
        <w:topLinePunct w:val="0"/>
        <w:bidi w:val="0"/>
        <w:spacing w:line="360" w:lineRule="auto"/>
        <w:rPr>
          <w:rFonts w:ascii="Times New Roman" w:hAnsi="Times New Roman" w:eastAsia="宋体" w:cs="Times New Roman"/>
          <w:snapToGrid w:val="0"/>
          <w:color w:val="000000" w:themeColor="text1"/>
          <w:kern w:val="2"/>
          <w:sz w:val="24"/>
          <w:szCs w:val="24"/>
          <w:highlight w:val="none"/>
          <w:lang w:val="zh-CN" w:eastAsia="zh-CN" w:bidi="ar-SA"/>
        </w:rPr>
      </w:pPr>
      <w:r>
        <w:rPr>
          <w:rFonts w:hint="eastAsia" w:ascii="Times New Roman" w:hAnsi="Times New Roman" w:eastAsia="宋体" w:cs="Times New Roman"/>
          <w:snapToGrid w:val="0"/>
          <w:color w:val="000000" w:themeColor="text1"/>
          <w:kern w:val="2"/>
          <w:sz w:val="24"/>
          <w:szCs w:val="24"/>
          <w:highlight w:val="none"/>
          <w:lang w:val="en-US" w:eastAsia="zh-CN" w:bidi="ar-SA"/>
        </w:rPr>
        <w:t>本次评价采用《环境影响评价技术导则 公路建设项目》（HJ1358-2024）的要求，噪声预测可采用模型预测法，</w:t>
      </w:r>
      <w:r>
        <w:rPr>
          <w:rFonts w:hint="eastAsia" w:ascii="Times New Roman" w:hAnsi="Times New Roman" w:eastAsia="宋体" w:cs="Times New Roman"/>
          <w:snapToGrid w:val="0"/>
          <w:color w:val="000000" w:themeColor="text1"/>
          <w:kern w:val="2"/>
          <w:sz w:val="24"/>
          <w:szCs w:val="24"/>
          <w:highlight w:val="none"/>
          <w:lang w:val="zh-CN" w:eastAsia="zh-CN" w:bidi="ar-SA"/>
        </w:rPr>
        <w:t>采用环安噪声软件进行预测</w:t>
      </w:r>
      <w:r>
        <w:rPr>
          <w:rFonts w:hint="eastAsia" w:ascii="Times New Roman" w:hAnsi="Times New Roman" w:eastAsia="宋体" w:cs="Times New Roman"/>
          <w:snapToGrid w:val="0"/>
          <w:color w:val="000000" w:themeColor="text1"/>
          <w:kern w:val="2"/>
          <w:sz w:val="24"/>
          <w:szCs w:val="24"/>
          <w:highlight w:val="none"/>
          <w:lang w:val="en-US" w:eastAsia="zh-CN" w:bidi="ar-SA"/>
        </w:rPr>
        <w:t>：</w:t>
      </w:r>
    </w:p>
    <w:p w14:paraId="70FA05EE">
      <w:pPr>
        <w:pStyle w:val="92"/>
        <w:pageBreakBefore w:val="0"/>
        <w:wordWrap/>
        <w:topLinePunct w:val="0"/>
        <w:bidi w:val="0"/>
        <w:spacing w:line="360" w:lineRule="auto"/>
        <w:rPr>
          <w:snapToGrid w:val="0"/>
          <w:color w:val="000000" w:themeColor="text1"/>
          <w:highlight w:val="none"/>
        </w:rPr>
      </w:pPr>
      <w:r>
        <w:rPr>
          <w:rFonts w:hint="eastAsia"/>
          <w:snapToGrid w:val="0"/>
          <w:color w:val="000000" w:themeColor="text1"/>
          <w:highlight w:val="none"/>
        </w:rPr>
        <w:t>①</w:t>
      </w:r>
      <w:r>
        <w:rPr>
          <w:rFonts w:hAnsi="宋体"/>
          <w:snapToGrid w:val="0"/>
          <w:color w:val="000000" w:themeColor="text1"/>
          <w:highlight w:val="none"/>
        </w:rPr>
        <w:t>第</w:t>
      </w:r>
      <w:r>
        <w:rPr>
          <w:snapToGrid w:val="0"/>
          <w:color w:val="000000" w:themeColor="text1"/>
          <w:highlight w:val="none"/>
        </w:rPr>
        <w:t>i</w:t>
      </w:r>
      <w:r>
        <w:rPr>
          <w:rFonts w:hAnsi="宋体"/>
          <w:snapToGrid w:val="0"/>
          <w:color w:val="000000" w:themeColor="text1"/>
          <w:highlight w:val="none"/>
        </w:rPr>
        <w:t>类车等效声级的预测模式</w:t>
      </w:r>
    </w:p>
    <w:p w14:paraId="12E25424">
      <w:pPr>
        <w:pStyle w:val="123"/>
        <w:pageBreakBefore w:val="0"/>
        <w:wordWrap/>
        <w:topLinePunct w:val="0"/>
        <w:bidi w:val="0"/>
        <w:spacing w:line="360" w:lineRule="auto"/>
        <w:rPr>
          <w:rFonts w:hAnsi="宋体" w:eastAsia="宋体"/>
          <w:color w:val="000000" w:themeColor="text1"/>
          <w:highlight w:val="none"/>
        </w:rPr>
      </w:pPr>
      <w:r>
        <w:rPr>
          <w:color w:val="000000" w:themeColor="text1"/>
          <w:highlight w:val="none"/>
        </w:rPr>
        <w:drawing>
          <wp:inline distT="0" distB="0" distL="114300" distR="114300">
            <wp:extent cx="3996055" cy="488315"/>
            <wp:effectExtent l="0" t="0" r="4445" b="635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pic:cNvPicPr>
                  </pic:nvPicPr>
                  <pic:blipFill>
                    <a:blip r:embed="rId54"/>
                    <a:stretch>
                      <a:fillRect/>
                    </a:stretch>
                  </pic:blipFill>
                  <pic:spPr>
                    <a:xfrm>
                      <a:off x="0" y="0"/>
                      <a:ext cx="3996055" cy="488315"/>
                    </a:xfrm>
                    <a:prstGeom prst="rect">
                      <a:avLst/>
                    </a:prstGeom>
                    <a:noFill/>
                    <a:ln>
                      <a:noFill/>
                    </a:ln>
                  </pic:spPr>
                </pic:pic>
              </a:graphicData>
            </a:graphic>
          </wp:inline>
        </w:drawing>
      </w:r>
    </w:p>
    <w:p w14:paraId="38CBFCE9">
      <w:pPr>
        <w:spacing w:line="360" w:lineRule="auto"/>
        <w:ind w:left="0" w:leftChars="0" w:firstLine="480" w:firstLineChars="200"/>
        <w:rPr>
          <w:snapToGrid w:val="0"/>
          <w:color w:val="000000" w:themeColor="text1"/>
          <w:kern w:val="0"/>
          <w:sz w:val="24"/>
          <w:highlight w:val="none"/>
        </w:rPr>
      </w:pPr>
      <w:r>
        <w:rPr>
          <w:rFonts w:hint="eastAsia"/>
          <w:snapToGrid w:val="0"/>
          <w:color w:val="000000" w:themeColor="text1"/>
          <w:kern w:val="0"/>
          <w:sz w:val="24"/>
          <w:highlight w:val="none"/>
        </w:rPr>
        <w:t>式中：</w:t>
      </w:r>
      <w:r>
        <w:rPr>
          <w:snapToGrid w:val="0"/>
          <w:color w:val="000000" w:themeColor="text1"/>
          <w:kern w:val="0"/>
          <w:sz w:val="24"/>
          <w:highlight w:val="none"/>
        </w:rPr>
        <w:t>L</w:t>
      </w:r>
      <w:r>
        <w:rPr>
          <w:rFonts w:hint="eastAsia"/>
          <w:snapToGrid w:val="0"/>
          <w:color w:val="000000" w:themeColor="text1"/>
          <w:kern w:val="0"/>
          <w:sz w:val="24"/>
          <w:highlight w:val="none"/>
          <w:vertAlign w:val="subscript"/>
        </w:rPr>
        <w:t>eq</w:t>
      </w:r>
      <w:r>
        <w:rPr>
          <w:rFonts w:hint="eastAsia"/>
          <w:snapToGrid w:val="0"/>
          <w:color w:val="000000" w:themeColor="text1"/>
          <w:kern w:val="0"/>
          <w:sz w:val="24"/>
          <w:highlight w:val="none"/>
        </w:rPr>
        <w:t>（h）</w:t>
      </w:r>
      <w:r>
        <w:rPr>
          <w:rFonts w:hint="eastAsia"/>
          <w:snapToGrid w:val="0"/>
          <w:color w:val="000000" w:themeColor="text1"/>
          <w:kern w:val="0"/>
          <w:sz w:val="24"/>
          <w:highlight w:val="none"/>
          <w:vertAlign w:val="subscript"/>
        </w:rPr>
        <w:t>i</w:t>
      </w:r>
      <w:r>
        <w:rPr>
          <w:snapToGrid w:val="0"/>
          <w:color w:val="000000" w:themeColor="text1"/>
          <w:kern w:val="0"/>
          <w:sz w:val="24"/>
          <w:highlight w:val="none"/>
        </w:rPr>
        <w:t>—</w:t>
      </w:r>
      <w:r>
        <w:rPr>
          <w:rFonts w:hint="eastAsia"/>
          <w:snapToGrid w:val="0"/>
          <w:color w:val="000000" w:themeColor="text1"/>
          <w:kern w:val="0"/>
          <w:sz w:val="24"/>
          <w:highlight w:val="none"/>
        </w:rPr>
        <w:t>第</w:t>
      </w:r>
      <w:r>
        <w:rPr>
          <w:snapToGrid w:val="0"/>
          <w:color w:val="000000" w:themeColor="text1"/>
          <w:kern w:val="0"/>
          <w:sz w:val="24"/>
          <w:highlight w:val="none"/>
        </w:rPr>
        <w:t>i</w:t>
      </w:r>
      <w:r>
        <w:rPr>
          <w:rFonts w:hint="eastAsia"/>
          <w:snapToGrid w:val="0"/>
          <w:color w:val="000000" w:themeColor="text1"/>
          <w:kern w:val="0"/>
          <w:sz w:val="24"/>
          <w:highlight w:val="none"/>
        </w:rPr>
        <w:t>类车的小时等效声级，</w:t>
      </w:r>
      <w:r>
        <w:rPr>
          <w:snapToGrid w:val="0"/>
          <w:color w:val="000000" w:themeColor="text1"/>
          <w:kern w:val="0"/>
          <w:sz w:val="24"/>
          <w:highlight w:val="none"/>
        </w:rPr>
        <w:t>dB</w:t>
      </w:r>
      <w:r>
        <w:rPr>
          <w:rFonts w:hint="eastAsia"/>
          <w:snapToGrid w:val="0"/>
          <w:color w:val="000000" w:themeColor="text1"/>
          <w:kern w:val="0"/>
          <w:sz w:val="24"/>
          <w:highlight w:val="none"/>
        </w:rPr>
        <w:t>（</w:t>
      </w:r>
      <w:r>
        <w:rPr>
          <w:snapToGrid w:val="0"/>
          <w:color w:val="000000" w:themeColor="text1"/>
          <w:kern w:val="0"/>
          <w:sz w:val="24"/>
          <w:highlight w:val="none"/>
        </w:rPr>
        <w:t>A</w:t>
      </w:r>
      <w:r>
        <w:rPr>
          <w:rFonts w:hint="eastAsia"/>
          <w:snapToGrid w:val="0"/>
          <w:color w:val="000000" w:themeColor="text1"/>
          <w:kern w:val="0"/>
          <w:sz w:val="24"/>
          <w:highlight w:val="none"/>
        </w:rPr>
        <w:t>）；</w:t>
      </w:r>
    </w:p>
    <w:p w14:paraId="61860DBF">
      <w:pPr>
        <w:keepNext w:val="0"/>
        <w:keepLines w:val="0"/>
        <w:widowControl/>
        <w:suppressLineNumbers w:val="0"/>
        <w:spacing w:line="360" w:lineRule="auto"/>
        <w:ind w:firstLine="960" w:firstLineChars="400"/>
        <w:jc w:val="left"/>
        <w:rPr>
          <w:snapToGrid w:val="0"/>
          <w:color w:val="000000" w:themeColor="text1"/>
          <w:kern w:val="0"/>
          <w:sz w:val="24"/>
          <w:highlight w:val="none"/>
        </w:rPr>
      </w:pPr>
      <w:r>
        <w:rPr>
          <w:snapToGrid w:val="0"/>
          <w:color w:val="000000" w:themeColor="text1"/>
          <w:kern w:val="0"/>
          <w:sz w:val="24"/>
          <w:highlight w:val="none"/>
        </w:rPr>
        <w:object>
          <v:shape id="_x0000_i1025" o:spt="75" type="#_x0000_t75" style="height:18.75pt;width:24.85pt;" o:ole="t" filled="f" o:preferrelative="t" stroked="f" coordsize="21600,21600">
            <v:path/>
            <v:fill on="f" focussize="0,0"/>
            <v:stroke on="f"/>
            <v:imagedata r:id="rId56" o:title=""/>
            <o:lock v:ext="edit" aspectratio="t"/>
            <w10:wrap type="none"/>
            <w10:anchorlock/>
          </v:shape>
          <o:OLEObject Type="Embed" ProgID="Equation.DSMT4" ShapeID="_x0000_i1025" DrawAspect="Content" ObjectID="_1468075725" r:id="rId55">
            <o:LockedField>false</o:LockedField>
          </o:OLEObject>
        </w:object>
      </w:r>
      <w:r>
        <w:rPr>
          <w:snapToGrid w:val="0"/>
          <w:color w:val="000000" w:themeColor="text1"/>
          <w:kern w:val="0"/>
          <w:sz w:val="24"/>
          <w:highlight w:val="none"/>
        </w:rPr>
        <w:t>—</w:t>
      </w:r>
      <w:r>
        <w:rPr>
          <w:rFonts w:hint="eastAsia"/>
          <w:snapToGrid w:val="0"/>
          <w:color w:val="000000" w:themeColor="text1"/>
          <w:kern w:val="0"/>
          <w:sz w:val="24"/>
          <w:highlight w:val="none"/>
        </w:rPr>
        <w:t>第</w:t>
      </w:r>
      <w:r>
        <w:rPr>
          <w:snapToGrid w:val="0"/>
          <w:color w:val="000000" w:themeColor="text1"/>
          <w:kern w:val="0"/>
          <w:sz w:val="24"/>
          <w:highlight w:val="none"/>
        </w:rPr>
        <w:t>i</w:t>
      </w:r>
      <w:r>
        <w:rPr>
          <w:rFonts w:hint="eastAsia"/>
          <w:snapToGrid w:val="0"/>
          <w:color w:val="000000" w:themeColor="text1"/>
          <w:kern w:val="0"/>
          <w:sz w:val="24"/>
          <w:highlight w:val="none"/>
        </w:rPr>
        <w:t>类水平距离为</w:t>
      </w:r>
      <w:r>
        <w:rPr>
          <w:snapToGrid w:val="0"/>
          <w:color w:val="000000" w:themeColor="text1"/>
          <w:kern w:val="0"/>
          <w:sz w:val="24"/>
          <w:highlight w:val="none"/>
        </w:rPr>
        <w:t>7.5m</w:t>
      </w:r>
      <w:r>
        <w:rPr>
          <w:rFonts w:hint="eastAsia"/>
          <w:snapToGrid w:val="0"/>
          <w:color w:val="000000" w:themeColor="text1"/>
          <w:kern w:val="0"/>
          <w:sz w:val="24"/>
          <w:highlight w:val="none"/>
        </w:rPr>
        <w:t>处的</w:t>
      </w:r>
      <w:r>
        <w:rPr>
          <w:rFonts w:hint="eastAsia" w:ascii="宋体" w:hAnsi="宋体" w:eastAsia="宋体" w:cs="宋体"/>
          <w:color w:val="000000" w:themeColor="text1"/>
          <w:kern w:val="0"/>
          <w:sz w:val="24"/>
          <w:szCs w:val="24"/>
          <w:highlight w:val="none"/>
          <w:lang w:val="en-US" w:eastAsia="zh-CN" w:bidi="ar"/>
        </w:rPr>
        <w:t>平均辐射噪声级</w:t>
      </w:r>
      <w:r>
        <w:rPr>
          <w:rFonts w:hint="eastAsia"/>
          <w:snapToGrid w:val="0"/>
          <w:color w:val="000000" w:themeColor="text1"/>
          <w:kern w:val="0"/>
          <w:sz w:val="24"/>
          <w:highlight w:val="none"/>
        </w:rPr>
        <w:t>，</w:t>
      </w:r>
      <w:r>
        <w:rPr>
          <w:snapToGrid w:val="0"/>
          <w:color w:val="000000" w:themeColor="text1"/>
          <w:kern w:val="0"/>
          <w:sz w:val="24"/>
          <w:highlight w:val="none"/>
        </w:rPr>
        <w:t>dB</w:t>
      </w:r>
      <w:r>
        <w:rPr>
          <w:rFonts w:hint="eastAsia"/>
          <w:snapToGrid w:val="0"/>
          <w:color w:val="000000" w:themeColor="text1"/>
          <w:kern w:val="0"/>
          <w:sz w:val="24"/>
          <w:highlight w:val="none"/>
          <w:lang w:eastAsia="zh-CN"/>
        </w:rPr>
        <w:t>（</w:t>
      </w:r>
      <w:r>
        <w:rPr>
          <w:rFonts w:hint="eastAsia"/>
          <w:snapToGrid w:val="0"/>
          <w:color w:val="000000" w:themeColor="text1"/>
          <w:kern w:val="0"/>
          <w:sz w:val="24"/>
          <w:highlight w:val="none"/>
          <w:lang w:val="en-US" w:eastAsia="zh-CN"/>
        </w:rPr>
        <w:t>A</w:t>
      </w:r>
      <w:r>
        <w:rPr>
          <w:rFonts w:hint="eastAsia"/>
          <w:snapToGrid w:val="0"/>
          <w:color w:val="000000" w:themeColor="text1"/>
          <w:kern w:val="0"/>
          <w:sz w:val="24"/>
          <w:highlight w:val="none"/>
          <w:lang w:eastAsia="zh-CN"/>
        </w:rPr>
        <w:t>）</w:t>
      </w:r>
      <w:r>
        <w:rPr>
          <w:rFonts w:hint="eastAsia"/>
          <w:snapToGrid w:val="0"/>
          <w:color w:val="000000" w:themeColor="text1"/>
          <w:kern w:val="0"/>
          <w:sz w:val="24"/>
          <w:highlight w:val="none"/>
        </w:rPr>
        <w:t>；</w:t>
      </w:r>
    </w:p>
    <w:p w14:paraId="61EC0C1A">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snapToGrid w:val="0"/>
          <w:color w:val="000000" w:themeColor="text1"/>
          <w:kern w:val="0"/>
          <w:sz w:val="24"/>
          <w:highlight w:val="none"/>
        </w:rPr>
        <w:t>N</w:t>
      </w:r>
      <w:r>
        <w:rPr>
          <w:rFonts w:hint="default" w:ascii="Times New Roman" w:hAnsi="Times New Roman" w:cs="Times New Roman"/>
          <w:snapToGrid w:val="0"/>
          <w:color w:val="000000" w:themeColor="text1"/>
          <w:kern w:val="0"/>
          <w:sz w:val="24"/>
          <w:highlight w:val="none"/>
          <w:vertAlign w:val="subscript"/>
        </w:rPr>
        <w:t>i</w:t>
      </w:r>
      <w:r>
        <w:rPr>
          <w:rFonts w:hint="default" w:ascii="Times New Roman" w:hAnsi="Times New Roman" w:cs="Times New Roman"/>
          <w:snapToGrid w:val="0"/>
          <w:color w:val="000000" w:themeColor="text1"/>
          <w:kern w:val="0"/>
          <w:sz w:val="24"/>
          <w:highlight w:val="none"/>
        </w:rPr>
        <w:t>—昼间，夜间通过某个预测点的第i类平均小时车流量，辆/h；</w:t>
      </w:r>
    </w:p>
    <w:p w14:paraId="1C153193">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snapToGrid w:val="0"/>
          <w:color w:val="000000" w:themeColor="text1"/>
          <w:kern w:val="0"/>
          <w:sz w:val="24"/>
          <w:highlight w:val="none"/>
        </w:rPr>
        <w:t>V</w:t>
      </w:r>
      <w:r>
        <w:rPr>
          <w:rFonts w:hint="default" w:ascii="Times New Roman" w:hAnsi="Times New Roman" w:cs="Times New Roman"/>
          <w:snapToGrid w:val="0"/>
          <w:color w:val="000000" w:themeColor="text1"/>
          <w:kern w:val="0"/>
          <w:sz w:val="24"/>
          <w:highlight w:val="none"/>
          <w:vertAlign w:val="subscript"/>
        </w:rPr>
        <w:t xml:space="preserve">i </w:t>
      </w:r>
      <w:r>
        <w:rPr>
          <w:rFonts w:hint="default" w:ascii="Times New Roman" w:hAnsi="Times New Roman" w:cs="Times New Roman"/>
          <w:snapToGrid w:val="0"/>
          <w:color w:val="000000" w:themeColor="text1"/>
          <w:kern w:val="0"/>
          <w:sz w:val="24"/>
          <w:highlight w:val="none"/>
        </w:rPr>
        <w:t xml:space="preserve">—第i类车的平均车速，km/h； </w:t>
      </w:r>
    </w:p>
    <w:p w14:paraId="0CA7E590">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snapToGrid w:val="0"/>
          <w:color w:val="000000" w:themeColor="text1"/>
          <w:kern w:val="0"/>
          <w:sz w:val="24"/>
          <w:highlight w:val="none"/>
        </w:rPr>
        <w:t>T —计算等效声级的时间，1h；</w:t>
      </w:r>
    </w:p>
    <w:p w14:paraId="6824002E">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snapToGrid w:val="0"/>
          <w:color w:val="000000" w:themeColor="text1"/>
          <w:kern w:val="0"/>
          <w:sz w:val="24"/>
          <w:highlight w:val="none"/>
        </w:rPr>
        <w:t>△L</w:t>
      </w:r>
      <w:r>
        <w:rPr>
          <w:rFonts w:hint="default" w:ascii="Times New Roman" w:hAnsi="Times New Roman" w:cs="Times New Roman"/>
          <w:snapToGrid w:val="0"/>
          <w:color w:val="000000" w:themeColor="text1"/>
          <w:kern w:val="0"/>
          <w:sz w:val="24"/>
          <w:highlight w:val="none"/>
          <w:vertAlign w:val="subscript"/>
        </w:rPr>
        <w:t>距离</w:t>
      </w:r>
      <w:r>
        <w:rPr>
          <w:rFonts w:hint="default" w:ascii="Times New Roman" w:hAnsi="Times New Roman" w:cs="Times New Roman"/>
          <w:snapToGrid w:val="0"/>
          <w:color w:val="000000" w:themeColor="text1"/>
          <w:kern w:val="0"/>
          <w:sz w:val="24"/>
          <w:highlight w:val="none"/>
        </w:rPr>
        <w:t>—距离衰减量，dB（A）；</w:t>
      </w:r>
    </w:p>
    <w:p w14:paraId="4652A492">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snapToGrid w:val="0"/>
          <w:color w:val="000000" w:themeColor="text1"/>
          <w:kern w:val="0"/>
          <w:sz w:val="24"/>
          <w:highlight w:val="none"/>
          <w:lang w:val="en-US" w:eastAsia="zh-CN"/>
        </w:rPr>
        <w:t>θ—预测点到有限长路段两端的张角，弧度；</w:t>
      </w:r>
    </w:p>
    <w:p w14:paraId="410F9C33">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lang w:eastAsia="zh-CN"/>
        </w:rPr>
      </w:pPr>
      <w:r>
        <w:rPr>
          <w:rFonts w:hint="default" w:ascii="Times New Roman" w:hAnsi="Times New Roman" w:cs="Times New Roman"/>
          <w:snapToGrid w:val="0"/>
          <w:color w:val="000000" w:themeColor="text1"/>
          <w:kern w:val="0"/>
          <w:sz w:val="24"/>
          <w:highlight w:val="none"/>
        </w:rPr>
        <w:t>△L—由其他因素引起的修正量，dB（A）</w:t>
      </w:r>
      <w:r>
        <w:rPr>
          <w:rFonts w:hint="default" w:ascii="Times New Roman" w:hAnsi="Times New Roman" w:cs="Times New Roman"/>
          <w:snapToGrid w:val="0"/>
          <w:color w:val="000000" w:themeColor="text1"/>
          <w:kern w:val="0"/>
          <w:sz w:val="24"/>
          <w:highlight w:val="none"/>
          <w:lang w:eastAsia="zh-CN"/>
        </w:rPr>
        <w:t>。</w:t>
      </w:r>
    </w:p>
    <w:p w14:paraId="443D5386">
      <w:pPr>
        <w:spacing w:line="360" w:lineRule="auto"/>
        <w:ind w:left="0" w:leftChars="0" w:firstLine="960" w:firstLineChars="400"/>
        <w:rPr>
          <w:rFonts w:hint="default" w:ascii="Times New Roman" w:hAnsi="Times New Roman" w:cs="Times New Roman"/>
          <w:snapToGrid w:val="0"/>
          <w:color w:val="000000" w:themeColor="text1"/>
          <w:kern w:val="0"/>
          <w:sz w:val="24"/>
          <w:highlight w:val="none"/>
          <w:lang w:eastAsia="zh-CN"/>
        </w:rPr>
      </w:pPr>
      <w:r>
        <w:rPr>
          <w:rFonts w:hint="default" w:ascii="Times New Roman" w:hAnsi="Times New Roman" w:cs="Times New Roman"/>
          <w:snapToGrid w:val="0"/>
          <w:color w:val="000000" w:themeColor="text1"/>
          <w:kern w:val="0"/>
          <w:sz w:val="24"/>
          <w:highlight w:val="none"/>
          <w:lang w:val="en-US" w:eastAsia="zh-CN"/>
        </w:rPr>
        <w:t>△L</w:t>
      </w:r>
      <w:r>
        <w:rPr>
          <w:rFonts w:hint="default" w:ascii="Times New Roman" w:hAnsi="Times New Roman" w:cs="Times New Roman"/>
          <w:snapToGrid w:val="0"/>
          <w:color w:val="000000" w:themeColor="text1"/>
          <w:kern w:val="0"/>
          <w:sz w:val="24"/>
          <w:highlight w:val="none"/>
          <w:vertAlign w:val="subscript"/>
          <w:lang w:val="en-US" w:eastAsia="zh-CN"/>
        </w:rPr>
        <w:t>距离</w:t>
      </w:r>
      <w:r>
        <w:rPr>
          <w:rFonts w:hint="default" w:ascii="Times New Roman" w:hAnsi="Times New Roman" w:cs="Times New Roman"/>
          <w:snapToGrid w:val="0"/>
          <w:color w:val="000000" w:themeColor="text1"/>
          <w:kern w:val="0"/>
          <w:sz w:val="24"/>
          <w:highlight w:val="none"/>
          <w:lang w:val="en-US" w:eastAsia="zh-CN"/>
        </w:rPr>
        <w:t>按下列公式计算：</w:t>
      </w:r>
    </w:p>
    <w:p w14:paraId="04D6F9C7">
      <w:pPr>
        <w:spacing w:line="360" w:lineRule="auto"/>
        <w:ind w:left="0" w:leftChars="0" w:firstLine="960" w:firstLineChars="4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drawing>
          <wp:inline distT="0" distB="0" distL="114300" distR="114300">
            <wp:extent cx="2668270" cy="817880"/>
            <wp:effectExtent l="0" t="0" r="17780" b="1270"/>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5"/>
                    <pic:cNvPicPr>
                      <a:picLocks noChangeAspect="1"/>
                    </pic:cNvPicPr>
                  </pic:nvPicPr>
                  <pic:blipFill>
                    <a:blip r:embed="rId57"/>
                    <a:stretch>
                      <a:fillRect/>
                    </a:stretch>
                  </pic:blipFill>
                  <pic:spPr>
                    <a:xfrm>
                      <a:off x="0" y="0"/>
                      <a:ext cx="2668270" cy="817880"/>
                    </a:xfrm>
                    <a:prstGeom prst="rect">
                      <a:avLst/>
                    </a:prstGeom>
                    <a:noFill/>
                    <a:ln>
                      <a:noFill/>
                    </a:ln>
                  </pic:spPr>
                </pic:pic>
              </a:graphicData>
            </a:graphic>
          </wp:inline>
        </w:drawing>
      </w:r>
    </w:p>
    <w:p w14:paraId="2ACF3297">
      <w:pPr>
        <w:spacing w:line="360" w:lineRule="auto"/>
        <w:ind w:left="0" w:leftChars="0" w:firstLine="960" w:firstLineChars="4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val="en-US" w:eastAsia="zh-CN"/>
        </w:rPr>
        <w:t>式中：△L</w:t>
      </w:r>
      <w:r>
        <w:rPr>
          <w:rFonts w:hint="default" w:ascii="Times New Roman" w:hAnsi="Times New Roman" w:cs="Times New Roman"/>
          <w:color w:val="000000" w:themeColor="text1"/>
          <w:highlight w:val="none"/>
          <w:vertAlign w:val="subscript"/>
          <w:lang w:val="en-US" w:eastAsia="zh-CN"/>
        </w:rPr>
        <w:t>距离</w:t>
      </w:r>
      <w:r>
        <w:rPr>
          <w:rFonts w:hint="default" w:ascii="Times New Roman" w:hAnsi="Times New Roman" w:cs="Times New Roman"/>
          <w:color w:val="000000" w:themeColor="text1"/>
          <w:highlight w:val="none"/>
          <w:lang w:val="en-US" w:eastAsia="zh-CN"/>
        </w:rPr>
        <w:t>—距离衰减量，dB(A)；</w:t>
      </w:r>
    </w:p>
    <w:p w14:paraId="3B18815A">
      <w:pPr>
        <w:spacing w:line="360" w:lineRule="auto"/>
        <w:ind w:left="0" w:leftChars="0" w:firstLine="960" w:firstLineChars="4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val="en-US" w:eastAsia="zh-CN"/>
        </w:rPr>
        <w:t>r—从车道中心线到预测点的距离，m；</w:t>
      </w:r>
    </w:p>
    <w:p w14:paraId="5030B5DC">
      <w:pPr>
        <w:spacing w:line="360" w:lineRule="auto"/>
        <w:ind w:left="0" w:leftChars="0" w:firstLine="960" w:firstLineChars="400"/>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lang w:val="en-US" w:eastAsia="zh-CN"/>
        </w:rPr>
        <w:t>N</w:t>
      </w:r>
      <w:r>
        <w:rPr>
          <w:rFonts w:hint="default" w:ascii="Times New Roman" w:hAnsi="Times New Roman" w:cs="Times New Roman"/>
          <w:color w:val="000000" w:themeColor="text1"/>
          <w:highlight w:val="none"/>
          <w:vertAlign w:val="subscript"/>
          <w:lang w:val="en-US" w:eastAsia="zh-CN"/>
        </w:rPr>
        <w:t>max</w:t>
      </w:r>
      <w:r>
        <w:rPr>
          <w:rFonts w:hint="default" w:ascii="Times New Roman" w:hAnsi="Times New Roman" w:cs="Times New Roman"/>
          <w:color w:val="000000" w:themeColor="text1"/>
          <w:highlight w:val="none"/>
          <w:lang w:val="en-US" w:eastAsia="zh-CN"/>
        </w:rPr>
        <w:t>—最大平均小时车流量，辆/h，同一个公路建设项目采用同一个值，取公路运营期各代表年份、各路段平均小时车流量中的最大值。</w:t>
      </w:r>
    </w:p>
    <w:p w14:paraId="1AC0E23C">
      <w:pPr>
        <w:keepNext w:val="0"/>
        <w:keepLines w:val="0"/>
        <w:widowControl/>
        <w:suppressLineNumbers w:val="0"/>
        <w:spacing w:line="360" w:lineRule="auto"/>
        <w:jc w:val="left"/>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w:t>
      </w:r>
      <w:r>
        <w:rPr>
          <w:rFonts w:hint="default" w:ascii="Times New Roman" w:hAnsi="Times New Roman" w:cs="Times New Roman"/>
          <w:color w:val="000000" w:themeColor="text1"/>
          <w:highlight w:val="none"/>
          <w:lang w:val="en-US" w:eastAsia="zh-CN"/>
        </w:rPr>
        <w:t>△L</w:t>
      </w:r>
      <w:r>
        <w:rPr>
          <w:rFonts w:hint="default" w:ascii="Times New Roman" w:hAnsi="Times New Roman" w:eastAsia="宋体" w:cs="Times New Roman"/>
          <w:color w:val="000000" w:themeColor="text1"/>
          <w:kern w:val="0"/>
          <w:sz w:val="24"/>
          <w:szCs w:val="24"/>
          <w:highlight w:val="none"/>
          <w:lang w:val="en-US" w:eastAsia="zh-CN" w:bidi="ar"/>
        </w:rPr>
        <w:t>按下列公式计算：</w:t>
      </w:r>
    </w:p>
    <w:p w14:paraId="6B56E049">
      <w:pPr>
        <w:spacing w:line="360" w:lineRule="auto"/>
        <w:ind w:left="0" w:leftChars="0" w:firstLine="0" w:firstLineChars="0"/>
        <w:jc w:val="center"/>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color w:val="000000" w:themeColor="text1"/>
          <w:highlight w:val="none"/>
        </w:rPr>
        <w:drawing>
          <wp:inline distT="0" distB="0" distL="114300" distR="114300">
            <wp:extent cx="1228725" cy="247650"/>
            <wp:effectExtent l="0" t="0" r="9525" b="0"/>
            <wp:docPr id="1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6"/>
                    <pic:cNvPicPr>
                      <a:picLocks noChangeAspect="1"/>
                    </pic:cNvPicPr>
                  </pic:nvPicPr>
                  <pic:blipFill>
                    <a:blip r:embed="rId58"/>
                    <a:stretch>
                      <a:fillRect/>
                    </a:stretch>
                  </pic:blipFill>
                  <pic:spPr>
                    <a:xfrm>
                      <a:off x="0" y="0"/>
                      <a:ext cx="1228725" cy="247650"/>
                    </a:xfrm>
                    <a:prstGeom prst="rect">
                      <a:avLst/>
                    </a:prstGeom>
                    <a:noFill/>
                    <a:ln>
                      <a:noFill/>
                    </a:ln>
                  </pic:spPr>
                </pic:pic>
              </a:graphicData>
            </a:graphic>
          </wp:inline>
        </w:drawing>
      </w:r>
    </w:p>
    <w:p w14:paraId="40830026">
      <w:pPr>
        <w:spacing w:line="360" w:lineRule="auto"/>
        <w:ind w:left="0" w:leftChars="0" w:firstLine="0" w:firstLineChars="0"/>
        <w:jc w:val="center"/>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snapToGrid w:val="0"/>
          <w:color w:val="000000" w:themeColor="text1"/>
          <w:kern w:val="0"/>
          <w:sz w:val="24"/>
          <w:highlight w:val="none"/>
        </w:rPr>
        <w:object>
          <v:shape id="_x0000_i1026" o:spt="75" type="#_x0000_t75" style="height:21.45pt;width:129.45pt;" o:ole="t" filled="f" o:preferrelative="t" stroked="f" coordsize="21600,21600">
            <v:path/>
            <v:fill on="f" focussize="0,0"/>
            <v:stroke on="f"/>
            <v:imagedata r:id="rId60" o:title=""/>
            <o:lock v:ext="edit" aspectratio="t"/>
            <w10:wrap type="none"/>
            <w10:anchorlock/>
          </v:shape>
          <o:OLEObject Type="Embed" ProgID="Equation.DSMT4" ShapeID="_x0000_i1026" DrawAspect="Content" ObjectID="_1468075726" r:id="rId59">
            <o:LockedField>false</o:LockedField>
          </o:OLEObject>
        </w:object>
      </w:r>
    </w:p>
    <w:p w14:paraId="210DE125">
      <w:pPr>
        <w:spacing w:line="360" w:lineRule="auto"/>
        <w:ind w:left="0" w:leftChars="0" w:firstLine="0" w:firstLineChars="0"/>
        <w:jc w:val="center"/>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color w:val="000000" w:themeColor="text1"/>
          <w:highlight w:val="none"/>
        </w:rPr>
        <w:drawing>
          <wp:inline distT="0" distB="0" distL="114300" distR="114300">
            <wp:extent cx="2390775" cy="314325"/>
            <wp:effectExtent l="0" t="0" r="9525" b="952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pic:cNvPicPr>
                      <a:picLocks noChangeAspect="1"/>
                    </pic:cNvPicPr>
                  </pic:nvPicPr>
                  <pic:blipFill>
                    <a:blip r:embed="rId61"/>
                    <a:stretch>
                      <a:fillRect/>
                    </a:stretch>
                  </pic:blipFill>
                  <pic:spPr>
                    <a:xfrm>
                      <a:off x="0" y="0"/>
                      <a:ext cx="2390775" cy="314325"/>
                    </a:xfrm>
                    <a:prstGeom prst="rect">
                      <a:avLst/>
                    </a:prstGeom>
                    <a:noFill/>
                    <a:ln>
                      <a:noFill/>
                    </a:ln>
                  </pic:spPr>
                </pic:pic>
              </a:graphicData>
            </a:graphic>
          </wp:inline>
        </w:drawing>
      </w:r>
    </w:p>
    <w:p w14:paraId="4D4AB556">
      <w:pPr>
        <w:spacing w:line="360" w:lineRule="auto"/>
        <w:ind w:left="0" w:leftChars="0" w:firstLine="480" w:firstLineChars="200"/>
        <w:rPr>
          <w:rFonts w:hint="default" w:ascii="Times New Roman" w:hAnsi="Times New Roman" w:cs="Times New Roman"/>
          <w:color w:val="000000" w:themeColor="text1"/>
          <w:highlight w:val="none"/>
          <w:lang w:val="en-US" w:eastAsia="zh-CN"/>
        </w:rPr>
      </w:pPr>
      <w:r>
        <w:rPr>
          <w:rFonts w:hint="default" w:ascii="Times New Roman" w:hAnsi="Times New Roman" w:cs="Times New Roman"/>
          <w:snapToGrid w:val="0"/>
          <w:color w:val="000000" w:themeColor="text1"/>
          <w:kern w:val="0"/>
          <w:sz w:val="24"/>
          <w:highlight w:val="none"/>
        </w:rPr>
        <w:t>式中：</w:t>
      </w:r>
      <w:r>
        <w:rPr>
          <w:rFonts w:hint="default" w:ascii="Times New Roman" w:hAnsi="Times New Roman" w:cs="Times New Roman"/>
          <w:color w:val="000000" w:themeColor="text1"/>
          <w:highlight w:val="none"/>
          <w:lang w:val="en-US" w:eastAsia="zh-CN"/>
        </w:rPr>
        <w:t>△L—由其它因素引起的修正量，dB(A)；</w:t>
      </w:r>
    </w:p>
    <w:p w14:paraId="414C1641">
      <w:pPr>
        <w:spacing w:line="360" w:lineRule="auto"/>
        <w:ind w:left="0" w:leftChars="0" w:firstLine="1200" w:firstLineChars="500"/>
        <w:rPr>
          <w:rFonts w:hint="default" w:ascii="Times New Roman" w:hAnsi="Times New Roman" w:cs="Times New Roman"/>
          <w:snapToGrid w:val="0"/>
          <w:color w:val="000000" w:themeColor="text1"/>
          <w:kern w:val="0"/>
          <w:sz w:val="24"/>
          <w:highlight w:val="none"/>
        </w:rPr>
      </w:pPr>
      <w:r>
        <w:rPr>
          <w:rFonts w:hint="default" w:ascii="Times New Roman" w:hAnsi="Times New Roman" w:cs="Times New Roman"/>
          <w:color w:val="000000" w:themeColor="text1"/>
          <w:kern w:val="0"/>
          <w:sz w:val="24"/>
          <w:highlight w:val="none"/>
        </w:rPr>
        <w:t>△L</w:t>
      </w:r>
      <w:r>
        <w:rPr>
          <w:rFonts w:hint="default" w:ascii="Times New Roman" w:hAnsi="Times New Roman" w:cs="Times New Roman"/>
          <w:color w:val="000000" w:themeColor="text1"/>
          <w:kern w:val="0"/>
          <w:sz w:val="24"/>
          <w:highlight w:val="none"/>
          <w:vertAlign w:val="subscript"/>
        </w:rPr>
        <w:t>1</w:t>
      </w:r>
      <w:r>
        <w:rPr>
          <w:rFonts w:hint="default" w:ascii="Times New Roman" w:hAnsi="Times New Roman" w:cs="Times New Roman"/>
          <w:snapToGrid w:val="0"/>
          <w:color w:val="000000" w:themeColor="text1"/>
          <w:kern w:val="0"/>
          <w:sz w:val="24"/>
          <w:highlight w:val="none"/>
        </w:rPr>
        <w:t>—线路因素引起的修正量，dB（A）；</w:t>
      </w:r>
    </w:p>
    <w:p w14:paraId="12965D39">
      <w:pPr>
        <w:widowControl/>
        <w:spacing w:line="360" w:lineRule="auto"/>
        <w:ind w:firstLine="1200" w:firstLineChars="500"/>
        <w:rPr>
          <w:rFonts w:hint="default" w:ascii="Times New Roman" w:hAnsi="Times New Roman" w:cs="Times New Roman"/>
          <w:color w:val="000000" w:themeColor="text1"/>
          <w:kern w:val="0"/>
          <w:sz w:val="24"/>
          <w:highlight w:val="none"/>
        </w:rPr>
      </w:pPr>
      <w:r>
        <w:rPr>
          <w:rFonts w:hint="default" w:ascii="Times New Roman" w:hAnsi="Times New Roman" w:cs="Times New Roman"/>
          <w:color w:val="000000" w:themeColor="text1"/>
          <w:kern w:val="0"/>
          <w:sz w:val="24"/>
          <w:highlight w:val="none"/>
        </w:rPr>
        <w:t>△L</w:t>
      </w:r>
      <w:r>
        <w:rPr>
          <w:rFonts w:hint="default" w:ascii="Times New Roman" w:hAnsi="Times New Roman" w:cs="Times New Roman"/>
          <w:color w:val="000000" w:themeColor="text1"/>
          <w:kern w:val="0"/>
          <w:sz w:val="24"/>
          <w:highlight w:val="none"/>
          <w:vertAlign w:val="subscript"/>
        </w:rPr>
        <w:t>2</w:t>
      </w:r>
      <w:r>
        <w:rPr>
          <w:rFonts w:hint="default" w:ascii="Times New Roman" w:hAnsi="Times New Roman" w:cs="Times New Roman"/>
          <w:color w:val="000000" w:themeColor="text1"/>
          <w:sz w:val="24"/>
          <w:highlight w:val="none"/>
        </w:rPr>
        <w:t>—声波传播途径中引起的衰减量，dB（A）；</w:t>
      </w:r>
    </w:p>
    <w:p w14:paraId="3DDDAB41">
      <w:pPr>
        <w:spacing w:line="360" w:lineRule="auto"/>
        <w:ind w:firstLine="1200" w:firstLineChars="500"/>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kern w:val="0"/>
          <w:sz w:val="24"/>
          <w:highlight w:val="none"/>
        </w:rPr>
        <w:t>△L</w:t>
      </w:r>
      <w:r>
        <w:rPr>
          <w:rFonts w:hint="default" w:ascii="Times New Roman" w:hAnsi="Times New Roman" w:cs="Times New Roman"/>
          <w:color w:val="000000" w:themeColor="text1"/>
          <w:kern w:val="0"/>
          <w:sz w:val="24"/>
          <w:highlight w:val="none"/>
          <w:vertAlign w:val="subscript"/>
        </w:rPr>
        <w:t>坡度</w:t>
      </w:r>
      <w:r>
        <w:rPr>
          <w:rFonts w:hint="default" w:ascii="Times New Roman" w:hAnsi="Times New Roman" w:cs="Times New Roman"/>
          <w:color w:val="000000" w:themeColor="text1"/>
          <w:sz w:val="24"/>
          <w:highlight w:val="none"/>
        </w:rPr>
        <w:t>—公路纵坡修正量，dB（A）；</w:t>
      </w:r>
    </w:p>
    <w:p w14:paraId="00762CA4">
      <w:pPr>
        <w:spacing w:line="360" w:lineRule="auto"/>
        <w:ind w:firstLine="1200" w:firstLineChars="500"/>
        <w:rPr>
          <w:rFonts w:hint="default" w:ascii="Times New Roman" w:hAnsi="Times New Roman" w:cs="Times New Roman"/>
          <w:color w:val="000000" w:themeColor="text1"/>
          <w:sz w:val="24"/>
          <w:highlight w:val="none"/>
        </w:rPr>
      </w:pPr>
      <w:r>
        <w:rPr>
          <w:rFonts w:hint="default" w:ascii="Times New Roman" w:hAnsi="Times New Roman" w:cs="Times New Roman"/>
          <w:color w:val="000000" w:themeColor="text1"/>
          <w:kern w:val="0"/>
          <w:sz w:val="24"/>
          <w:highlight w:val="none"/>
        </w:rPr>
        <w:t>△L</w:t>
      </w:r>
      <w:r>
        <w:rPr>
          <w:rFonts w:hint="default" w:ascii="Times New Roman" w:hAnsi="Times New Roman" w:cs="Times New Roman"/>
          <w:color w:val="000000" w:themeColor="text1"/>
          <w:kern w:val="0"/>
          <w:sz w:val="24"/>
          <w:highlight w:val="none"/>
          <w:vertAlign w:val="subscript"/>
        </w:rPr>
        <w:t>路面</w:t>
      </w:r>
      <w:r>
        <w:rPr>
          <w:rFonts w:hint="default" w:ascii="Times New Roman" w:hAnsi="Times New Roman" w:cs="Times New Roman"/>
          <w:color w:val="000000" w:themeColor="text1"/>
          <w:sz w:val="24"/>
          <w:highlight w:val="none"/>
        </w:rPr>
        <w:t>—公路路面引起的修正量，dB（A）；</w:t>
      </w:r>
    </w:p>
    <w:p w14:paraId="18E1FE9D">
      <w:pPr>
        <w:keepNext w:val="0"/>
        <w:keepLines w:val="0"/>
        <w:widowControl/>
        <w:suppressLineNumbers w:val="0"/>
        <w:spacing w:line="360" w:lineRule="auto"/>
        <w:ind w:firstLine="1200" w:firstLineChars="500"/>
        <w:jc w:val="left"/>
        <w:rPr>
          <w:color w:val="000000" w:themeColor="text1"/>
          <w:highlight w:val="none"/>
        </w:rPr>
      </w:pPr>
      <w:r>
        <w:rPr>
          <w:rFonts w:ascii="Cambria Math" w:hAnsi="Cambria Math" w:eastAsia="Cambria Math" w:cs="Cambria Math"/>
          <w:color w:val="000000" w:themeColor="text1"/>
          <w:kern w:val="0"/>
          <w:sz w:val="24"/>
          <w:szCs w:val="24"/>
          <w:highlight w:val="none"/>
          <w:lang w:val="en-US" w:eastAsia="zh-CN" w:bidi="ar"/>
        </w:rPr>
        <w:t>𝐴</w:t>
      </w:r>
      <w:r>
        <w:rPr>
          <w:rFonts w:hint="default" w:ascii="Cambria Math" w:hAnsi="Cambria Math" w:eastAsia="Cambria Math" w:cs="Cambria Math"/>
          <w:color w:val="000000" w:themeColor="text1"/>
          <w:kern w:val="0"/>
          <w:sz w:val="17"/>
          <w:szCs w:val="17"/>
          <w:highlight w:val="none"/>
          <w:vertAlign w:val="baseline"/>
          <w:lang w:val="en-US" w:eastAsia="zh-CN" w:bidi="ar"/>
        </w:rPr>
        <w:t>𝑔𝑟</w:t>
      </w:r>
      <w:r>
        <w:rPr>
          <w:rFonts w:hint="eastAsia" w:ascii="宋体" w:hAnsi="宋体" w:eastAsia="宋体" w:cs="宋体"/>
          <w:color w:val="000000" w:themeColor="text1"/>
          <w:kern w:val="0"/>
          <w:sz w:val="24"/>
          <w:szCs w:val="24"/>
          <w:highlight w:val="none"/>
          <w:lang w:val="en-US" w:eastAsia="zh-CN" w:bidi="ar"/>
        </w:rPr>
        <w:t>—地面吸收引起的衰减量，</w:t>
      </w:r>
      <w:r>
        <w:rPr>
          <w:rFonts w:hint="default" w:ascii="Times New Roman" w:hAnsi="Times New Roman" w:eastAsia="宋体" w:cs="Times New Roman"/>
          <w:color w:val="000000" w:themeColor="text1"/>
          <w:kern w:val="0"/>
          <w:sz w:val="24"/>
          <w:szCs w:val="24"/>
          <w:highlight w:val="none"/>
          <w:lang w:val="en-US" w:eastAsia="zh-CN" w:bidi="ar"/>
        </w:rPr>
        <w:t>dB(A)</w:t>
      </w:r>
      <w:r>
        <w:rPr>
          <w:rFonts w:hint="eastAsia" w:ascii="宋体" w:hAnsi="宋体" w:eastAsia="宋体" w:cs="宋体"/>
          <w:color w:val="000000" w:themeColor="text1"/>
          <w:kern w:val="0"/>
          <w:sz w:val="24"/>
          <w:szCs w:val="24"/>
          <w:highlight w:val="none"/>
          <w:lang w:val="en-US" w:eastAsia="zh-CN" w:bidi="ar"/>
        </w:rPr>
        <w:t xml:space="preserve">； </w:t>
      </w:r>
    </w:p>
    <w:p w14:paraId="37D20657">
      <w:pPr>
        <w:keepNext w:val="0"/>
        <w:keepLines w:val="0"/>
        <w:widowControl/>
        <w:suppressLineNumbers w:val="0"/>
        <w:spacing w:line="360" w:lineRule="auto"/>
        <w:ind w:firstLine="1200" w:firstLineChars="500"/>
        <w:jc w:val="left"/>
        <w:rPr>
          <w:color w:val="000000" w:themeColor="text1"/>
          <w:highlight w:val="none"/>
        </w:rPr>
      </w:pPr>
      <w:r>
        <w:rPr>
          <w:rFonts w:hint="default" w:ascii="Cambria Math" w:hAnsi="Cambria Math" w:eastAsia="Cambria Math" w:cs="Cambria Math"/>
          <w:color w:val="000000" w:themeColor="text1"/>
          <w:kern w:val="0"/>
          <w:sz w:val="24"/>
          <w:szCs w:val="24"/>
          <w:highlight w:val="none"/>
          <w:lang w:val="en-US" w:eastAsia="zh-CN" w:bidi="ar"/>
        </w:rPr>
        <w:t>𝐴</w:t>
      </w:r>
      <w:r>
        <w:rPr>
          <w:rFonts w:hint="default" w:ascii="Cambria Math" w:hAnsi="Cambria Math" w:eastAsia="Cambria Math" w:cs="Cambria Math"/>
          <w:color w:val="000000" w:themeColor="text1"/>
          <w:kern w:val="0"/>
          <w:sz w:val="17"/>
          <w:szCs w:val="17"/>
          <w:highlight w:val="none"/>
          <w:lang w:val="en-US" w:eastAsia="zh-CN" w:bidi="ar"/>
        </w:rPr>
        <w:t>𝑏𝑎𝑟</w:t>
      </w:r>
      <w:r>
        <w:rPr>
          <w:rFonts w:hint="eastAsia" w:ascii="宋体" w:hAnsi="宋体" w:eastAsia="宋体" w:cs="宋体"/>
          <w:color w:val="000000" w:themeColor="text1"/>
          <w:kern w:val="0"/>
          <w:sz w:val="24"/>
          <w:szCs w:val="24"/>
          <w:highlight w:val="none"/>
          <w:lang w:val="en-US" w:eastAsia="zh-CN" w:bidi="ar"/>
        </w:rPr>
        <w:t>—遮挡物引起的衰减量，</w:t>
      </w:r>
      <w:r>
        <w:rPr>
          <w:rFonts w:hint="default" w:ascii="Times New Roman" w:hAnsi="Times New Roman" w:eastAsia="宋体" w:cs="Times New Roman"/>
          <w:color w:val="000000" w:themeColor="text1"/>
          <w:kern w:val="0"/>
          <w:sz w:val="24"/>
          <w:szCs w:val="24"/>
          <w:highlight w:val="none"/>
          <w:lang w:val="en-US" w:eastAsia="zh-CN" w:bidi="ar"/>
        </w:rPr>
        <w:t>dB(A)</w:t>
      </w:r>
      <w:r>
        <w:rPr>
          <w:rFonts w:hint="eastAsia" w:ascii="宋体" w:hAnsi="宋体" w:eastAsia="宋体" w:cs="宋体"/>
          <w:color w:val="000000" w:themeColor="text1"/>
          <w:kern w:val="0"/>
          <w:sz w:val="24"/>
          <w:szCs w:val="24"/>
          <w:highlight w:val="none"/>
          <w:lang w:val="en-US" w:eastAsia="zh-CN" w:bidi="ar"/>
        </w:rPr>
        <w:t xml:space="preserve">； </w:t>
      </w:r>
    </w:p>
    <w:p w14:paraId="672260A1">
      <w:pPr>
        <w:keepNext w:val="0"/>
        <w:keepLines w:val="0"/>
        <w:widowControl/>
        <w:suppressLineNumbers w:val="0"/>
        <w:spacing w:line="360" w:lineRule="auto"/>
        <w:ind w:firstLine="1200" w:firstLineChars="500"/>
        <w:jc w:val="left"/>
        <w:rPr>
          <w:color w:val="000000" w:themeColor="text1"/>
          <w:highlight w:val="none"/>
        </w:rPr>
      </w:pPr>
      <w:r>
        <w:rPr>
          <w:rFonts w:hint="default" w:ascii="Cambria Math" w:hAnsi="Cambria Math" w:eastAsia="Cambria Math" w:cs="Cambria Math"/>
          <w:color w:val="000000" w:themeColor="text1"/>
          <w:kern w:val="0"/>
          <w:sz w:val="24"/>
          <w:szCs w:val="24"/>
          <w:highlight w:val="none"/>
          <w:lang w:val="en-US" w:eastAsia="zh-CN" w:bidi="ar"/>
        </w:rPr>
        <w:t>𝐴</w:t>
      </w:r>
      <w:r>
        <w:rPr>
          <w:rFonts w:hint="default" w:ascii="Cambria Math" w:hAnsi="Cambria Math" w:eastAsia="Cambria Math" w:cs="Cambria Math"/>
          <w:color w:val="000000" w:themeColor="text1"/>
          <w:kern w:val="0"/>
          <w:sz w:val="17"/>
          <w:szCs w:val="17"/>
          <w:highlight w:val="none"/>
          <w:lang w:val="en-US" w:eastAsia="zh-CN" w:bidi="ar"/>
        </w:rPr>
        <w:t>𝑓𝑜𝑙</w:t>
      </w:r>
      <w:r>
        <w:rPr>
          <w:rFonts w:hint="eastAsia" w:ascii="宋体" w:hAnsi="宋体" w:eastAsia="宋体" w:cs="宋体"/>
          <w:color w:val="000000" w:themeColor="text1"/>
          <w:kern w:val="0"/>
          <w:sz w:val="24"/>
          <w:szCs w:val="24"/>
          <w:highlight w:val="none"/>
          <w:lang w:val="en-US" w:eastAsia="zh-CN" w:bidi="ar"/>
        </w:rPr>
        <w:t>—绿化林带引起的的衰减量，</w:t>
      </w:r>
      <w:r>
        <w:rPr>
          <w:rFonts w:hint="default" w:ascii="Times New Roman" w:hAnsi="Times New Roman" w:eastAsia="宋体" w:cs="Times New Roman"/>
          <w:color w:val="000000" w:themeColor="text1"/>
          <w:kern w:val="0"/>
          <w:sz w:val="24"/>
          <w:szCs w:val="24"/>
          <w:highlight w:val="none"/>
          <w:lang w:val="en-US" w:eastAsia="zh-CN" w:bidi="ar"/>
        </w:rPr>
        <w:t>dB(A)</w:t>
      </w:r>
      <w:r>
        <w:rPr>
          <w:rFonts w:hint="eastAsia" w:ascii="宋体" w:hAnsi="宋体" w:eastAsia="宋体" w:cs="宋体"/>
          <w:color w:val="000000" w:themeColor="text1"/>
          <w:kern w:val="0"/>
          <w:sz w:val="24"/>
          <w:szCs w:val="24"/>
          <w:highlight w:val="none"/>
          <w:lang w:val="en-US" w:eastAsia="zh-CN" w:bidi="ar"/>
        </w:rPr>
        <w:t xml:space="preserve">； </w:t>
      </w:r>
    </w:p>
    <w:p w14:paraId="080D5442">
      <w:pPr>
        <w:pStyle w:val="123"/>
        <w:pageBreakBefore w:val="0"/>
        <w:wordWrap/>
        <w:topLinePunct w:val="0"/>
        <w:bidi w:val="0"/>
        <w:spacing w:line="360" w:lineRule="auto"/>
        <w:ind w:firstLine="1200" w:firstLineChars="500"/>
        <w:rPr>
          <w:rFonts w:hint="default" w:ascii="Times New Roman" w:hAnsi="Times New Roman" w:eastAsia="宋体" w:cs="Times New Roman"/>
          <w:color w:val="000000" w:themeColor="text1"/>
          <w:kern w:val="0"/>
          <w:sz w:val="24"/>
          <w:szCs w:val="24"/>
          <w:highlight w:val="none"/>
          <w:lang w:val="en-US" w:eastAsia="zh-CN" w:bidi="ar"/>
        </w:rPr>
      </w:pPr>
      <w:r>
        <w:rPr>
          <w:rFonts w:hint="default" w:ascii="Cambria Math" w:hAnsi="Cambria Math" w:eastAsia="Cambria Math" w:cs="Cambria Math"/>
          <w:color w:val="000000" w:themeColor="text1"/>
          <w:kern w:val="0"/>
          <w:sz w:val="24"/>
          <w:szCs w:val="24"/>
          <w:highlight w:val="none"/>
          <w:lang w:val="en-US" w:eastAsia="zh-CN" w:bidi="ar"/>
        </w:rPr>
        <w:t>𝐴</w:t>
      </w:r>
      <w:r>
        <w:rPr>
          <w:rFonts w:hint="default" w:ascii="Cambria Math" w:hAnsi="Cambria Math" w:eastAsia="Cambria Math" w:cs="Cambria Math"/>
          <w:color w:val="000000" w:themeColor="text1"/>
          <w:kern w:val="0"/>
          <w:sz w:val="17"/>
          <w:szCs w:val="17"/>
          <w:highlight w:val="none"/>
          <w:lang w:val="en-US" w:eastAsia="zh-CN" w:bidi="ar"/>
        </w:rPr>
        <w:t>𝑎𝑡𝑚</w:t>
      </w:r>
      <w:r>
        <w:rPr>
          <w:rFonts w:hint="eastAsia" w:ascii="宋体" w:hAnsi="宋体" w:eastAsia="宋体" w:cs="宋体"/>
          <w:color w:val="000000" w:themeColor="text1"/>
          <w:kern w:val="0"/>
          <w:sz w:val="24"/>
          <w:szCs w:val="24"/>
          <w:highlight w:val="none"/>
          <w:lang w:val="en-US" w:eastAsia="zh-CN" w:bidi="ar"/>
        </w:rPr>
        <w:t>—大气吸收引起的衰减量，</w:t>
      </w:r>
      <w:r>
        <w:rPr>
          <w:rFonts w:hint="default" w:ascii="Times New Roman" w:hAnsi="Times New Roman" w:eastAsia="宋体" w:cs="Times New Roman"/>
          <w:color w:val="000000" w:themeColor="text1"/>
          <w:kern w:val="0"/>
          <w:sz w:val="24"/>
          <w:szCs w:val="24"/>
          <w:highlight w:val="none"/>
          <w:lang w:val="en-US" w:eastAsia="zh-CN" w:bidi="ar"/>
        </w:rPr>
        <w:t>dB(A)</w:t>
      </w:r>
      <w:r>
        <w:rPr>
          <w:rFonts w:hint="eastAsia" w:ascii="宋体" w:hAnsi="宋体" w:eastAsia="宋体" w:cs="宋体"/>
          <w:color w:val="000000" w:themeColor="text1"/>
          <w:kern w:val="0"/>
          <w:sz w:val="24"/>
          <w:szCs w:val="24"/>
          <w:highlight w:val="none"/>
          <w:lang w:val="en-US" w:eastAsia="zh-CN" w:bidi="ar"/>
        </w:rPr>
        <w:t xml:space="preserve">。 </w:t>
      </w:r>
    </w:p>
    <w:p w14:paraId="101A1305">
      <w:pPr>
        <w:pStyle w:val="92"/>
        <w:pageBreakBefore w:val="0"/>
        <w:wordWrap/>
        <w:topLinePunct w:val="0"/>
        <w:bidi w:val="0"/>
        <w:spacing w:line="360" w:lineRule="auto"/>
        <w:rPr>
          <w:rFonts w:hint="default" w:ascii="Times New Roman" w:hAnsi="Times New Roman" w:cs="Times New Roman"/>
          <w:snapToGrid w:val="0"/>
          <w:color w:val="000000" w:themeColor="text1"/>
          <w:highlight w:val="none"/>
        </w:rPr>
      </w:pPr>
      <w:r>
        <w:rPr>
          <w:rFonts w:hint="default" w:ascii="Times New Roman" w:hAnsi="Times New Roman" w:cs="Times New Roman"/>
          <w:snapToGrid w:val="0"/>
          <w:color w:val="000000" w:themeColor="text1"/>
          <w:highlight w:val="none"/>
        </w:rPr>
        <w:t>②</w:t>
      </w:r>
      <w:r>
        <w:rPr>
          <w:rFonts w:hint="default" w:ascii="Times New Roman" w:hAnsi="Times New Roman" w:cs="Times New Roman"/>
          <w:snapToGrid w:val="0"/>
          <w:color w:val="000000" w:themeColor="text1"/>
          <w:highlight w:val="none"/>
          <w:lang w:val="en-US" w:eastAsia="zh-CN"/>
        </w:rPr>
        <w:t>噪声贡献值</w:t>
      </w:r>
    </w:p>
    <w:p w14:paraId="0273E742">
      <w:pPr>
        <w:keepNext w:val="0"/>
        <w:keepLines w:val="0"/>
        <w:widowControl/>
        <w:suppressLineNumbers w:val="0"/>
        <w:spacing w:line="360" w:lineRule="auto"/>
        <w:jc w:val="center"/>
        <w:rPr>
          <w:rFonts w:hint="default" w:ascii="Times New Roman" w:hAnsi="Times New Roman" w:eastAsia="Cambria Math" w:cs="Times New Roman"/>
          <w:color w:val="000000" w:themeColor="text1"/>
          <w:kern w:val="0"/>
          <w:sz w:val="24"/>
          <w:szCs w:val="24"/>
          <w:highlight w:val="none"/>
          <w:lang w:val="en-US" w:eastAsia="zh-CN" w:bidi="ar"/>
        </w:rPr>
      </w:pPr>
      <w:r>
        <w:rPr>
          <w:rFonts w:hint="default" w:ascii="Times New Roman" w:hAnsi="Times New Roman" w:cs="Times New Roman"/>
          <w:color w:val="000000" w:themeColor="text1"/>
          <w:highlight w:val="none"/>
        </w:rPr>
        <w:drawing>
          <wp:inline distT="0" distB="0" distL="114300" distR="114300">
            <wp:extent cx="3025775" cy="311785"/>
            <wp:effectExtent l="0" t="0" r="6985" b="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
                    <pic:cNvPicPr>
                      <a:picLocks noChangeAspect="1"/>
                    </pic:cNvPicPr>
                  </pic:nvPicPr>
                  <pic:blipFill>
                    <a:blip r:embed="rId62"/>
                    <a:stretch>
                      <a:fillRect/>
                    </a:stretch>
                  </pic:blipFill>
                  <pic:spPr>
                    <a:xfrm>
                      <a:off x="0" y="0"/>
                      <a:ext cx="3025775" cy="311785"/>
                    </a:xfrm>
                    <a:prstGeom prst="rect">
                      <a:avLst/>
                    </a:prstGeom>
                    <a:noFill/>
                    <a:ln>
                      <a:noFill/>
                    </a:ln>
                  </pic:spPr>
                </pic:pic>
              </a:graphicData>
            </a:graphic>
          </wp:inline>
        </w:drawing>
      </w:r>
    </w:p>
    <w:p w14:paraId="7DA722E7">
      <w:pPr>
        <w:keepNext w:val="0"/>
        <w:keepLines w:val="0"/>
        <w:widowControl/>
        <w:suppressLineNumbers w:val="0"/>
        <w:jc w:val="left"/>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式中：L</w:t>
      </w:r>
      <w:r>
        <w:rPr>
          <w:rFonts w:hint="default" w:ascii="Times New Roman" w:hAnsi="Times New Roman" w:eastAsia="宋体" w:cs="Times New Roman"/>
          <w:color w:val="000000" w:themeColor="text1"/>
          <w:kern w:val="0"/>
          <w:sz w:val="16"/>
          <w:szCs w:val="16"/>
          <w:highlight w:val="none"/>
          <w:lang w:val="en-US" w:eastAsia="zh-CN" w:bidi="ar"/>
        </w:rPr>
        <w:t>Aeqg</w:t>
      </w:r>
      <w:r>
        <w:rPr>
          <w:rFonts w:hint="default" w:ascii="Times New Roman" w:hAnsi="Times New Roman" w:eastAsia="宋体" w:cs="Times New Roman"/>
          <w:color w:val="000000" w:themeColor="text1"/>
          <w:kern w:val="0"/>
          <w:sz w:val="24"/>
          <w:szCs w:val="24"/>
          <w:highlight w:val="none"/>
          <w:lang w:val="en-US" w:eastAsia="zh-CN" w:bidi="ar"/>
        </w:rPr>
        <w:t>—公路建设项目声源在预测点产生的噪声贡献值，dB(A)；</w:t>
      </w:r>
    </w:p>
    <w:p w14:paraId="71D48465">
      <w:pPr>
        <w:keepNext w:val="0"/>
        <w:keepLines w:val="0"/>
        <w:pageBreakBefore w:val="0"/>
        <w:widowControl/>
        <w:suppressLineNumbers w:val="0"/>
        <w:kinsoku/>
        <w:wordWrap/>
        <w:overflowPunct/>
        <w:topLinePunct w:val="0"/>
        <w:autoSpaceDE/>
        <w:autoSpaceDN/>
        <w:bidi w:val="0"/>
        <w:adjustRightInd/>
        <w:snapToGrid/>
        <w:ind w:firstLine="1200" w:firstLineChars="500"/>
        <w:jc w:val="both"/>
        <w:textAlignment w:val="auto"/>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L</w:t>
      </w:r>
      <w:r>
        <w:rPr>
          <w:rFonts w:hint="default" w:ascii="Times New Roman" w:hAnsi="Times New Roman" w:eastAsia="宋体" w:cs="Times New Roman"/>
          <w:color w:val="000000" w:themeColor="text1"/>
          <w:kern w:val="0"/>
          <w:sz w:val="16"/>
          <w:szCs w:val="16"/>
          <w:highlight w:val="none"/>
          <w:lang w:val="en-US" w:eastAsia="zh-CN" w:bidi="ar"/>
        </w:rPr>
        <w:t>Aeql</w:t>
      </w:r>
      <w:r>
        <w:rPr>
          <w:rFonts w:hint="default" w:ascii="Times New Roman" w:hAnsi="Times New Roman" w:eastAsia="宋体" w:cs="Times New Roman"/>
          <w:color w:val="000000" w:themeColor="text1"/>
          <w:kern w:val="0"/>
          <w:sz w:val="24"/>
          <w:szCs w:val="24"/>
          <w:highlight w:val="none"/>
          <w:lang w:val="en-US" w:eastAsia="zh-CN" w:bidi="ar"/>
        </w:rPr>
        <w:t>—大型车的噪声贡献值，dB(A)；</w:t>
      </w:r>
    </w:p>
    <w:p w14:paraId="5DE4CC22">
      <w:pPr>
        <w:keepNext w:val="0"/>
        <w:keepLines w:val="0"/>
        <w:pageBreakBefore w:val="0"/>
        <w:widowControl/>
        <w:suppressLineNumbers w:val="0"/>
        <w:kinsoku/>
        <w:wordWrap/>
        <w:overflowPunct/>
        <w:topLinePunct w:val="0"/>
        <w:autoSpaceDE/>
        <w:autoSpaceDN/>
        <w:bidi w:val="0"/>
        <w:adjustRightInd/>
        <w:snapToGrid/>
        <w:ind w:firstLine="1200" w:firstLineChars="500"/>
        <w:jc w:val="both"/>
        <w:textAlignment w:val="auto"/>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L</w:t>
      </w:r>
      <w:r>
        <w:rPr>
          <w:rFonts w:hint="default" w:ascii="Times New Roman" w:hAnsi="Times New Roman" w:eastAsia="宋体" w:cs="Times New Roman"/>
          <w:color w:val="000000" w:themeColor="text1"/>
          <w:kern w:val="0"/>
          <w:sz w:val="16"/>
          <w:szCs w:val="16"/>
          <w:highlight w:val="none"/>
          <w:lang w:val="en-US" w:eastAsia="zh-CN" w:bidi="ar"/>
        </w:rPr>
        <w:t>Aeqm</w:t>
      </w:r>
      <w:r>
        <w:rPr>
          <w:rFonts w:hint="default" w:ascii="Times New Roman" w:hAnsi="Times New Roman" w:eastAsia="宋体" w:cs="Times New Roman"/>
          <w:color w:val="000000" w:themeColor="text1"/>
          <w:kern w:val="0"/>
          <w:sz w:val="24"/>
          <w:szCs w:val="24"/>
          <w:highlight w:val="none"/>
          <w:lang w:val="en-US" w:eastAsia="zh-CN" w:bidi="ar"/>
        </w:rPr>
        <w:t>—中型车的噪声贡献值，dB(A)；</w:t>
      </w:r>
    </w:p>
    <w:p w14:paraId="5CBE28D5">
      <w:pPr>
        <w:keepNext w:val="0"/>
        <w:keepLines w:val="0"/>
        <w:pageBreakBefore w:val="0"/>
        <w:widowControl/>
        <w:suppressLineNumbers w:val="0"/>
        <w:kinsoku/>
        <w:wordWrap/>
        <w:overflowPunct/>
        <w:topLinePunct w:val="0"/>
        <w:autoSpaceDE/>
        <w:autoSpaceDN/>
        <w:bidi w:val="0"/>
        <w:adjustRightInd/>
        <w:snapToGrid/>
        <w:ind w:firstLine="1200" w:firstLineChars="500"/>
        <w:jc w:val="both"/>
        <w:textAlignment w:val="auto"/>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L</w:t>
      </w:r>
      <w:r>
        <w:rPr>
          <w:rFonts w:hint="default" w:ascii="Times New Roman" w:hAnsi="Times New Roman" w:eastAsia="宋体" w:cs="Times New Roman"/>
          <w:color w:val="000000" w:themeColor="text1"/>
          <w:kern w:val="0"/>
          <w:sz w:val="16"/>
          <w:szCs w:val="16"/>
          <w:highlight w:val="none"/>
          <w:lang w:val="en-US" w:eastAsia="zh-CN" w:bidi="ar"/>
        </w:rPr>
        <w:t>Aeqs</w:t>
      </w:r>
      <w:r>
        <w:rPr>
          <w:rFonts w:hint="default" w:ascii="Times New Roman" w:hAnsi="Times New Roman" w:eastAsia="宋体" w:cs="Times New Roman"/>
          <w:color w:val="000000" w:themeColor="text1"/>
          <w:kern w:val="0"/>
          <w:sz w:val="24"/>
          <w:szCs w:val="24"/>
          <w:highlight w:val="none"/>
          <w:lang w:val="en-US" w:eastAsia="zh-CN" w:bidi="ar"/>
        </w:rPr>
        <w:t>—小型车的噪声贡献值，dB(A)。</w:t>
      </w:r>
    </w:p>
    <w:p w14:paraId="7854F39B">
      <w:pPr>
        <w:pStyle w:val="92"/>
        <w:pageBreakBefore w:val="0"/>
        <w:wordWrap/>
        <w:topLinePunct w:val="0"/>
        <w:bidi w:val="0"/>
        <w:spacing w:line="360" w:lineRule="auto"/>
        <w:rPr>
          <w:rFonts w:hint="default" w:ascii="Times New Roman" w:hAnsi="Times New Roman" w:cs="Times New Roman"/>
          <w:snapToGrid w:val="0"/>
          <w:color w:val="000000" w:themeColor="text1"/>
          <w:highlight w:val="none"/>
          <w:lang w:val="en-US" w:eastAsia="zh-CN"/>
        </w:rPr>
      </w:pPr>
      <w:r>
        <w:rPr>
          <w:rFonts w:hint="default" w:ascii="Times New Roman" w:hAnsi="Times New Roman" w:cs="Times New Roman"/>
          <w:snapToGrid w:val="0"/>
          <w:color w:val="000000" w:themeColor="text1"/>
          <w:highlight w:val="none"/>
          <w:lang w:val="en-US" w:eastAsia="zh-CN"/>
        </w:rPr>
        <w:t>③噪声预测值</w:t>
      </w:r>
    </w:p>
    <w:p w14:paraId="2CE9FD41">
      <w:pPr>
        <w:widowControl/>
        <w:spacing w:line="360" w:lineRule="auto"/>
        <w:ind w:firstLine="480" w:firstLineChars="200"/>
        <w:jc w:val="center"/>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drawing>
          <wp:inline distT="0" distB="0" distL="114300" distR="114300">
            <wp:extent cx="2242820" cy="309245"/>
            <wp:effectExtent l="0" t="0" r="12700" b="0"/>
            <wp:docPr id="4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2"/>
                    <pic:cNvPicPr>
                      <a:picLocks noChangeAspect="1"/>
                    </pic:cNvPicPr>
                  </pic:nvPicPr>
                  <pic:blipFill>
                    <a:blip r:embed="rId63"/>
                    <a:stretch>
                      <a:fillRect/>
                    </a:stretch>
                  </pic:blipFill>
                  <pic:spPr>
                    <a:xfrm>
                      <a:off x="0" y="0"/>
                      <a:ext cx="2242820" cy="309245"/>
                    </a:xfrm>
                    <a:prstGeom prst="rect">
                      <a:avLst/>
                    </a:prstGeom>
                    <a:noFill/>
                    <a:ln>
                      <a:noFill/>
                    </a:ln>
                  </pic:spPr>
                </pic:pic>
              </a:graphicData>
            </a:graphic>
          </wp:inline>
        </w:drawing>
      </w:r>
    </w:p>
    <w:p w14:paraId="04AF7E4B">
      <w:pPr>
        <w:keepNext w:val="0"/>
        <w:keepLines w:val="0"/>
        <w:widowControl/>
        <w:suppressLineNumbers w:val="0"/>
        <w:jc w:val="left"/>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式中：L</w:t>
      </w:r>
      <w:r>
        <w:rPr>
          <w:rFonts w:hint="default" w:ascii="Times New Roman" w:hAnsi="Times New Roman" w:eastAsia="宋体" w:cs="Times New Roman"/>
          <w:color w:val="000000" w:themeColor="text1"/>
          <w:kern w:val="0"/>
          <w:sz w:val="24"/>
          <w:szCs w:val="24"/>
          <w:highlight w:val="none"/>
          <w:vertAlign w:val="subscript"/>
          <w:lang w:val="en-US" w:eastAsia="zh-CN" w:bidi="ar"/>
        </w:rPr>
        <w:t>Aeq</w:t>
      </w:r>
      <w:r>
        <w:rPr>
          <w:rFonts w:hint="default" w:ascii="Times New Roman" w:hAnsi="Times New Roman" w:eastAsia="宋体" w:cs="Times New Roman"/>
          <w:color w:val="000000" w:themeColor="text1"/>
          <w:kern w:val="0"/>
          <w:sz w:val="24"/>
          <w:szCs w:val="24"/>
          <w:highlight w:val="none"/>
          <w:lang w:val="en-US" w:eastAsia="zh-CN" w:bidi="ar"/>
        </w:rPr>
        <w:t>—预测点的噪声预测值，dB(A)；</w:t>
      </w:r>
    </w:p>
    <w:p w14:paraId="40EFB048">
      <w:pPr>
        <w:keepNext w:val="0"/>
        <w:keepLines w:val="0"/>
        <w:pageBreakBefore w:val="0"/>
        <w:widowControl/>
        <w:suppressLineNumbers w:val="0"/>
        <w:kinsoku/>
        <w:wordWrap/>
        <w:overflowPunct/>
        <w:topLinePunct w:val="0"/>
        <w:autoSpaceDE/>
        <w:autoSpaceDN/>
        <w:bidi w:val="0"/>
        <w:adjustRightInd/>
        <w:snapToGrid/>
        <w:ind w:firstLine="1200" w:firstLineChars="500"/>
        <w:jc w:val="left"/>
        <w:textAlignment w:val="auto"/>
        <w:rPr>
          <w:rFonts w:hint="default" w:ascii="Times New Roman" w:hAnsi="Times New Roman" w:cs="Times New Roman"/>
          <w:color w:val="000000" w:themeColor="text1"/>
          <w:highlight w:val="none"/>
        </w:rPr>
      </w:pPr>
      <w:r>
        <w:rPr>
          <w:rFonts w:hint="default" w:ascii="Times New Roman" w:hAnsi="Times New Roman" w:eastAsia="宋体" w:cs="Times New Roman"/>
          <w:color w:val="000000" w:themeColor="text1"/>
          <w:kern w:val="0"/>
          <w:sz w:val="24"/>
          <w:szCs w:val="24"/>
          <w:highlight w:val="none"/>
          <w:lang w:val="en-US" w:eastAsia="zh-CN" w:bidi="ar"/>
        </w:rPr>
        <w:t>L</w:t>
      </w:r>
      <w:r>
        <w:rPr>
          <w:rFonts w:hint="default" w:ascii="Times New Roman" w:hAnsi="Times New Roman" w:eastAsia="宋体" w:cs="Times New Roman"/>
          <w:color w:val="000000" w:themeColor="text1"/>
          <w:kern w:val="0"/>
          <w:sz w:val="24"/>
          <w:szCs w:val="24"/>
          <w:highlight w:val="none"/>
          <w:vertAlign w:val="subscript"/>
          <w:lang w:val="en-US" w:eastAsia="zh-CN" w:bidi="ar"/>
        </w:rPr>
        <w:t>Aeqg</w:t>
      </w:r>
      <w:r>
        <w:rPr>
          <w:rFonts w:hint="default" w:ascii="Times New Roman" w:hAnsi="Times New Roman" w:eastAsia="宋体" w:cs="Times New Roman"/>
          <w:color w:val="000000" w:themeColor="text1"/>
          <w:kern w:val="0"/>
          <w:sz w:val="24"/>
          <w:szCs w:val="24"/>
          <w:highlight w:val="none"/>
          <w:lang w:val="en-US" w:eastAsia="zh-CN" w:bidi="ar"/>
        </w:rPr>
        <w:t>—预测点的噪声贡献值，dB(A)；</w:t>
      </w:r>
    </w:p>
    <w:p w14:paraId="6B850F5A">
      <w:pPr>
        <w:keepNext w:val="0"/>
        <w:keepLines w:val="0"/>
        <w:widowControl/>
        <w:suppressLineNumbers w:val="0"/>
        <w:ind w:firstLine="1200" w:firstLineChars="500"/>
        <w:jc w:val="left"/>
        <w:rPr>
          <w:rFonts w:hint="default" w:ascii="Times New Roman" w:hAnsi="Times New Roman" w:eastAsia="宋体" w:cs="Times New Roman"/>
          <w:color w:val="000000" w:themeColor="text1"/>
          <w:kern w:val="0"/>
          <w:sz w:val="24"/>
          <w:szCs w:val="24"/>
          <w:highlight w:val="none"/>
          <w:lang w:val="en-US" w:eastAsia="zh-CN" w:bidi="ar"/>
        </w:rPr>
      </w:pPr>
      <w:r>
        <w:rPr>
          <w:rFonts w:hint="default" w:ascii="Times New Roman" w:hAnsi="Times New Roman" w:eastAsia="宋体" w:cs="Times New Roman"/>
          <w:color w:val="000000" w:themeColor="text1"/>
          <w:kern w:val="0"/>
          <w:sz w:val="24"/>
          <w:szCs w:val="24"/>
          <w:highlight w:val="none"/>
          <w:lang w:val="en-US" w:eastAsia="zh-CN" w:bidi="ar"/>
        </w:rPr>
        <w:t>L</w:t>
      </w:r>
      <w:r>
        <w:rPr>
          <w:rFonts w:hint="default" w:ascii="Times New Roman" w:hAnsi="Times New Roman" w:eastAsia="宋体" w:cs="Times New Roman"/>
          <w:color w:val="000000" w:themeColor="text1"/>
          <w:kern w:val="0"/>
          <w:sz w:val="24"/>
          <w:szCs w:val="24"/>
          <w:highlight w:val="none"/>
          <w:vertAlign w:val="subscript"/>
          <w:lang w:val="en-US" w:eastAsia="zh-CN" w:bidi="ar"/>
        </w:rPr>
        <w:t>Aeqb</w:t>
      </w:r>
      <w:r>
        <w:rPr>
          <w:rFonts w:hint="default" w:ascii="Times New Roman" w:hAnsi="Times New Roman" w:eastAsia="宋体" w:cs="Times New Roman"/>
          <w:color w:val="000000" w:themeColor="text1"/>
          <w:kern w:val="0"/>
          <w:sz w:val="24"/>
          <w:szCs w:val="24"/>
          <w:highlight w:val="none"/>
          <w:lang w:val="en-US" w:eastAsia="zh-CN" w:bidi="ar"/>
        </w:rPr>
        <w:t>—预测点的背景噪声值，dB(A)。</w:t>
      </w:r>
    </w:p>
    <w:p w14:paraId="58B5EB3D">
      <w:pPr>
        <w:keepNext w:val="0"/>
        <w:keepLines w:val="0"/>
        <w:widowControl/>
        <w:suppressLineNumbers w:val="0"/>
        <w:jc w:val="left"/>
        <w:rPr>
          <w:rFonts w:hint="default" w:ascii="Times New Roman" w:hAnsi="Times New Roman" w:eastAsia="宋体" w:cs="Times New Roman"/>
          <w:color w:val="000000" w:themeColor="text1"/>
          <w:kern w:val="0"/>
          <w:sz w:val="24"/>
          <w:szCs w:val="24"/>
          <w:highlight w:val="none"/>
          <w:lang w:val="en-US" w:eastAsia="zh-CN" w:bidi="ar"/>
        </w:rPr>
      </w:pPr>
      <w:r>
        <w:rPr>
          <w:rFonts w:hint="default" w:ascii="Times New Roman" w:hAnsi="Times New Roman" w:eastAsia="宋体" w:cs="Times New Roman"/>
          <w:color w:val="000000" w:themeColor="text1"/>
          <w:kern w:val="0"/>
          <w:sz w:val="24"/>
          <w:szCs w:val="24"/>
          <w:highlight w:val="none"/>
          <w:lang w:val="en-US" w:eastAsia="zh-CN" w:bidi="ar"/>
        </w:rPr>
        <w:t>④公路交通噪声预测模型参数选择</w:t>
      </w:r>
    </w:p>
    <w:p w14:paraId="20D240C0">
      <w:pPr>
        <w:keepNext w:val="0"/>
        <w:keepLines w:val="0"/>
        <w:widowControl/>
        <w:suppressLineNumbers w:val="0"/>
        <w:jc w:val="left"/>
        <w:rPr>
          <w:rFonts w:hint="default" w:ascii="Times New Roman" w:hAnsi="Times New Roman" w:eastAsia="宋体" w:cs="Times New Roman"/>
          <w:color w:val="000000" w:themeColor="text1"/>
          <w:kern w:val="0"/>
          <w:sz w:val="24"/>
          <w:szCs w:val="24"/>
          <w:highlight w:val="none"/>
          <w:lang w:val="en-US" w:eastAsia="zh-CN" w:bidi="ar"/>
        </w:rPr>
      </w:pPr>
      <w:r>
        <w:rPr>
          <w:rFonts w:hint="eastAsia" w:cs="Times New Roman"/>
          <w:color w:val="000000" w:themeColor="text1"/>
          <w:kern w:val="0"/>
          <w:sz w:val="24"/>
          <w:szCs w:val="24"/>
          <w:highlight w:val="none"/>
          <w:lang w:val="en-US" w:eastAsia="zh-CN" w:bidi="ar"/>
        </w:rPr>
        <w:t xml:space="preserve">a </w:t>
      </w:r>
      <w:r>
        <w:rPr>
          <w:rFonts w:hint="default" w:ascii="Times New Roman" w:hAnsi="Times New Roman" w:eastAsia="宋体" w:cs="Times New Roman"/>
          <w:color w:val="000000" w:themeColor="text1"/>
          <w:kern w:val="0"/>
          <w:sz w:val="24"/>
          <w:szCs w:val="24"/>
          <w:highlight w:val="none"/>
          <w:lang w:val="en-US" w:eastAsia="zh-CN" w:bidi="ar"/>
        </w:rPr>
        <w:t>预测点到有限长路段两端的张角(θ)</w:t>
      </w:r>
    </w:p>
    <w:p w14:paraId="6E4F6A89">
      <w:pPr>
        <w:keepNext w:val="0"/>
        <w:keepLines w:val="0"/>
        <w:widowControl/>
        <w:suppressLineNumbers w:val="0"/>
        <w:jc w:val="left"/>
        <w:rPr>
          <w:rFonts w:hint="default" w:ascii="Times New Roman" w:hAnsi="Times New Roman" w:eastAsia="宋体" w:cs="Times New Roman"/>
          <w:color w:val="000000" w:themeColor="text1"/>
          <w:kern w:val="0"/>
          <w:sz w:val="24"/>
          <w:szCs w:val="24"/>
          <w:highlight w:val="none"/>
          <w:lang w:val="en-US" w:eastAsia="zh-CN" w:bidi="ar"/>
        </w:rPr>
      </w:pPr>
      <w:r>
        <w:rPr>
          <w:rFonts w:hint="default" w:ascii="Times New Roman" w:hAnsi="Times New Roman" w:eastAsia="宋体" w:cs="Times New Roman"/>
          <w:color w:val="000000" w:themeColor="text1"/>
          <w:kern w:val="0"/>
          <w:sz w:val="24"/>
          <w:szCs w:val="24"/>
          <w:highlight w:val="none"/>
          <w:lang w:val="en-US" w:eastAsia="zh-CN" w:bidi="ar"/>
        </w:rPr>
        <w:t>预测点到有限长路段两端的张角可参考下图：</w:t>
      </w:r>
    </w:p>
    <w:p w14:paraId="20F4B3A2">
      <w:pPr>
        <w:widowControl/>
        <w:spacing w:line="360" w:lineRule="auto"/>
        <w:ind w:left="0" w:leftChars="0" w:firstLine="0" w:firstLineChars="0"/>
        <w:jc w:val="both"/>
        <w:rPr>
          <w:rFonts w:hint="default" w:ascii="Times New Roman" w:hAnsi="Times New Roman" w:cs="Times New Roman"/>
          <w:color w:val="000000" w:themeColor="text1"/>
          <w:highlight w:val="none"/>
        </w:rPr>
      </w:pPr>
      <w:r>
        <w:rPr>
          <w:rFonts w:hint="default" w:ascii="Times New Roman" w:hAnsi="Times New Roman" w:cs="Times New Roman"/>
          <w:color w:val="000000" w:themeColor="text1"/>
          <w:highlight w:val="none"/>
        </w:rPr>
        <w:drawing>
          <wp:inline distT="0" distB="0" distL="114300" distR="114300">
            <wp:extent cx="5153660" cy="1185545"/>
            <wp:effectExtent l="0" t="0" r="8890" b="14605"/>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64"/>
                    <a:stretch>
                      <a:fillRect/>
                    </a:stretch>
                  </pic:blipFill>
                  <pic:spPr>
                    <a:xfrm>
                      <a:off x="0" y="0"/>
                      <a:ext cx="5153660" cy="1185545"/>
                    </a:xfrm>
                    <a:prstGeom prst="rect">
                      <a:avLst/>
                    </a:prstGeom>
                    <a:noFill/>
                    <a:ln>
                      <a:noFill/>
                    </a:ln>
                  </pic:spPr>
                </pic:pic>
              </a:graphicData>
            </a:graphic>
          </wp:inline>
        </w:drawing>
      </w:r>
    </w:p>
    <w:p w14:paraId="39F43A3F">
      <w:pPr>
        <w:pageBreakBefore w:val="0"/>
        <w:wordWrap/>
        <w:topLinePunct w:val="0"/>
        <w:bidi w:val="0"/>
        <w:spacing w:line="360" w:lineRule="auto"/>
        <w:ind w:firstLine="482"/>
        <w:jc w:val="center"/>
        <w:rPr>
          <w:rFonts w:hint="default"/>
          <w:b/>
          <w:color w:val="000000" w:themeColor="text1"/>
          <w:highlight w:val="none"/>
        </w:rPr>
      </w:pPr>
      <w:r>
        <w:rPr>
          <w:rFonts w:hint="default"/>
          <w:b/>
          <w:color w:val="000000" w:themeColor="text1"/>
          <w:highlight w:val="none"/>
          <w:lang w:val="en-US" w:eastAsia="zh-CN"/>
        </w:rPr>
        <w:t>图5.2-1  预测点到有限长路段两端的张角</w:t>
      </w:r>
    </w:p>
    <w:p w14:paraId="57F985F9">
      <w:pPr>
        <w:pStyle w:val="92"/>
        <w:pageBreakBefore w:val="0"/>
        <w:wordWrap/>
        <w:topLinePunct w:val="0"/>
        <w:bidi w:val="0"/>
        <w:spacing w:line="360" w:lineRule="auto"/>
        <w:rPr>
          <w:rFonts w:hint="eastAsia"/>
          <w:snapToGrid w:val="0"/>
          <w:color w:val="000000" w:themeColor="text1"/>
          <w:highlight w:val="none"/>
          <w:lang w:val="en-US" w:eastAsia="zh-CN"/>
        </w:rPr>
      </w:pPr>
      <w:r>
        <w:rPr>
          <w:rFonts w:hint="default" w:ascii="Times New Roman" w:hAnsi="Times New Roman" w:cs="Times New Roman"/>
          <w:color w:val="000000" w:themeColor="text1"/>
          <w:kern w:val="0"/>
          <w:sz w:val="24"/>
          <w:highlight w:val="none"/>
          <w:lang w:val="en-US" w:eastAsia="zh-CN"/>
        </w:rPr>
        <w:t>当路段与噪声接受点之间水平方向无任何遮挡时，θ</w:t>
      </w:r>
      <w:r>
        <w:rPr>
          <w:rFonts w:hint="eastAsia"/>
          <w:color w:val="000000" w:themeColor="text1"/>
          <w:kern w:val="0"/>
          <w:sz w:val="24"/>
          <w:highlight w:val="none"/>
          <w:lang w:val="en-US" w:eastAsia="zh-CN"/>
        </w:rPr>
        <w:t>可取</w:t>
      </w:r>
      <w:r>
        <w:rPr>
          <w:rFonts w:hint="default"/>
          <w:color w:val="000000" w:themeColor="text1"/>
          <w:kern w:val="0"/>
          <w:sz w:val="24"/>
          <w:highlight w:val="none"/>
          <w:lang w:val="en-US" w:eastAsia="zh-CN"/>
        </w:rPr>
        <w:t>170π/180</w:t>
      </w:r>
      <w:r>
        <w:rPr>
          <w:rFonts w:hint="eastAsia"/>
          <w:color w:val="000000" w:themeColor="text1"/>
          <w:kern w:val="0"/>
          <w:sz w:val="24"/>
          <w:highlight w:val="none"/>
          <w:lang w:val="en-US" w:eastAsia="zh-CN"/>
        </w:rPr>
        <w:t>；当路段与噪声接受点之间水平方向有遮挡时，</w:t>
      </w:r>
      <w:r>
        <w:rPr>
          <w:rFonts w:hint="default"/>
          <w:color w:val="000000" w:themeColor="text1"/>
          <w:kern w:val="0"/>
          <w:sz w:val="24"/>
          <w:highlight w:val="none"/>
          <w:lang w:val="en-US" w:eastAsia="zh-CN"/>
        </w:rPr>
        <w:t>θ</w:t>
      </w:r>
      <w:r>
        <w:rPr>
          <w:rFonts w:hint="eastAsia"/>
          <w:color w:val="000000" w:themeColor="text1"/>
          <w:kern w:val="0"/>
          <w:sz w:val="24"/>
          <w:highlight w:val="none"/>
          <w:lang w:val="en-US" w:eastAsia="zh-CN"/>
        </w:rPr>
        <w:t>为预测点与两侧遮挡点连线组成的夹角。</w:t>
      </w:r>
    </w:p>
    <w:p w14:paraId="7D7FE218">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b 公路</w:t>
      </w:r>
      <w:r>
        <w:rPr>
          <w:rFonts w:hint="default" w:ascii="Times New Roman" w:hAnsi="Times New Roman" w:eastAsia="宋体" w:cs="Times New Roman"/>
          <w:color w:val="000000" w:themeColor="text1"/>
          <w:kern w:val="0"/>
          <w:sz w:val="24"/>
          <w:szCs w:val="24"/>
          <w:highlight w:val="none"/>
          <w:lang w:val="en-US" w:eastAsia="zh-CN" w:bidi="ar-SA"/>
        </w:rPr>
        <w:t>纵坡</w:t>
      </w:r>
      <w:r>
        <w:rPr>
          <w:rFonts w:hint="eastAsia" w:ascii="Times New Roman" w:hAnsi="Times New Roman" w:eastAsia="宋体" w:cs="Times New Roman"/>
          <w:color w:val="000000" w:themeColor="text1"/>
          <w:kern w:val="0"/>
          <w:sz w:val="24"/>
          <w:szCs w:val="24"/>
          <w:highlight w:val="none"/>
          <w:lang w:val="en-US" w:eastAsia="zh-CN" w:bidi="ar-SA"/>
        </w:rPr>
        <w:t>引起的</w:t>
      </w:r>
      <w:r>
        <w:rPr>
          <w:rFonts w:hint="default" w:ascii="Times New Roman" w:hAnsi="Times New Roman" w:eastAsia="宋体" w:cs="Times New Roman"/>
          <w:color w:val="000000" w:themeColor="text1"/>
          <w:kern w:val="0"/>
          <w:sz w:val="24"/>
          <w:szCs w:val="24"/>
          <w:highlight w:val="none"/>
          <w:lang w:val="en-US" w:eastAsia="zh-CN" w:bidi="ar-SA"/>
        </w:rPr>
        <w:t>修正量（△L坡度）：</w:t>
      </w:r>
    </w:p>
    <w:p w14:paraId="738C5C93">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公路纵坡修</w:t>
      </w:r>
      <w:r>
        <w:rPr>
          <w:rFonts w:hint="eastAsia" w:ascii="Times New Roman" w:hAnsi="Times New Roman" w:eastAsia="宋体" w:cs="Times New Roman"/>
          <w:color w:val="000000" w:themeColor="text1"/>
          <w:kern w:val="0"/>
          <w:sz w:val="24"/>
          <w:szCs w:val="24"/>
          <w:highlight w:val="none"/>
          <w:lang w:val="en-US" w:eastAsia="zh-CN" w:bidi="ar-SA"/>
        </w:rPr>
        <w:t>正</w:t>
      </w:r>
      <w:r>
        <w:rPr>
          <w:rFonts w:hint="default" w:ascii="Times New Roman" w:hAnsi="Times New Roman" w:eastAsia="宋体" w:cs="Times New Roman"/>
          <w:color w:val="000000" w:themeColor="text1"/>
          <w:kern w:val="0"/>
          <w:sz w:val="24"/>
          <w:szCs w:val="24"/>
          <w:highlight w:val="none"/>
          <w:lang w:val="en-US" w:eastAsia="zh-CN" w:bidi="ar-SA"/>
        </w:rPr>
        <w:t>量△L坡度可按下式计算：</w:t>
      </w:r>
    </w:p>
    <w:p w14:paraId="14AB2CD6">
      <w:pPr>
        <w:widowControl/>
        <w:spacing w:line="36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大型车：△L纵坡=98×β</w:t>
      </w:r>
    </w:p>
    <w:p w14:paraId="0D382C26">
      <w:pPr>
        <w:widowControl/>
        <w:spacing w:line="36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中型车：△L纵坡=73×β</w:t>
      </w:r>
    </w:p>
    <w:p w14:paraId="1001F6B1">
      <w:pPr>
        <w:widowControl/>
        <w:spacing w:line="36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小型车：△L纵坡=50×β</w:t>
      </w:r>
    </w:p>
    <w:p w14:paraId="3FA85A54">
      <w:pPr>
        <w:pStyle w:val="92"/>
        <w:pageBreakBefore w:val="0"/>
        <w:wordWrap/>
        <w:topLinePunct w:val="0"/>
        <w:bidi w:val="0"/>
        <w:spacing w:line="360" w:lineRule="auto"/>
        <w:rPr>
          <w:rFonts w:hint="eastAsia"/>
          <w:color w:val="000000" w:themeColor="text1"/>
          <w:kern w:val="0"/>
          <w:sz w:val="24"/>
          <w:highlight w:val="none"/>
          <w:lang w:val="en-US" w:eastAsia="zh-CN"/>
        </w:rPr>
      </w:pPr>
      <w:r>
        <w:rPr>
          <w:rFonts w:hint="default"/>
          <w:color w:val="000000" w:themeColor="text1"/>
          <w:kern w:val="0"/>
          <w:sz w:val="24"/>
          <w:highlight w:val="none"/>
          <w:lang w:val="en-US" w:eastAsia="zh-CN"/>
        </w:rPr>
        <w:t>式中：△L纵坡—</w:t>
      </w:r>
      <w:r>
        <w:rPr>
          <w:rFonts w:hint="eastAsia"/>
          <w:color w:val="000000" w:themeColor="text1"/>
          <w:kern w:val="0"/>
          <w:sz w:val="24"/>
          <w:highlight w:val="none"/>
          <w:lang w:val="en-US" w:eastAsia="zh-CN"/>
        </w:rPr>
        <w:t>公路纵坡修正量，</w:t>
      </w:r>
      <w:r>
        <w:rPr>
          <w:rFonts w:hint="default"/>
          <w:color w:val="000000" w:themeColor="text1"/>
          <w:kern w:val="0"/>
          <w:sz w:val="24"/>
          <w:highlight w:val="none"/>
          <w:lang w:val="en-US" w:eastAsia="zh-CN"/>
        </w:rPr>
        <w:t>dB（A）</w:t>
      </w:r>
      <w:r>
        <w:rPr>
          <w:rFonts w:hint="eastAsia"/>
          <w:color w:val="000000" w:themeColor="text1"/>
          <w:kern w:val="0"/>
          <w:sz w:val="24"/>
          <w:highlight w:val="none"/>
          <w:lang w:val="en-US" w:eastAsia="zh-CN"/>
        </w:rPr>
        <w:t>；</w:t>
      </w:r>
    </w:p>
    <w:p w14:paraId="518F68DD">
      <w:pPr>
        <w:pStyle w:val="92"/>
        <w:pageBreakBefore w:val="0"/>
        <w:wordWrap/>
        <w:topLinePunct w:val="0"/>
        <w:bidi w:val="0"/>
        <w:spacing w:line="360" w:lineRule="auto"/>
        <w:ind w:firstLine="1200" w:firstLineChars="500"/>
        <w:rPr>
          <w:rFonts w:hint="default"/>
          <w:color w:val="000000" w:themeColor="text1"/>
          <w:kern w:val="0"/>
          <w:sz w:val="24"/>
          <w:highlight w:val="none"/>
          <w:lang w:val="en-US" w:eastAsia="zh-CN"/>
        </w:rPr>
      </w:pPr>
      <w:r>
        <w:rPr>
          <w:rFonts w:hint="default"/>
          <w:color w:val="000000" w:themeColor="text1"/>
          <w:kern w:val="0"/>
          <w:sz w:val="24"/>
          <w:highlight w:val="none"/>
          <w:lang w:val="en-US" w:eastAsia="zh-CN"/>
        </w:rPr>
        <w:t>β—公路纵坡坡度，%。</w:t>
      </w:r>
    </w:p>
    <w:p w14:paraId="36BBFB21">
      <w:pPr>
        <w:pStyle w:val="92"/>
        <w:pageBreakBefore w:val="0"/>
        <w:wordWrap/>
        <w:topLinePunct w:val="0"/>
        <w:bidi w:val="0"/>
        <w:spacing w:line="360" w:lineRule="auto"/>
        <w:rPr>
          <w:rFonts w:hint="eastAsia"/>
          <w:color w:val="000000" w:themeColor="text1"/>
          <w:kern w:val="0"/>
          <w:sz w:val="24"/>
          <w:highlight w:val="none"/>
          <w:lang w:val="en-US" w:eastAsia="zh-CN"/>
        </w:rPr>
      </w:pPr>
      <w:r>
        <w:rPr>
          <w:rFonts w:hint="eastAsia"/>
          <w:color w:val="000000" w:themeColor="text1"/>
          <w:kern w:val="0"/>
          <w:sz w:val="24"/>
          <w:highlight w:val="none"/>
          <w:lang w:val="en-US" w:eastAsia="zh-CN"/>
        </w:rPr>
        <w:t>c 公路路面类型引起的修正量（△L路面）</w:t>
      </w:r>
    </w:p>
    <w:p w14:paraId="4374A3AF">
      <w:pPr>
        <w:pStyle w:val="92"/>
        <w:pageBreakBefore w:val="0"/>
        <w:wordWrap/>
        <w:topLinePunct w:val="0"/>
        <w:bidi w:val="0"/>
        <w:spacing w:line="360" w:lineRule="auto"/>
        <w:rPr>
          <w:rFonts w:hint="eastAsia"/>
          <w:color w:val="000000" w:themeColor="text1"/>
          <w:kern w:val="0"/>
          <w:sz w:val="24"/>
          <w:highlight w:val="none"/>
          <w:lang w:val="en-US" w:eastAsia="zh-CN"/>
        </w:rPr>
      </w:pPr>
      <w:r>
        <w:rPr>
          <w:rFonts w:hint="eastAsia"/>
          <w:color w:val="000000" w:themeColor="text1"/>
          <w:kern w:val="0"/>
          <w:sz w:val="24"/>
          <w:highlight w:val="none"/>
          <w:lang w:val="en-US" w:eastAsia="zh-CN"/>
        </w:rPr>
        <w:t>不同道路路面引起的交通噪声修正值△L路面，按表5.2-3取值。</w:t>
      </w:r>
    </w:p>
    <w:p w14:paraId="3A11185A">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表5.</w:t>
      </w:r>
      <w:r>
        <w:rPr>
          <w:rFonts w:hint="eastAsia"/>
          <w:b/>
          <w:color w:val="000000" w:themeColor="text1"/>
          <w:highlight w:val="none"/>
        </w:rPr>
        <w:t>2</w:t>
      </w:r>
      <w:r>
        <w:rPr>
          <w:b/>
          <w:color w:val="000000" w:themeColor="text1"/>
          <w:highlight w:val="none"/>
        </w:rPr>
        <w:t>-</w:t>
      </w:r>
      <w:r>
        <w:rPr>
          <w:rFonts w:hint="eastAsia"/>
          <w:b/>
          <w:color w:val="000000" w:themeColor="text1"/>
          <w:highlight w:val="none"/>
          <w:lang w:val="en-US" w:eastAsia="zh-CN"/>
        </w:rPr>
        <w:t>3</w:t>
      </w:r>
      <w:r>
        <w:rPr>
          <w:b/>
          <w:color w:val="000000" w:themeColor="text1"/>
          <w:highlight w:val="none"/>
        </w:rPr>
        <w:t xml:space="preserve">  常见路面噪声修正量</w:t>
      </w:r>
    </w:p>
    <w:tbl>
      <w:tblPr>
        <w:tblStyle w:val="3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138"/>
        <w:gridCol w:w="1983"/>
        <w:gridCol w:w="2124"/>
        <w:gridCol w:w="2091"/>
      </w:tblGrid>
      <w:tr w14:paraId="4CCE74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138" w:type="dxa"/>
            <w:vMerge w:val="restart"/>
            <w:tcMar>
              <w:top w:w="15" w:type="dxa"/>
              <w:left w:w="15" w:type="dxa"/>
              <w:bottom w:w="0" w:type="dxa"/>
              <w:right w:w="15" w:type="dxa"/>
            </w:tcMar>
            <w:vAlign w:val="center"/>
          </w:tcPr>
          <w:p w14:paraId="4545429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路面类型</w:t>
            </w:r>
          </w:p>
        </w:tc>
        <w:tc>
          <w:tcPr>
            <w:tcW w:w="6198" w:type="dxa"/>
            <w:gridSpan w:val="3"/>
            <w:tcMar>
              <w:top w:w="15" w:type="dxa"/>
              <w:left w:w="15" w:type="dxa"/>
              <w:bottom w:w="0" w:type="dxa"/>
              <w:right w:w="15" w:type="dxa"/>
            </w:tcMar>
            <w:vAlign w:val="center"/>
          </w:tcPr>
          <w:p w14:paraId="552CCCEB">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不同行驶速度修正量 km/h</w:t>
            </w:r>
          </w:p>
        </w:tc>
      </w:tr>
      <w:tr w14:paraId="296C88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138" w:type="dxa"/>
            <w:vMerge w:val="continue"/>
            <w:tcMar>
              <w:top w:w="15" w:type="dxa"/>
              <w:left w:w="15" w:type="dxa"/>
              <w:bottom w:w="0" w:type="dxa"/>
              <w:right w:w="15" w:type="dxa"/>
            </w:tcMar>
            <w:vAlign w:val="center"/>
          </w:tcPr>
          <w:p w14:paraId="62ADAD80">
            <w:pPr>
              <w:pageBreakBefore w:val="0"/>
              <w:wordWrap/>
              <w:topLinePunct w:val="0"/>
              <w:bidi w:val="0"/>
              <w:spacing w:line="240" w:lineRule="auto"/>
              <w:ind w:firstLine="0" w:firstLineChars="0"/>
              <w:jc w:val="center"/>
              <w:rPr>
                <w:color w:val="000000" w:themeColor="text1"/>
                <w:sz w:val="21"/>
                <w:szCs w:val="21"/>
                <w:highlight w:val="none"/>
              </w:rPr>
            </w:pPr>
          </w:p>
        </w:tc>
        <w:tc>
          <w:tcPr>
            <w:tcW w:w="1983" w:type="dxa"/>
            <w:tcMar>
              <w:top w:w="15" w:type="dxa"/>
              <w:left w:w="15" w:type="dxa"/>
              <w:bottom w:w="0" w:type="dxa"/>
              <w:right w:w="15" w:type="dxa"/>
            </w:tcMar>
            <w:vAlign w:val="center"/>
          </w:tcPr>
          <w:p w14:paraId="773E42A9">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30</w:t>
            </w:r>
          </w:p>
        </w:tc>
        <w:tc>
          <w:tcPr>
            <w:tcW w:w="2124" w:type="dxa"/>
            <w:tcMar>
              <w:top w:w="15" w:type="dxa"/>
              <w:left w:w="15" w:type="dxa"/>
              <w:bottom w:w="0" w:type="dxa"/>
              <w:right w:w="15" w:type="dxa"/>
            </w:tcMar>
            <w:vAlign w:val="center"/>
          </w:tcPr>
          <w:p w14:paraId="7DF20D6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40</w:t>
            </w:r>
          </w:p>
        </w:tc>
        <w:tc>
          <w:tcPr>
            <w:tcW w:w="2091" w:type="dxa"/>
            <w:vAlign w:val="center"/>
          </w:tcPr>
          <w:p w14:paraId="74C9F37A">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≥50</w:t>
            </w:r>
          </w:p>
        </w:tc>
      </w:tr>
      <w:tr w14:paraId="5B5439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138" w:type="dxa"/>
            <w:tcMar>
              <w:top w:w="15" w:type="dxa"/>
              <w:left w:w="15" w:type="dxa"/>
              <w:bottom w:w="0" w:type="dxa"/>
              <w:right w:w="15" w:type="dxa"/>
            </w:tcMar>
            <w:vAlign w:val="center"/>
          </w:tcPr>
          <w:p w14:paraId="59C11BE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沥青混凝土</w:t>
            </w:r>
          </w:p>
        </w:tc>
        <w:tc>
          <w:tcPr>
            <w:tcW w:w="1983" w:type="dxa"/>
            <w:tcMar>
              <w:top w:w="15" w:type="dxa"/>
              <w:left w:w="15" w:type="dxa"/>
              <w:bottom w:w="0" w:type="dxa"/>
              <w:right w:w="15" w:type="dxa"/>
            </w:tcMar>
            <w:vAlign w:val="center"/>
          </w:tcPr>
          <w:p w14:paraId="221E0B8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w:t>
            </w:r>
          </w:p>
        </w:tc>
        <w:tc>
          <w:tcPr>
            <w:tcW w:w="2124" w:type="dxa"/>
            <w:tcMar>
              <w:top w:w="15" w:type="dxa"/>
              <w:left w:w="15" w:type="dxa"/>
              <w:bottom w:w="0" w:type="dxa"/>
              <w:right w:w="15" w:type="dxa"/>
            </w:tcMar>
            <w:vAlign w:val="center"/>
          </w:tcPr>
          <w:p w14:paraId="23F2FEA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w:t>
            </w:r>
          </w:p>
        </w:tc>
        <w:tc>
          <w:tcPr>
            <w:tcW w:w="2091" w:type="dxa"/>
            <w:vAlign w:val="center"/>
          </w:tcPr>
          <w:p w14:paraId="439F2FC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0</w:t>
            </w:r>
          </w:p>
        </w:tc>
      </w:tr>
      <w:tr w14:paraId="3B28E1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138" w:type="dxa"/>
            <w:tcMar>
              <w:top w:w="15" w:type="dxa"/>
              <w:left w:w="15" w:type="dxa"/>
              <w:bottom w:w="0" w:type="dxa"/>
              <w:right w:w="15" w:type="dxa"/>
            </w:tcMar>
            <w:vAlign w:val="center"/>
          </w:tcPr>
          <w:p w14:paraId="0367D9FC">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水泥混凝土</w:t>
            </w:r>
          </w:p>
        </w:tc>
        <w:tc>
          <w:tcPr>
            <w:tcW w:w="1983" w:type="dxa"/>
            <w:tcMar>
              <w:top w:w="15" w:type="dxa"/>
              <w:left w:w="15" w:type="dxa"/>
              <w:bottom w:w="0" w:type="dxa"/>
              <w:right w:w="15" w:type="dxa"/>
            </w:tcMar>
            <w:vAlign w:val="center"/>
          </w:tcPr>
          <w:p w14:paraId="4BF4A207">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1.0</w:t>
            </w:r>
          </w:p>
        </w:tc>
        <w:tc>
          <w:tcPr>
            <w:tcW w:w="2124" w:type="dxa"/>
            <w:tcMar>
              <w:top w:w="15" w:type="dxa"/>
              <w:left w:w="15" w:type="dxa"/>
              <w:bottom w:w="0" w:type="dxa"/>
              <w:right w:w="15" w:type="dxa"/>
            </w:tcMar>
            <w:vAlign w:val="center"/>
          </w:tcPr>
          <w:p w14:paraId="5718DF3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1.5</w:t>
            </w:r>
          </w:p>
        </w:tc>
        <w:tc>
          <w:tcPr>
            <w:tcW w:w="2091" w:type="dxa"/>
            <w:vAlign w:val="center"/>
          </w:tcPr>
          <w:p w14:paraId="267763E4">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2.0</w:t>
            </w:r>
          </w:p>
        </w:tc>
      </w:tr>
    </w:tbl>
    <w:p w14:paraId="64AEEBB7">
      <w:pPr>
        <w:pStyle w:val="123"/>
        <w:pageBreakBefore w:val="0"/>
        <w:wordWrap/>
        <w:topLinePunct w:val="0"/>
        <w:bidi w:val="0"/>
        <w:spacing w:line="360" w:lineRule="auto"/>
        <w:ind w:firstLine="0" w:firstLineChars="0"/>
        <w:rPr>
          <w:rFonts w:hint="default" w:ascii="Times New Roman" w:hAnsi="Times New Roman" w:eastAsia="宋体" w:cs="Times New Roman"/>
          <w:b/>
          <w:bCs/>
          <w:color w:val="000000" w:themeColor="text1"/>
          <w:sz w:val="21"/>
          <w:szCs w:val="21"/>
          <w:highlight w:val="none"/>
        </w:rPr>
      </w:pPr>
      <w:r>
        <w:rPr>
          <w:rFonts w:hint="default" w:ascii="Times New Roman" w:hAnsi="Times New Roman" w:eastAsia="宋体" w:cs="Times New Roman"/>
          <w:b/>
          <w:bCs/>
          <w:color w:val="000000" w:themeColor="text1"/>
          <w:sz w:val="21"/>
          <w:szCs w:val="21"/>
          <w:highlight w:val="none"/>
        </w:rPr>
        <w:t>注：本项目为沥青混凝土路面，修正量为0。</w:t>
      </w:r>
    </w:p>
    <w:p w14:paraId="0280E53D">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d 大气吸收引起的衰减（Aatm）</w:t>
      </w:r>
    </w:p>
    <w:p w14:paraId="5E82493C">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大气吸收引起的衰减按下式计算：</w:t>
      </w:r>
    </w:p>
    <w:p w14:paraId="597D7B84">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fldChar w:fldCharType="begin"/>
      </w:r>
      <w:r>
        <w:rPr>
          <w:rFonts w:hint="eastAsia" w:ascii="Times New Roman" w:hAnsi="Times New Roman" w:eastAsia="宋体" w:cs="Times New Roman"/>
          <w:color w:val="000000" w:themeColor="text1"/>
          <w:kern w:val="0"/>
          <w:sz w:val="24"/>
          <w:szCs w:val="24"/>
          <w:highlight w:val="none"/>
          <w:lang w:val="en-US" w:eastAsia="zh-CN" w:bidi="ar-SA"/>
        </w:rPr>
        <w:instrText xml:space="preserve"> INCLUDEPICTURE "C:\\Users\\Administrator\\AppData\\Roaming\\Tencent\\Users\\807137012\\QQ\\WinTemp\\RichOle\\R9_5C_2}KDT[WLE%IK]_M[8.png" \* MERGEFORMATINET </w:instrText>
      </w:r>
      <w:r>
        <w:rPr>
          <w:rFonts w:hint="eastAsia" w:ascii="Times New Roman" w:hAnsi="Times New Roman" w:eastAsia="宋体" w:cs="Times New Roman"/>
          <w:color w:val="000000" w:themeColor="text1"/>
          <w:kern w:val="0"/>
          <w:sz w:val="24"/>
          <w:szCs w:val="24"/>
          <w:highlight w:val="none"/>
          <w:lang w:val="en-US" w:eastAsia="zh-CN" w:bidi="ar-SA"/>
        </w:rPr>
        <w:fldChar w:fldCharType="separate"/>
      </w: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1049655" cy="419100"/>
            <wp:effectExtent l="0" t="0" r="1905" b="7620"/>
            <wp:docPr id="18" name="图片 14" descr="R9_5C_2}KDT[WLE%IK]_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R9_5C_2}KDT[WLE%IK]_M[8"/>
                    <pic:cNvPicPr>
                      <a:picLocks noChangeAspect="1"/>
                    </pic:cNvPicPr>
                  </pic:nvPicPr>
                  <pic:blipFill>
                    <a:blip r:embed="rId65"/>
                    <a:stretch>
                      <a:fillRect/>
                    </a:stretch>
                  </pic:blipFill>
                  <pic:spPr>
                    <a:xfrm>
                      <a:off x="0" y="0"/>
                      <a:ext cx="1049655" cy="419100"/>
                    </a:xfrm>
                    <a:prstGeom prst="rect">
                      <a:avLst/>
                    </a:prstGeom>
                    <a:noFill/>
                    <a:ln>
                      <a:noFill/>
                    </a:ln>
                  </pic:spPr>
                </pic:pic>
              </a:graphicData>
            </a:graphic>
          </wp:inline>
        </w:drawing>
      </w:r>
      <w:r>
        <w:rPr>
          <w:rFonts w:hint="eastAsia" w:ascii="Times New Roman" w:hAnsi="Times New Roman" w:eastAsia="宋体" w:cs="Times New Roman"/>
          <w:color w:val="000000" w:themeColor="text1"/>
          <w:kern w:val="0"/>
          <w:sz w:val="24"/>
          <w:szCs w:val="24"/>
          <w:highlight w:val="none"/>
          <w:lang w:val="en-US" w:eastAsia="zh-CN" w:bidi="ar-SA"/>
        </w:rPr>
        <w:fldChar w:fldCharType="end"/>
      </w:r>
    </w:p>
    <w:p w14:paraId="343A73FD">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式中：A</w:t>
      </w:r>
      <w:r>
        <w:rPr>
          <w:rFonts w:hint="eastAsia" w:ascii="Times New Roman" w:hAnsi="Times New Roman" w:eastAsia="宋体" w:cs="Times New Roman"/>
          <w:color w:val="000000" w:themeColor="text1"/>
          <w:kern w:val="0"/>
          <w:sz w:val="24"/>
          <w:szCs w:val="24"/>
          <w:highlight w:val="none"/>
          <w:vertAlign w:val="subscript"/>
          <w:lang w:val="en-US" w:eastAsia="zh-CN" w:bidi="ar-SA"/>
        </w:rPr>
        <w:t>atm</w:t>
      </w:r>
      <w:r>
        <w:rPr>
          <w:rFonts w:hint="eastAsia" w:ascii="Times New Roman" w:hAnsi="Times New Roman" w:eastAsia="宋体" w:cs="Times New Roman"/>
          <w:color w:val="000000" w:themeColor="text1"/>
          <w:kern w:val="0"/>
          <w:sz w:val="24"/>
          <w:szCs w:val="24"/>
          <w:highlight w:val="none"/>
          <w:lang w:val="en-US" w:eastAsia="zh-CN" w:bidi="ar-SA"/>
        </w:rPr>
        <w:t>—大气吸收引起的衰减，dB；</w:t>
      </w:r>
    </w:p>
    <w:p w14:paraId="626CCE67">
      <w:pPr>
        <w:widowControl/>
        <w:spacing w:line="360" w:lineRule="auto"/>
        <w:ind w:firstLine="1200" w:firstLineChars="500"/>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α—与温度、湿度和声波频率有关的大气吸收衰减吸收，预测计算中一般根据建设项目所处区域常年平均气温和湿度选择相应的大气吸收衰减系数，见表</w:t>
      </w:r>
      <w:r>
        <w:rPr>
          <w:rFonts w:hint="eastAsia" w:cs="Times New Roman"/>
          <w:color w:val="000000" w:themeColor="text1"/>
          <w:kern w:val="0"/>
          <w:sz w:val="24"/>
          <w:szCs w:val="24"/>
          <w:highlight w:val="none"/>
          <w:lang w:val="en-US" w:eastAsia="zh-CN" w:bidi="ar-SA"/>
        </w:rPr>
        <w:t>5.2-4</w:t>
      </w:r>
      <w:r>
        <w:rPr>
          <w:rFonts w:hint="default" w:ascii="Times New Roman" w:hAnsi="Times New Roman" w:eastAsia="宋体" w:cs="Times New Roman"/>
          <w:color w:val="000000" w:themeColor="text1"/>
          <w:kern w:val="0"/>
          <w:sz w:val="24"/>
          <w:szCs w:val="24"/>
          <w:highlight w:val="none"/>
          <w:lang w:val="en-US" w:eastAsia="zh-CN" w:bidi="ar-SA"/>
        </w:rPr>
        <w:t>。</w:t>
      </w:r>
    </w:p>
    <w:p w14:paraId="13E0A6C0">
      <w:pPr>
        <w:widowControl/>
        <w:spacing w:line="360" w:lineRule="auto"/>
        <w:ind w:firstLine="1200" w:firstLineChars="500"/>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r—预测点距声源的距离；</w:t>
      </w:r>
    </w:p>
    <w:p w14:paraId="7F6019BD">
      <w:pPr>
        <w:widowControl/>
        <w:spacing w:line="360" w:lineRule="auto"/>
        <w:ind w:firstLine="1200" w:firstLineChars="500"/>
        <w:rPr>
          <w:rFonts w:hint="eastAsia"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r</w:t>
      </w:r>
      <w:r>
        <w:rPr>
          <w:rFonts w:hint="default" w:ascii="Times New Roman" w:hAnsi="Times New Roman" w:eastAsia="宋体" w:cs="Times New Roman"/>
          <w:color w:val="000000" w:themeColor="text1"/>
          <w:kern w:val="0"/>
          <w:sz w:val="24"/>
          <w:szCs w:val="24"/>
          <w:highlight w:val="none"/>
          <w:vertAlign w:val="subscript"/>
          <w:lang w:val="en-US" w:eastAsia="zh-CN" w:bidi="ar-SA"/>
        </w:rPr>
        <w:t>0</w:t>
      </w:r>
      <w:r>
        <w:rPr>
          <w:rFonts w:hint="default" w:ascii="Times New Roman" w:hAnsi="Times New Roman" w:eastAsia="宋体" w:cs="Times New Roman"/>
          <w:color w:val="000000" w:themeColor="text1"/>
          <w:kern w:val="0"/>
          <w:sz w:val="24"/>
          <w:szCs w:val="24"/>
          <w:highlight w:val="none"/>
          <w:lang w:val="en-US" w:eastAsia="zh-CN" w:bidi="ar-SA"/>
        </w:rPr>
        <w:t>—参考位置距声源的距离。</w:t>
      </w:r>
    </w:p>
    <w:p w14:paraId="0A77F22C">
      <w:pPr>
        <w:pageBreakBefore w:val="0"/>
        <w:wordWrap/>
        <w:topLinePunct w:val="0"/>
        <w:bidi w:val="0"/>
        <w:spacing w:line="360" w:lineRule="auto"/>
        <w:ind w:left="0" w:leftChars="0" w:firstLine="0" w:firstLineChars="0"/>
        <w:jc w:val="center"/>
        <w:rPr>
          <w:b/>
          <w:color w:val="000000" w:themeColor="text1"/>
          <w:highlight w:val="none"/>
        </w:rPr>
      </w:pPr>
      <w:r>
        <w:rPr>
          <w:b/>
          <w:color w:val="000000" w:themeColor="text1"/>
          <w:highlight w:val="none"/>
        </w:rPr>
        <w:t>表5.</w:t>
      </w:r>
      <w:r>
        <w:rPr>
          <w:rFonts w:hint="eastAsia"/>
          <w:b/>
          <w:color w:val="000000" w:themeColor="text1"/>
          <w:highlight w:val="none"/>
        </w:rPr>
        <w:t>2</w:t>
      </w:r>
      <w:r>
        <w:rPr>
          <w:b/>
          <w:color w:val="000000" w:themeColor="text1"/>
          <w:highlight w:val="none"/>
        </w:rPr>
        <w:t>-</w:t>
      </w:r>
      <w:r>
        <w:rPr>
          <w:rFonts w:hint="eastAsia"/>
          <w:b/>
          <w:color w:val="000000" w:themeColor="text1"/>
          <w:highlight w:val="none"/>
          <w:lang w:val="en-US" w:eastAsia="zh-CN"/>
        </w:rPr>
        <w:t>4</w:t>
      </w:r>
      <w:r>
        <w:rPr>
          <w:b/>
          <w:color w:val="000000" w:themeColor="text1"/>
          <w:highlight w:val="none"/>
        </w:rPr>
        <w:t xml:space="preserve">  倍频带噪声的大气吸收系数衰减系数 </w:t>
      </w:r>
      <w:r>
        <w:rPr>
          <w:b/>
          <w:i/>
          <w:iCs/>
          <w:color w:val="000000" w:themeColor="text1"/>
          <w:highlight w:val="none"/>
        </w:rPr>
        <w:t>a</w:t>
      </w:r>
    </w:p>
    <w:tbl>
      <w:tblPr>
        <w:tblStyle w:val="132"/>
        <w:tblW w:w="8519" w:type="dxa"/>
        <w:jc w:val="center"/>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fixed"/>
        <w:tblCellMar>
          <w:top w:w="0" w:type="dxa"/>
          <w:left w:w="0" w:type="dxa"/>
          <w:bottom w:w="0" w:type="dxa"/>
          <w:right w:w="0" w:type="dxa"/>
        </w:tblCellMar>
      </w:tblPr>
      <w:tblGrid>
        <w:gridCol w:w="931"/>
        <w:gridCol w:w="1350"/>
        <w:gridCol w:w="774"/>
        <w:gridCol w:w="774"/>
        <w:gridCol w:w="777"/>
        <w:gridCol w:w="777"/>
        <w:gridCol w:w="777"/>
        <w:gridCol w:w="777"/>
        <w:gridCol w:w="777"/>
        <w:gridCol w:w="805"/>
      </w:tblGrid>
      <w:tr w14:paraId="2532F75C">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vMerge w:val="restart"/>
            <w:tcBorders>
              <w:tl2br w:val="nil"/>
              <w:tr2bl w:val="nil"/>
            </w:tcBorders>
            <w:vAlign w:val="center"/>
          </w:tcPr>
          <w:p w14:paraId="05C8841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p>
          <w:p w14:paraId="169E265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6"/>
                <w:position w:val="1"/>
                <w:sz w:val="21"/>
                <w:szCs w:val="21"/>
                <w:highlight w:val="none"/>
              </w:rPr>
              <w:t>温</w:t>
            </w:r>
            <w:r>
              <w:rPr>
                <w:rFonts w:hint="default" w:ascii="Times New Roman" w:hAnsi="Times New Roman" w:eastAsia="宋体" w:cs="Times New Roman"/>
                <w:color w:val="000000" w:themeColor="text1"/>
                <w:spacing w:val="5"/>
                <w:position w:val="1"/>
                <w:sz w:val="21"/>
                <w:szCs w:val="21"/>
                <w:highlight w:val="none"/>
              </w:rPr>
              <w:t>度/℃</w:t>
            </w:r>
          </w:p>
        </w:tc>
        <w:tc>
          <w:tcPr>
            <w:tcW w:w="1350" w:type="dxa"/>
            <w:vMerge w:val="restart"/>
            <w:tcBorders>
              <w:tl2br w:val="nil"/>
              <w:tr2bl w:val="nil"/>
            </w:tcBorders>
            <w:vAlign w:val="center"/>
          </w:tcPr>
          <w:p w14:paraId="3B9B816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p>
          <w:p w14:paraId="642D155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7"/>
                <w:position w:val="1"/>
                <w:sz w:val="21"/>
                <w:szCs w:val="21"/>
                <w:highlight w:val="none"/>
              </w:rPr>
              <w:t>相对湿度/</w:t>
            </w:r>
            <w:r>
              <w:rPr>
                <w:rFonts w:hint="default" w:ascii="Times New Roman" w:hAnsi="Times New Roman" w:eastAsia="宋体" w:cs="Times New Roman"/>
                <w:color w:val="000000" w:themeColor="text1"/>
                <w:spacing w:val="6"/>
                <w:position w:val="1"/>
                <w:sz w:val="21"/>
                <w:szCs w:val="21"/>
                <w:highlight w:val="none"/>
              </w:rPr>
              <w:t>%</w:t>
            </w:r>
          </w:p>
        </w:tc>
        <w:tc>
          <w:tcPr>
            <w:tcW w:w="6238" w:type="dxa"/>
            <w:gridSpan w:val="8"/>
            <w:tcBorders>
              <w:tl2br w:val="nil"/>
              <w:tr2bl w:val="nil"/>
            </w:tcBorders>
            <w:vAlign w:val="center"/>
          </w:tcPr>
          <w:p w14:paraId="4DD22B21">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pacing w:val="5"/>
                <w:position w:val="2"/>
                <w:sz w:val="21"/>
                <w:szCs w:val="21"/>
                <w:highlight w:val="none"/>
              </w:rPr>
              <w:t xml:space="preserve">大气吸收衰减系数 </w:t>
            </w:r>
            <w:r>
              <w:rPr>
                <w:rFonts w:hint="default" w:ascii="Times New Roman" w:hAnsi="Times New Roman" w:eastAsia="宋体" w:cs="Times New Roman"/>
                <w:i/>
                <w:iCs/>
                <w:color w:val="000000" w:themeColor="text1"/>
                <w:position w:val="2"/>
                <w:sz w:val="21"/>
                <w:szCs w:val="21"/>
                <w:highlight w:val="none"/>
              </w:rPr>
              <w:t>a</w:t>
            </w:r>
            <w:r>
              <w:rPr>
                <w:rFonts w:hint="default" w:ascii="Times New Roman" w:hAnsi="Times New Roman" w:eastAsia="宋体" w:cs="Times New Roman"/>
                <w:color w:val="000000" w:themeColor="text1"/>
                <w:spacing w:val="5"/>
                <w:position w:val="2"/>
                <w:sz w:val="21"/>
                <w:szCs w:val="21"/>
                <w:highlight w:val="none"/>
              </w:rPr>
              <w:t>/</w:t>
            </w:r>
            <w:r>
              <w:rPr>
                <w:rFonts w:hint="eastAsia" w:cs="Times New Roman"/>
                <w:color w:val="000000" w:themeColor="text1"/>
                <w:spacing w:val="5"/>
                <w:position w:val="2"/>
                <w:sz w:val="21"/>
                <w:szCs w:val="21"/>
                <w:highlight w:val="none"/>
                <w:lang w:eastAsia="zh-CN"/>
              </w:rPr>
              <w:t>（</w:t>
            </w:r>
            <w:r>
              <w:rPr>
                <w:rFonts w:hint="default" w:ascii="Times New Roman" w:hAnsi="Times New Roman" w:eastAsia="宋体" w:cs="Times New Roman"/>
                <w:color w:val="000000" w:themeColor="text1"/>
                <w:position w:val="2"/>
                <w:sz w:val="21"/>
                <w:szCs w:val="21"/>
                <w:highlight w:val="none"/>
              </w:rPr>
              <w:t>dB</w:t>
            </w:r>
            <w:r>
              <w:rPr>
                <w:rFonts w:hint="default" w:ascii="Times New Roman" w:hAnsi="Times New Roman" w:eastAsia="宋体" w:cs="Times New Roman"/>
                <w:color w:val="000000" w:themeColor="text1"/>
                <w:spacing w:val="5"/>
                <w:position w:val="2"/>
                <w:sz w:val="21"/>
                <w:szCs w:val="21"/>
                <w:highlight w:val="none"/>
              </w:rPr>
              <w:t>/</w:t>
            </w:r>
            <w:r>
              <w:rPr>
                <w:rFonts w:hint="default" w:ascii="Times New Roman" w:hAnsi="Times New Roman" w:eastAsia="宋体" w:cs="Times New Roman"/>
                <w:color w:val="000000" w:themeColor="text1"/>
                <w:position w:val="2"/>
                <w:sz w:val="21"/>
                <w:szCs w:val="21"/>
                <w:highlight w:val="none"/>
              </w:rPr>
              <w:t>km</w:t>
            </w:r>
            <w:r>
              <w:rPr>
                <w:rFonts w:hint="eastAsia" w:cs="Times New Roman"/>
                <w:color w:val="000000" w:themeColor="text1"/>
                <w:spacing w:val="2"/>
                <w:position w:val="2"/>
                <w:sz w:val="21"/>
                <w:szCs w:val="21"/>
                <w:highlight w:val="none"/>
                <w:lang w:eastAsia="zh-CN"/>
              </w:rPr>
              <w:t>）</w:t>
            </w:r>
          </w:p>
        </w:tc>
      </w:tr>
      <w:tr w14:paraId="74C9BB93">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vMerge w:val="continue"/>
            <w:tcBorders>
              <w:tl2br w:val="nil"/>
              <w:tr2bl w:val="nil"/>
            </w:tcBorders>
            <w:vAlign w:val="center"/>
          </w:tcPr>
          <w:p w14:paraId="4603D3E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p>
        </w:tc>
        <w:tc>
          <w:tcPr>
            <w:tcW w:w="1350" w:type="dxa"/>
            <w:vMerge w:val="continue"/>
            <w:tcBorders>
              <w:tl2br w:val="nil"/>
              <w:tr2bl w:val="nil"/>
            </w:tcBorders>
            <w:vAlign w:val="center"/>
          </w:tcPr>
          <w:p w14:paraId="7203478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p>
        </w:tc>
        <w:tc>
          <w:tcPr>
            <w:tcW w:w="6238" w:type="dxa"/>
            <w:gridSpan w:val="8"/>
            <w:tcBorders>
              <w:tl2br w:val="nil"/>
              <w:tr2bl w:val="nil"/>
            </w:tcBorders>
            <w:vAlign w:val="center"/>
          </w:tcPr>
          <w:p w14:paraId="6A4FB50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0"/>
                <w:position w:val="1"/>
                <w:sz w:val="21"/>
                <w:szCs w:val="21"/>
                <w:highlight w:val="none"/>
              </w:rPr>
              <w:t>倍</w:t>
            </w:r>
            <w:r>
              <w:rPr>
                <w:rFonts w:hint="default" w:ascii="Times New Roman" w:hAnsi="Times New Roman" w:eastAsia="宋体" w:cs="Times New Roman"/>
                <w:color w:val="000000" w:themeColor="text1"/>
                <w:spacing w:val="9"/>
                <w:position w:val="1"/>
                <w:sz w:val="21"/>
                <w:szCs w:val="21"/>
                <w:highlight w:val="none"/>
              </w:rPr>
              <w:t>频带中心频率/</w:t>
            </w:r>
            <w:r>
              <w:rPr>
                <w:rFonts w:hint="default" w:ascii="Times New Roman" w:hAnsi="Times New Roman" w:eastAsia="宋体" w:cs="Times New Roman"/>
                <w:color w:val="000000" w:themeColor="text1"/>
                <w:position w:val="1"/>
                <w:sz w:val="21"/>
                <w:szCs w:val="21"/>
                <w:highlight w:val="none"/>
              </w:rPr>
              <w:t>Hz</w:t>
            </w:r>
          </w:p>
        </w:tc>
      </w:tr>
      <w:tr w14:paraId="4256C457">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vMerge w:val="continue"/>
            <w:tcBorders>
              <w:tl2br w:val="nil"/>
              <w:tr2bl w:val="nil"/>
            </w:tcBorders>
            <w:vAlign w:val="center"/>
          </w:tcPr>
          <w:p w14:paraId="724B18E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p>
        </w:tc>
        <w:tc>
          <w:tcPr>
            <w:tcW w:w="1350" w:type="dxa"/>
            <w:vMerge w:val="continue"/>
            <w:tcBorders>
              <w:tl2br w:val="nil"/>
              <w:tr2bl w:val="nil"/>
            </w:tcBorders>
            <w:vAlign w:val="center"/>
          </w:tcPr>
          <w:p w14:paraId="29D9F0F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p>
        </w:tc>
        <w:tc>
          <w:tcPr>
            <w:tcW w:w="774" w:type="dxa"/>
            <w:tcBorders>
              <w:tl2br w:val="nil"/>
              <w:tr2bl w:val="nil"/>
            </w:tcBorders>
            <w:vAlign w:val="center"/>
          </w:tcPr>
          <w:p w14:paraId="0721E12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6</w:t>
            </w:r>
            <w:r>
              <w:rPr>
                <w:rFonts w:hint="default" w:ascii="Times New Roman" w:hAnsi="Times New Roman" w:eastAsia="宋体" w:cs="Times New Roman"/>
                <w:color w:val="000000" w:themeColor="text1"/>
                <w:sz w:val="21"/>
                <w:szCs w:val="21"/>
                <w:highlight w:val="none"/>
              </w:rPr>
              <w:t>3</w:t>
            </w:r>
          </w:p>
        </w:tc>
        <w:tc>
          <w:tcPr>
            <w:tcW w:w="774" w:type="dxa"/>
            <w:tcBorders>
              <w:tl2br w:val="nil"/>
              <w:tr2bl w:val="nil"/>
            </w:tcBorders>
            <w:vAlign w:val="center"/>
          </w:tcPr>
          <w:p w14:paraId="56943F0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125</w:t>
            </w:r>
          </w:p>
        </w:tc>
        <w:tc>
          <w:tcPr>
            <w:tcW w:w="777" w:type="dxa"/>
            <w:tcBorders>
              <w:tl2br w:val="nil"/>
              <w:tr2bl w:val="nil"/>
            </w:tcBorders>
            <w:vAlign w:val="center"/>
          </w:tcPr>
          <w:p w14:paraId="3BAB8351">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2</w:t>
            </w:r>
            <w:r>
              <w:rPr>
                <w:rFonts w:hint="default" w:ascii="Times New Roman" w:hAnsi="Times New Roman" w:eastAsia="宋体" w:cs="Times New Roman"/>
                <w:color w:val="000000" w:themeColor="text1"/>
                <w:spacing w:val="3"/>
                <w:sz w:val="21"/>
                <w:szCs w:val="21"/>
                <w:highlight w:val="none"/>
              </w:rPr>
              <w:t>50</w:t>
            </w:r>
          </w:p>
        </w:tc>
        <w:tc>
          <w:tcPr>
            <w:tcW w:w="777" w:type="dxa"/>
            <w:tcBorders>
              <w:tl2br w:val="nil"/>
              <w:tr2bl w:val="nil"/>
            </w:tcBorders>
            <w:vAlign w:val="center"/>
          </w:tcPr>
          <w:p w14:paraId="0942CD6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50</w:t>
            </w:r>
            <w:r>
              <w:rPr>
                <w:rFonts w:hint="default" w:ascii="Times New Roman" w:hAnsi="Times New Roman" w:eastAsia="宋体" w:cs="Times New Roman"/>
                <w:color w:val="000000" w:themeColor="text1"/>
                <w:spacing w:val="1"/>
                <w:sz w:val="21"/>
                <w:szCs w:val="21"/>
                <w:highlight w:val="none"/>
              </w:rPr>
              <w:t>0</w:t>
            </w:r>
          </w:p>
        </w:tc>
        <w:tc>
          <w:tcPr>
            <w:tcW w:w="777" w:type="dxa"/>
            <w:tcBorders>
              <w:tl2br w:val="nil"/>
              <w:tr2bl w:val="nil"/>
            </w:tcBorders>
            <w:vAlign w:val="center"/>
          </w:tcPr>
          <w:p w14:paraId="29C4ECC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1000</w:t>
            </w:r>
          </w:p>
        </w:tc>
        <w:tc>
          <w:tcPr>
            <w:tcW w:w="777" w:type="dxa"/>
            <w:tcBorders>
              <w:tl2br w:val="nil"/>
              <w:tr2bl w:val="nil"/>
            </w:tcBorders>
            <w:vAlign w:val="center"/>
          </w:tcPr>
          <w:p w14:paraId="4C2A766B">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2000</w:t>
            </w:r>
          </w:p>
        </w:tc>
        <w:tc>
          <w:tcPr>
            <w:tcW w:w="777" w:type="dxa"/>
            <w:tcBorders>
              <w:tl2br w:val="nil"/>
              <w:tr2bl w:val="nil"/>
            </w:tcBorders>
            <w:vAlign w:val="center"/>
          </w:tcPr>
          <w:p w14:paraId="535EF72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4</w:t>
            </w:r>
            <w:r>
              <w:rPr>
                <w:rFonts w:hint="default" w:ascii="Times New Roman" w:hAnsi="Times New Roman" w:eastAsia="宋体" w:cs="Times New Roman"/>
                <w:color w:val="000000" w:themeColor="text1"/>
                <w:spacing w:val="4"/>
                <w:sz w:val="21"/>
                <w:szCs w:val="21"/>
                <w:highlight w:val="none"/>
              </w:rPr>
              <w:t>000</w:t>
            </w:r>
          </w:p>
        </w:tc>
        <w:tc>
          <w:tcPr>
            <w:tcW w:w="805" w:type="dxa"/>
            <w:tcBorders>
              <w:tl2br w:val="nil"/>
              <w:tr2bl w:val="nil"/>
            </w:tcBorders>
            <w:vAlign w:val="center"/>
          </w:tcPr>
          <w:p w14:paraId="69AB90E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80</w:t>
            </w:r>
            <w:r>
              <w:rPr>
                <w:rFonts w:hint="default" w:ascii="Times New Roman" w:hAnsi="Times New Roman" w:eastAsia="宋体" w:cs="Times New Roman"/>
                <w:color w:val="000000" w:themeColor="text1"/>
                <w:spacing w:val="1"/>
                <w:sz w:val="21"/>
                <w:szCs w:val="21"/>
                <w:highlight w:val="none"/>
              </w:rPr>
              <w:t>00</w:t>
            </w:r>
          </w:p>
        </w:tc>
      </w:tr>
      <w:tr w14:paraId="1A5D5AFF">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tcBorders>
              <w:tl2br w:val="nil"/>
              <w:tr2bl w:val="nil"/>
            </w:tcBorders>
            <w:vAlign w:val="center"/>
          </w:tcPr>
          <w:p w14:paraId="3713B96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1</w:t>
            </w:r>
            <w:r>
              <w:rPr>
                <w:rFonts w:hint="default" w:ascii="Times New Roman" w:hAnsi="Times New Roman" w:eastAsia="宋体" w:cs="Times New Roman"/>
                <w:color w:val="000000" w:themeColor="text1"/>
                <w:spacing w:val="-7"/>
                <w:sz w:val="21"/>
                <w:szCs w:val="21"/>
                <w:highlight w:val="none"/>
              </w:rPr>
              <w:t>0</w:t>
            </w:r>
          </w:p>
        </w:tc>
        <w:tc>
          <w:tcPr>
            <w:tcW w:w="1350" w:type="dxa"/>
            <w:tcBorders>
              <w:tl2br w:val="nil"/>
              <w:tr2bl w:val="nil"/>
            </w:tcBorders>
            <w:vAlign w:val="center"/>
          </w:tcPr>
          <w:p w14:paraId="1480C42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70</w:t>
            </w:r>
          </w:p>
        </w:tc>
        <w:tc>
          <w:tcPr>
            <w:tcW w:w="774" w:type="dxa"/>
            <w:tcBorders>
              <w:tl2br w:val="nil"/>
              <w:tr2bl w:val="nil"/>
            </w:tcBorders>
            <w:vAlign w:val="center"/>
          </w:tcPr>
          <w:p w14:paraId="14A90C7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9"/>
                <w:sz w:val="21"/>
                <w:szCs w:val="21"/>
                <w:highlight w:val="none"/>
              </w:rPr>
              <w:t>0</w:t>
            </w:r>
            <w:r>
              <w:rPr>
                <w:rFonts w:hint="default" w:ascii="Times New Roman" w:hAnsi="Times New Roman" w:eastAsia="宋体" w:cs="Times New Roman"/>
                <w:color w:val="000000" w:themeColor="text1"/>
                <w:spacing w:val="8"/>
                <w:sz w:val="21"/>
                <w:szCs w:val="21"/>
                <w:highlight w:val="none"/>
              </w:rPr>
              <w:t>.1</w:t>
            </w:r>
          </w:p>
        </w:tc>
        <w:tc>
          <w:tcPr>
            <w:tcW w:w="774" w:type="dxa"/>
            <w:tcBorders>
              <w:tl2br w:val="nil"/>
              <w:tr2bl w:val="nil"/>
            </w:tcBorders>
            <w:vAlign w:val="center"/>
          </w:tcPr>
          <w:p w14:paraId="454FAE01">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0.</w:t>
            </w:r>
            <w:r>
              <w:rPr>
                <w:rFonts w:hint="default" w:ascii="Times New Roman" w:hAnsi="Times New Roman" w:eastAsia="宋体" w:cs="Times New Roman"/>
                <w:color w:val="000000" w:themeColor="text1"/>
                <w:spacing w:val="1"/>
                <w:sz w:val="21"/>
                <w:szCs w:val="21"/>
                <w:highlight w:val="none"/>
              </w:rPr>
              <w:t>4</w:t>
            </w:r>
          </w:p>
        </w:tc>
        <w:tc>
          <w:tcPr>
            <w:tcW w:w="777" w:type="dxa"/>
            <w:tcBorders>
              <w:tl2br w:val="nil"/>
              <w:tr2bl w:val="nil"/>
            </w:tcBorders>
            <w:vAlign w:val="center"/>
          </w:tcPr>
          <w:p w14:paraId="16C701D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1.0</w:t>
            </w:r>
          </w:p>
        </w:tc>
        <w:tc>
          <w:tcPr>
            <w:tcW w:w="777" w:type="dxa"/>
            <w:tcBorders>
              <w:tl2br w:val="nil"/>
              <w:tr2bl w:val="nil"/>
            </w:tcBorders>
            <w:vAlign w:val="center"/>
          </w:tcPr>
          <w:p w14:paraId="7349FA2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1</w:t>
            </w:r>
            <w:r>
              <w:rPr>
                <w:rFonts w:hint="default" w:ascii="Times New Roman" w:hAnsi="Times New Roman" w:eastAsia="宋体" w:cs="Times New Roman"/>
                <w:color w:val="000000" w:themeColor="text1"/>
                <w:spacing w:val="-2"/>
                <w:sz w:val="21"/>
                <w:szCs w:val="21"/>
                <w:highlight w:val="none"/>
              </w:rPr>
              <w:t>.9</w:t>
            </w:r>
          </w:p>
        </w:tc>
        <w:tc>
          <w:tcPr>
            <w:tcW w:w="777" w:type="dxa"/>
            <w:tcBorders>
              <w:tl2br w:val="nil"/>
              <w:tr2bl w:val="nil"/>
            </w:tcBorders>
            <w:vAlign w:val="center"/>
          </w:tcPr>
          <w:p w14:paraId="777663C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3</w:t>
            </w:r>
            <w:r>
              <w:rPr>
                <w:rFonts w:hint="default" w:ascii="Times New Roman" w:hAnsi="Times New Roman" w:eastAsia="宋体" w:cs="Times New Roman"/>
                <w:color w:val="000000" w:themeColor="text1"/>
                <w:spacing w:val="2"/>
                <w:sz w:val="21"/>
                <w:szCs w:val="21"/>
                <w:highlight w:val="none"/>
              </w:rPr>
              <w:t>.7</w:t>
            </w:r>
          </w:p>
        </w:tc>
        <w:tc>
          <w:tcPr>
            <w:tcW w:w="777" w:type="dxa"/>
            <w:tcBorders>
              <w:tl2br w:val="nil"/>
              <w:tr2bl w:val="nil"/>
            </w:tcBorders>
            <w:vAlign w:val="center"/>
          </w:tcPr>
          <w:p w14:paraId="26D705F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9</w:t>
            </w:r>
            <w:r>
              <w:rPr>
                <w:rFonts w:hint="default" w:ascii="Times New Roman" w:hAnsi="Times New Roman" w:eastAsia="宋体" w:cs="Times New Roman"/>
                <w:color w:val="000000" w:themeColor="text1"/>
                <w:spacing w:val="2"/>
                <w:sz w:val="21"/>
                <w:szCs w:val="21"/>
                <w:highlight w:val="none"/>
              </w:rPr>
              <w:t>.7</w:t>
            </w:r>
          </w:p>
        </w:tc>
        <w:tc>
          <w:tcPr>
            <w:tcW w:w="777" w:type="dxa"/>
            <w:tcBorders>
              <w:tl2br w:val="nil"/>
              <w:tr2bl w:val="nil"/>
            </w:tcBorders>
            <w:vAlign w:val="center"/>
          </w:tcPr>
          <w:p w14:paraId="130D62A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6"/>
                <w:sz w:val="21"/>
                <w:szCs w:val="21"/>
                <w:highlight w:val="none"/>
              </w:rPr>
              <w:t>3</w:t>
            </w:r>
            <w:r>
              <w:rPr>
                <w:rFonts w:hint="default" w:ascii="Times New Roman" w:hAnsi="Times New Roman" w:eastAsia="宋体" w:cs="Times New Roman"/>
                <w:color w:val="000000" w:themeColor="text1"/>
                <w:spacing w:val="4"/>
                <w:sz w:val="21"/>
                <w:szCs w:val="21"/>
                <w:highlight w:val="none"/>
              </w:rPr>
              <w:t>2.8</w:t>
            </w:r>
          </w:p>
        </w:tc>
        <w:tc>
          <w:tcPr>
            <w:tcW w:w="805" w:type="dxa"/>
            <w:tcBorders>
              <w:tl2br w:val="nil"/>
              <w:tr2bl w:val="nil"/>
            </w:tcBorders>
            <w:vAlign w:val="center"/>
          </w:tcPr>
          <w:p w14:paraId="17B47C6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117.0</w:t>
            </w:r>
          </w:p>
        </w:tc>
      </w:tr>
      <w:tr w14:paraId="7019A1D5">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tcBorders>
              <w:tl2br w:val="nil"/>
              <w:tr2bl w:val="nil"/>
            </w:tcBorders>
            <w:vAlign w:val="center"/>
          </w:tcPr>
          <w:p w14:paraId="16DBDAB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2</w:t>
            </w:r>
            <w:r>
              <w:rPr>
                <w:rFonts w:hint="default" w:ascii="Times New Roman" w:hAnsi="Times New Roman" w:eastAsia="宋体" w:cs="Times New Roman"/>
                <w:color w:val="000000" w:themeColor="text1"/>
                <w:spacing w:val="2"/>
                <w:sz w:val="21"/>
                <w:szCs w:val="21"/>
                <w:highlight w:val="none"/>
              </w:rPr>
              <w:t>0</w:t>
            </w:r>
          </w:p>
        </w:tc>
        <w:tc>
          <w:tcPr>
            <w:tcW w:w="1350" w:type="dxa"/>
            <w:tcBorders>
              <w:tl2br w:val="nil"/>
              <w:tr2bl w:val="nil"/>
            </w:tcBorders>
            <w:vAlign w:val="center"/>
          </w:tcPr>
          <w:p w14:paraId="30AEF52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70</w:t>
            </w:r>
          </w:p>
        </w:tc>
        <w:tc>
          <w:tcPr>
            <w:tcW w:w="774" w:type="dxa"/>
            <w:tcBorders>
              <w:tl2br w:val="nil"/>
              <w:tr2bl w:val="nil"/>
            </w:tcBorders>
            <w:vAlign w:val="center"/>
          </w:tcPr>
          <w:p w14:paraId="49E8BF9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9"/>
                <w:sz w:val="21"/>
                <w:szCs w:val="21"/>
                <w:highlight w:val="none"/>
              </w:rPr>
              <w:t>0</w:t>
            </w:r>
            <w:r>
              <w:rPr>
                <w:rFonts w:hint="default" w:ascii="Times New Roman" w:hAnsi="Times New Roman" w:eastAsia="宋体" w:cs="Times New Roman"/>
                <w:color w:val="000000" w:themeColor="text1"/>
                <w:spacing w:val="8"/>
                <w:sz w:val="21"/>
                <w:szCs w:val="21"/>
                <w:highlight w:val="none"/>
              </w:rPr>
              <w:t>.1</w:t>
            </w:r>
          </w:p>
        </w:tc>
        <w:tc>
          <w:tcPr>
            <w:tcW w:w="774" w:type="dxa"/>
            <w:tcBorders>
              <w:tl2br w:val="nil"/>
              <w:tr2bl w:val="nil"/>
            </w:tcBorders>
            <w:vAlign w:val="center"/>
          </w:tcPr>
          <w:p w14:paraId="78D90FC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0.3</w:t>
            </w:r>
          </w:p>
        </w:tc>
        <w:tc>
          <w:tcPr>
            <w:tcW w:w="777" w:type="dxa"/>
            <w:tcBorders>
              <w:tl2br w:val="nil"/>
              <w:tr2bl w:val="nil"/>
            </w:tcBorders>
            <w:vAlign w:val="center"/>
          </w:tcPr>
          <w:p w14:paraId="4FAAB93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1</w:t>
            </w:r>
            <w:r>
              <w:rPr>
                <w:rFonts w:hint="default" w:ascii="Times New Roman" w:hAnsi="Times New Roman" w:eastAsia="宋体" w:cs="Times New Roman"/>
                <w:color w:val="000000" w:themeColor="text1"/>
                <w:spacing w:val="2"/>
                <w:sz w:val="21"/>
                <w:szCs w:val="21"/>
                <w:highlight w:val="none"/>
              </w:rPr>
              <w:t>.1</w:t>
            </w:r>
          </w:p>
        </w:tc>
        <w:tc>
          <w:tcPr>
            <w:tcW w:w="777" w:type="dxa"/>
            <w:tcBorders>
              <w:tl2br w:val="nil"/>
              <w:tr2bl w:val="nil"/>
            </w:tcBorders>
            <w:vAlign w:val="center"/>
          </w:tcPr>
          <w:p w14:paraId="2596D31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6"/>
                <w:sz w:val="21"/>
                <w:szCs w:val="21"/>
                <w:highlight w:val="none"/>
              </w:rPr>
              <w:t>2</w:t>
            </w:r>
            <w:r>
              <w:rPr>
                <w:rFonts w:hint="default" w:ascii="Times New Roman" w:hAnsi="Times New Roman" w:eastAsia="宋体" w:cs="Times New Roman"/>
                <w:color w:val="000000" w:themeColor="text1"/>
                <w:spacing w:val="5"/>
                <w:sz w:val="21"/>
                <w:szCs w:val="21"/>
                <w:highlight w:val="none"/>
              </w:rPr>
              <w:t>.8</w:t>
            </w:r>
          </w:p>
        </w:tc>
        <w:tc>
          <w:tcPr>
            <w:tcW w:w="777" w:type="dxa"/>
            <w:tcBorders>
              <w:tl2br w:val="nil"/>
              <w:tr2bl w:val="nil"/>
            </w:tcBorders>
            <w:vAlign w:val="center"/>
          </w:tcPr>
          <w:p w14:paraId="618F7C7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5.</w:t>
            </w:r>
            <w:r>
              <w:rPr>
                <w:rFonts w:hint="default" w:ascii="Times New Roman" w:hAnsi="Times New Roman" w:eastAsia="宋体" w:cs="Times New Roman"/>
                <w:color w:val="000000" w:themeColor="text1"/>
                <w:spacing w:val="1"/>
                <w:sz w:val="21"/>
                <w:szCs w:val="21"/>
                <w:highlight w:val="none"/>
              </w:rPr>
              <w:t>0</w:t>
            </w:r>
          </w:p>
        </w:tc>
        <w:tc>
          <w:tcPr>
            <w:tcW w:w="777" w:type="dxa"/>
            <w:tcBorders>
              <w:tl2br w:val="nil"/>
              <w:tr2bl w:val="nil"/>
            </w:tcBorders>
            <w:vAlign w:val="center"/>
          </w:tcPr>
          <w:p w14:paraId="6DFB2F6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9</w:t>
            </w:r>
            <w:r>
              <w:rPr>
                <w:rFonts w:hint="default" w:ascii="Times New Roman" w:hAnsi="Times New Roman" w:eastAsia="宋体" w:cs="Times New Roman"/>
                <w:color w:val="000000" w:themeColor="text1"/>
                <w:spacing w:val="2"/>
                <w:sz w:val="21"/>
                <w:szCs w:val="21"/>
                <w:highlight w:val="none"/>
              </w:rPr>
              <w:t>.0</w:t>
            </w:r>
          </w:p>
        </w:tc>
        <w:tc>
          <w:tcPr>
            <w:tcW w:w="777" w:type="dxa"/>
            <w:tcBorders>
              <w:tl2br w:val="nil"/>
              <w:tr2bl w:val="nil"/>
            </w:tcBorders>
            <w:vAlign w:val="center"/>
          </w:tcPr>
          <w:p w14:paraId="5B86410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2</w:t>
            </w:r>
            <w:r>
              <w:rPr>
                <w:rFonts w:hint="default" w:ascii="Times New Roman" w:hAnsi="Times New Roman" w:eastAsia="宋体" w:cs="Times New Roman"/>
                <w:color w:val="000000" w:themeColor="text1"/>
                <w:spacing w:val="4"/>
                <w:sz w:val="21"/>
                <w:szCs w:val="21"/>
                <w:highlight w:val="none"/>
              </w:rPr>
              <w:t>2.9</w:t>
            </w:r>
          </w:p>
        </w:tc>
        <w:tc>
          <w:tcPr>
            <w:tcW w:w="805" w:type="dxa"/>
            <w:tcBorders>
              <w:tl2br w:val="nil"/>
              <w:tr2bl w:val="nil"/>
            </w:tcBorders>
            <w:vAlign w:val="center"/>
          </w:tcPr>
          <w:p w14:paraId="1821A5A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76.</w:t>
            </w:r>
            <w:r>
              <w:rPr>
                <w:rFonts w:hint="default" w:ascii="Times New Roman" w:hAnsi="Times New Roman" w:eastAsia="宋体" w:cs="Times New Roman"/>
                <w:color w:val="000000" w:themeColor="text1"/>
                <w:spacing w:val="3"/>
                <w:sz w:val="21"/>
                <w:szCs w:val="21"/>
                <w:highlight w:val="none"/>
              </w:rPr>
              <w:t>6</w:t>
            </w:r>
          </w:p>
        </w:tc>
      </w:tr>
      <w:tr w14:paraId="38033DE9">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tcBorders>
              <w:tl2br w:val="nil"/>
              <w:tr2bl w:val="nil"/>
            </w:tcBorders>
            <w:vAlign w:val="center"/>
          </w:tcPr>
          <w:p w14:paraId="303D752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3</w:t>
            </w:r>
            <w:r>
              <w:rPr>
                <w:rFonts w:hint="default" w:ascii="Times New Roman" w:hAnsi="Times New Roman" w:eastAsia="宋体" w:cs="Times New Roman"/>
                <w:color w:val="000000" w:themeColor="text1"/>
                <w:sz w:val="21"/>
                <w:szCs w:val="21"/>
                <w:highlight w:val="none"/>
              </w:rPr>
              <w:t>0</w:t>
            </w:r>
          </w:p>
        </w:tc>
        <w:tc>
          <w:tcPr>
            <w:tcW w:w="1350" w:type="dxa"/>
            <w:tcBorders>
              <w:tl2br w:val="nil"/>
              <w:tr2bl w:val="nil"/>
            </w:tcBorders>
            <w:vAlign w:val="center"/>
          </w:tcPr>
          <w:p w14:paraId="4B02755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70</w:t>
            </w:r>
          </w:p>
        </w:tc>
        <w:tc>
          <w:tcPr>
            <w:tcW w:w="774" w:type="dxa"/>
            <w:tcBorders>
              <w:tl2br w:val="nil"/>
              <w:tr2bl w:val="nil"/>
            </w:tcBorders>
            <w:vAlign w:val="center"/>
          </w:tcPr>
          <w:p w14:paraId="73FAF16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9"/>
                <w:sz w:val="21"/>
                <w:szCs w:val="21"/>
                <w:highlight w:val="none"/>
              </w:rPr>
              <w:t>0</w:t>
            </w:r>
            <w:r>
              <w:rPr>
                <w:rFonts w:hint="default" w:ascii="Times New Roman" w:hAnsi="Times New Roman" w:eastAsia="宋体" w:cs="Times New Roman"/>
                <w:color w:val="000000" w:themeColor="text1"/>
                <w:spacing w:val="8"/>
                <w:sz w:val="21"/>
                <w:szCs w:val="21"/>
                <w:highlight w:val="none"/>
              </w:rPr>
              <w:t>.1</w:t>
            </w:r>
          </w:p>
        </w:tc>
        <w:tc>
          <w:tcPr>
            <w:tcW w:w="774" w:type="dxa"/>
            <w:tcBorders>
              <w:tl2br w:val="nil"/>
              <w:tr2bl w:val="nil"/>
            </w:tcBorders>
            <w:vAlign w:val="center"/>
          </w:tcPr>
          <w:p w14:paraId="4CD6609B">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0.3</w:t>
            </w:r>
          </w:p>
        </w:tc>
        <w:tc>
          <w:tcPr>
            <w:tcW w:w="777" w:type="dxa"/>
            <w:tcBorders>
              <w:tl2br w:val="nil"/>
              <w:tr2bl w:val="nil"/>
            </w:tcBorders>
            <w:vAlign w:val="center"/>
          </w:tcPr>
          <w:p w14:paraId="5D48B37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1.0</w:t>
            </w:r>
          </w:p>
        </w:tc>
        <w:tc>
          <w:tcPr>
            <w:tcW w:w="777" w:type="dxa"/>
            <w:tcBorders>
              <w:tl2br w:val="nil"/>
              <w:tr2bl w:val="nil"/>
            </w:tcBorders>
            <w:vAlign w:val="center"/>
          </w:tcPr>
          <w:p w14:paraId="0875880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3.1</w:t>
            </w:r>
          </w:p>
        </w:tc>
        <w:tc>
          <w:tcPr>
            <w:tcW w:w="777" w:type="dxa"/>
            <w:tcBorders>
              <w:tl2br w:val="nil"/>
              <w:tr2bl w:val="nil"/>
            </w:tcBorders>
            <w:vAlign w:val="center"/>
          </w:tcPr>
          <w:p w14:paraId="05B820D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7.</w:t>
            </w:r>
            <w:r>
              <w:rPr>
                <w:rFonts w:hint="default" w:ascii="Times New Roman" w:hAnsi="Times New Roman" w:eastAsia="宋体" w:cs="Times New Roman"/>
                <w:color w:val="000000" w:themeColor="text1"/>
                <w:spacing w:val="1"/>
                <w:sz w:val="21"/>
                <w:szCs w:val="21"/>
                <w:highlight w:val="none"/>
              </w:rPr>
              <w:t>4</w:t>
            </w:r>
          </w:p>
        </w:tc>
        <w:tc>
          <w:tcPr>
            <w:tcW w:w="777" w:type="dxa"/>
            <w:tcBorders>
              <w:tl2br w:val="nil"/>
              <w:tr2bl w:val="nil"/>
            </w:tcBorders>
            <w:vAlign w:val="center"/>
          </w:tcPr>
          <w:p w14:paraId="06CE65C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12.</w:t>
            </w:r>
            <w:r>
              <w:rPr>
                <w:rFonts w:hint="default" w:ascii="Times New Roman" w:hAnsi="Times New Roman" w:eastAsia="宋体" w:cs="Times New Roman"/>
                <w:color w:val="000000" w:themeColor="text1"/>
                <w:sz w:val="21"/>
                <w:szCs w:val="21"/>
                <w:highlight w:val="none"/>
              </w:rPr>
              <w:t>7</w:t>
            </w:r>
          </w:p>
        </w:tc>
        <w:tc>
          <w:tcPr>
            <w:tcW w:w="777" w:type="dxa"/>
            <w:tcBorders>
              <w:tl2br w:val="nil"/>
              <w:tr2bl w:val="nil"/>
            </w:tcBorders>
            <w:vAlign w:val="center"/>
          </w:tcPr>
          <w:p w14:paraId="6BF5CA5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2</w:t>
            </w:r>
            <w:r>
              <w:rPr>
                <w:rFonts w:hint="default" w:ascii="Times New Roman" w:hAnsi="Times New Roman" w:eastAsia="宋体" w:cs="Times New Roman"/>
                <w:color w:val="000000" w:themeColor="text1"/>
                <w:spacing w:val="-3"/>
                <w:sz w:val="21"/>
                <w:szCs w:val="21"/>
                <w:highlight w:val="none"/>
              </w:rPr>
              <w:t>3. 1</w:t>
            </w:r>
          </w:p>
        </w:tc>
        <w:tc>
          <w:tcPr>
            <w:tcW w:w="805" w:type="dxa"/>
            <w:tcBorders>
              <w:tl2br w:val="nil"/>
              <w:tr2bl w:val="nil"/>
            </w:tcBorders>
            <w:vAlign w:val="center"/>
          </w:tcPr>
          <w:p w14:paraId="421604B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59.3</w:t>
            </w:r>
          </w:p>
        </w:tc>
      </w:tr>
      <w:tr w14:paraId="3ACD2DE8">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tcBorders>
              <w:tl2br w:val="nil"/>
              <w:tr2bl w:val="nil"/>
            </w:tcBorders>
            <w:vAlign w:val="center"/>
          </w:tcPr>
          <w:p w14:paraId="285D21C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1</w:t>
            </w:r>
            <w:r>
              <w:rPr>
                <w:rFonts w:hint="default" w:ascii="Times New Roman" w:hAnsi="Times New Roman" w:eastAsia="宋体" w:cs="Times New Roman"/>
                <w:color w:val="000000" w:themeColor="text1"/>
                <w:spacing w:val="-7"/>
                <w:sz w:val="21"/>
                <w:szCs w:val="21"/>
                <w:highlight w:val="none"/>
              </w:rPr>
              <w:t>5</w:t>
            </w:r>
          </w:p>
        </w:tc>
        <w:tc>
          <w:tcPr>
            <w:tcW w:w="1350" w:type="dxa"/>
            <w:tcBorders>
              <w:tl2br w:val="nil"/>
              <w:tr2bl w:val="nil"/>
            </w:tcBorders>
            <w:vAlign w:val="center"/>
          </w:tcPr>
          <w:p w14:paraId="3E33B77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2</w:t>
            </w:r>
            <w:r>
              <w:rPr>
                <w:rFonts w:hint="default" w:ascii="Times New Roman" w:hAnsi="Times New Roman" w:eastAsia="宋体" w:cs="Times New Roman"/>
                <w:color w:val="000000" w:themeColor="text1"/>
                <w:spacing w:val="2"/>
                <w:sz w:val="21"/>
                <w:szCs w:val="21"/>
                <w:highlight w:val="none"/>
              </w:rPr>
              <w:t>0</w:t>
            </w:r>
          </w:p>
        </w:tc>
        <w:tc>
          <w:tcPr>
            <w:tcW w:w="774" w:type="dxa"/>
            <w:tcBorders>
              <w:tl2br w:val="nil"/>
              <w:tr2bl w:val="nil"/>
            </w:tcBorders>
            <w:vAlign w:val="center"/>
          </w:tcPr>
          <w:p w14:paraId="2C781E5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0.3</w:t>
            </w:r>
          </w:p>
        </w:tc>
        <w:tc>
          <w:tcPr>
            <w:tcW w:w="774" w:type="dxa"/>
            <w:tcBorders>
              <w:tl2br w:val="nil"/>
              <w:tr2bl w:val="nil"/>
            </w:tcBorders>
            <w:vAlign w:val="center"/>
          </w:tcPr>
          <w:p w14:paraId="0D2B240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0.6</w:t>
            </w:r>
          </w:p>
        </w:tc>
        <w:tc>
          <w:tcPr>
            <w:tcW w:w="777" w:type="dxa"/>
            <w:tcBorders>
              <w:tl2br w:val="nil"/>
              <w:tr2bl w:val="nil"/>
            </w:tcBorders>
            <w:vAlign w:val="center"/>
          </w:tcPr>
          <w:p w14:paraId="154941A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1.2</w:t>
            </w:r>
          </w:p>
        </w:tc>
        <w:tc>
          <w:tcPr>
            <w:tcW w:w="777" w:type="dxa"/>
            <w:tcBorders>
              <w:tl2br w:val="nil"/>
              <w:tr2bl w:val="nil"/>
            </w:tcBorders>
            <w:vAlign w:val="center"/>
          </w:tcPr>
          <w:p w14:paraId="356D0E2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2.</w:t>
            </w:r>
            <w:r>
              <w:rPr>
                <w:rFonts w:hint="default" w:ascii="Times New Roman" w:hAnsi="Times New Roman" w:eastAsia="宋体" w:cs="Times New Roman"/>
                <w:color w:val="000000" w:themeColor="text1"/>
                <w:spacing w:val="3"/>
                <w:sz w:val="21"/>
                <w:szCs w:val="21"/>
                <w:highlight w:val="none"/>
              </w:rPr>
              <w:t>7</w:t>
            </w:r>
          </w:p>
        </w:tc>
        <w:tc>
          <w:tcPr>
            <w:tcW w:w="777" w:type="dxa"/>
            <w:tcBorders>
              <w:tl2br w:val="nil"/>
              <w:tr2bl w:val="nil"/>
            </w:tcBorders>
            <w:vAlign w:val="center"/>
          </w:tcPr>
          <w:p w14:paraId="21F0D22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8.2</w:t>
            </w:r>
          </w:p>
        </w:tc>
        <w:tc>
          <w:tcPr>
            <w:tcW w:w="777" w:type="dxa"/>
            <w:tcBorders>
              <w:tl2br w:val="nil"/>
              <w:tr2bl w:val="nil"/>
            </w:tcBorders>
            <w:vAlign w:val="center"/>
          </w:tcPr>
          <w:p w14:paraId="30368AD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2</w:t>
            </w:r>
            <w:r>
              <w:rPr>
                <w:rFonts w:hint="default" w:ascii="Times New Roman" w:hAnsi="Times New Roman" w:eastAsia="宋体" w:cs="Times New Roman"/>
                <w:color w:val="000000" w:themeColor="text1"/>
                <w:spacing w:val="3"/>
                <w:sz w:val="21"/>
                <w:szCs w:val="21"/>
                <w:highlight w:val="none"/>
              </w:rPr>
              <w:t>8.2</w:t>
            </w:r>
          </w:p>
        </w:tc>
        <w:tc>
          <w:tcPr>
            <w:tcW w:w="777" w:type="dxa"/>
            <w:tcBorders>
              <w:tl2br w:val="nil"/>
              <w:tr2bl w:val="nil"/>
            </w:tcBorders>
            <w:vAlign w:val="center"/>
          </w:tcPr>
          <w:p w14:paraId="7F81BC2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7"/>
                <w:sz w:val="21"/>
                <w:szCs w:val="21"/>
                <w:highlight w:val="none"/>
              </w:rPr>
              <w:t>2</w:t>
            </w:r>
            <w:r>
              <w:rPr>
                <w:rFonts w:hint="default" w:ascii="Times New Roman" w:hAnsi="Times New Roman" w:eastAsia="宋体" w:cs="Times New Roman"/>
                <w:color w:val="000000" w:themeColor="text1"/>
                <w:spacing w:val="5"/>
                <w:sz w:val="21"/>
                <w:szCs w:val="21"/>
                <w:highlight w:val="none"/>
              </w:rPr>
              <w:t>8.8</w:t>
            </w:r>
          </w:p>
        </w:tc>
        <w:tc>
          <w:tcPr>
            <w:tcW w:w="805" w:type="dxa"/>
            <w:tcBorders>
              <w:tl2br w:val="nil"/>
              <w:tr2bl w:val="nil"/>
            </w:tcBorders>
            <w:vAlign w:val="center"/>
          </w:tcPr>
          <w:p w14:paraId="585B068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202.0</w:t>
            </w:r>
          </w:p>
        </w:tc>
      </w:tr>
      <w:tr w14:paraId="247B03C4">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tcBorders>
              <w:tl2br w:val="nil"/>
              <w:tr2bl w:val="nil"/>
            </w:tcBorders>
            <w:vAlign w:val="center"/>
          </w:tcPr>
          <w:p w14:paraId="383BCFF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1</w:t>
            </w:r>
            <w:r>
              <w:rPr>
                <w:rFonts w:hint="default" w:ascii="Times New Roman" w:hAnsi="Times New Roman" w:eastAsia="宋体" w:cs="Times New Roman"/>
                <w:color w:val="000000" w:themeColor="text1"/>
                <w:spacing w:val="-7"/>
                <w:sz w:val="21"/>
                <w:szCs w:val="21"/>
                <w:highlight w:val="none"/>
              </w:rPr>
              <w:t>5</w:t>
            </w:r>
          </w:p>
        </w:tc>
        <w:tc>
          <w:tcPr>
            <w:tcW w:w="1350" w:type="dxa"/>
            <w:tcBorders>
              <w:tl2br w:val="nil"/>
              <w:tr2bl w:val="nil"/>
            </w:tcBorders>
            <w:vAlign w:val="center"/>
          </w:tcPr>
          <w:p w14:paraId="6BC1C1F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50</w:t>
            </w:r>
          </w:p>
        </w:tc>
        <w:tc>
          <w:tcPr>
            <w:tcW w:w="774" w:type="dxa"/>
            <w:tcBorders>
              <w:tl2br w:val="nil"/>
              <w:tr2bl w:val="nil"/>
            </w:tcBorders>
            <w:vAlign w:val="center"/>
          </w:tcPr>
          <w:p w14:paraId="0F1E4FF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9"/>
                <w:sz w:val="21"/>
                <w:szCs w:val="21"/>
                <w:highlight w:val="none"/>
              </w:rPr>
              <w:t>0</w:t>
            </w:r>
            <w:r>
              <w:rPr>
                <w:rFonts w:hint="default" w:ascii="Times New Roman" w:hAnsi="Times New Roman" w:eastAsia="宋体" w:cs="Times New Roman"/>
                <w:color w:val="000000" w:themeColor="text1"/>
                <w:spacing w:val="8"/>
                <w:sz w:val="21"/>
                <w:szCs w:val="21"/>
                <w:highlight w:val="none"/>
              </w:rPr>
              <w:t>.1</w:t>
            </w:r>
          </w:p>
        </w:tc>
        <w:tc>
          <w:tcPr>
            <w:tcW w:w="774" w:type="dxa"/>
            <w:tcBorders>
              <w:tl2br w:val="nil"/>
              <w:tr2bl w:val="nil"/>
            </w:tcBorders>
            <w:vAlign w:val="center"/>
          </w:tcPr>
          <w:p w14:paraId="62573D7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3"/>
                <w:sz w:val="21"/>
                <w:szCs w:val="21"/>
                <w:highlight w:val="none"/>
              </w:rPr>
              <w:t>.5</w:t>
            </w:r>
          </w:p>
        </w:tc>
        <w:tc>
          <w:tcPr>
            <w:tcW w:w="777" w:type="dxa"/>
            <w:tcBorders>
              <w:tl2br w:val="nil"/>
              <w:tr2bl w:val="nil"/>
            </w:tcBorders>
            <w:vAlign w:val="center"/>
          </w:tcPr>
          <w:p w14:paraId="1597DB79">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1.2</w:t>
            </w:r>
          </w:p>
        </w:tc>
        <w:tc>
          <w:tcPr>
            <w:tcW w:w="777" w:type="dxa"/>
            <w:tcBorders>
              <w:tl2br w:val="nil"/>
              <w:tr2bl w:val="nil"/>
            </w:tcBorders>
            <w:vAlign w:val="center"/>
          </w:tcPr>
          <w:p w14:paraId="12990D5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2.</w:t>
            </w:r>
            <w:r>
              <w:rPr>
                <w:rFonts w:hint="default" w:ascii="Times New Roman" w:hAnsi="Times New Roman" w:eastAsia="宋体" w:cs="Times New Roman"/>
                <w:color w:val="000000" w:themeColor="text1"/>
                <w:spacing w:val="2"/>
                <w:sz w:val="21"/>
                <w:szCs w:val="21"/>
                <w:highlight w:val="none"/>
              </w:rPr>
              <w:t>2</w:t>
            </w:r>
          </w:p>
        </w:tc>
        <w:tc>
          <w:tcPr>
            <w:tcW w:w="777" w:type="dxa"/>
            <w:tcBorders>
              <w:tl2br w:val="nil"/>
              <w:tr2bl w:val="nil"/>
            </w:tcBorders>
            <w:vAlign w:val="center"/>
          </w:tcPr>
          <w:p w14:paraId="273FDEF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4.2</w:t>
            </w:r>
          </w:p>
        </w:tc>
        <w:tc>
          <w:tcPr>
            <w:tcW w:w="777" w:type="dxa"/>
            <w:tcBorders>
              <w:tl2br w:val="nil"/>
              <w:tr2bl w:val="nil"/>
            </w:tcBorders>
            <w:vAlign w:val="center"/>
          </w:tcPr>
          <w:p w14:paraId="08B694D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10</w:t>
            </w:r>
            <w:r>
              <w:rPr>
                <w:rFonts w:hint="default" w:ascii="Times New Roman" w:hAnsi="Times New Roman" w:eastAsia="宋体" w:cs="Times New Roman"/>
                <w:color w:val="000000" w:themeColor="text1"/>
                <w:sz w:val="21"/>
                <w:szCs w:val="21"/>
                <w:highlight w:val="none"/>
              </w:rPr>
              <w:t>.8</w:t>
            </w:r>
          </w:p>
        </w:tc>
        <w:tc>
          <w:tcPr>
            <w:tcW w:w="777" w:type="dxa"/>
            <w:tcBorders>
              <w:tl2br w:val="nil"/>
              <w:tr2bl w:val="nil"/>
            </w:tcBorders>
            <w:vAlign w:val="center"/>
          </w:tcPr>
          <w:p w14:paraId="7A0C47F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3</w:t>
            </w:r>
            <w:r>
              <w:rPr>
                <w:rFonts w:hint="default" w:ascii="Times New Roman" w:hAnsi="Times New Roman" w:eastAsia="宋体" w:cs="Times New Roman"/>
                <w:color w:val="000000" w:themeColor="text1"/>
                <w:spacing w:val="2"/>
                <w:sz w:val="21"/>
                <w:szCs w:val="21"/>
                <w:highlight w:val="none"/>
              </w:rPr>
              <w:t>6.2</w:t>
            </w:r>
          </w:p>
        </w:tc>
        <w:tc>
          <w:tcPr>
            <w:tcW w:w="805" w:type="dxa"/>
            <w:tcBorders>
              <w:tl2br w:val="nil"/>
              <w:tr2bl w:val="nil"/>
            </w:tcBorders>
            <w:vAlign w:val="center"/>
          </w:tcPr>
          <w:p w14:paraId="03591FA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129.0</w:t>
            </w:r>
          </w:p>
        </w:tc>
      </w:tr>
      <w:tr w14:paraId="46E8B454">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931" w:type="dxa"/>
            <w:tcBorders>
              <w:tl2br w:val="nil"/>
              <w:tr2bl w:val="nil"/>
            </w:tcBorders>
            <w:vAlign w:val="center"/>
          </w:tcPr>
          <w:p w14:paraId="31182C2A">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1</w:t>
            </w:r>
            <w:r>
              <w:rPr>
                <w:rFonts w:hint="default" w:ascii="Times New Roman" w:hAnsi="Times New Roman" w:eastAsia="宋体" w:cs="Times New Roman"/>
                <w:color w:val="000000" w:themeColor="text1"/>
                <w:spacing w:val="-7"/>
                <w:sz w:val="21"/>
                <w:szCs w:val="21"/>
                <w:highlight w:val="none"/>
              </w:rPr>
              <w:t>5</w:t>
            </w:r>
          </w:p>
        </w:tc>
        <w:tc>
          <w:tcPr>
            <w:tcW w:w="1350" w:type="dxa"/>
            <w:tcBorders>
              <w:tl2br w:val="nil"/>
              <w:tr2bl w:val="nil"/>
            </w:tcBorders>
            <w:vAlign w:val="center"/>
          </w:tcPr>
          <w:p w14:paraId="41A1B2B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8</w:t>
            </w:r>
            <w:r>
              <w:rPr>
                <w:rFonts w:hint="default" w:ascii="Times New Roman" w:hAnsi="Times New Roman" w:eastAsia="宋体" w:cs="Times New Roman"/>
                <w:color w:val="000000" w:themeColor="text1"/>
                <w:spacing w:val="-1"/>
                <w:sz w:val="21"/>
                <w:szCs w:val="21"/>
                <w:highlight w:val="none"/>
              </w:rPr>
              <w:t>0</w:t>
            </w:r>
          </w:p>
        </w:tc>
        <w:tc>
          <w:tcPr>
            <w:tcW w:w="774" w:type="dxa"/>
            <w:tcBorders>
              <w:tl2br w:val="nil"/>
              <w:tr2bl w:val="nil"/>
            </w:tcBorders>
            <w:vAlign w:val="center"/>
          </w:tcPr>
          <w:p w14:paraId="02D5E495">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9"/>
                <w:sz w:val="21"/>
                <w:szCs w:val="21"/>
                <w:highlight w:val="none"/>
              </w:rPr>
              <w:t>0</w:t>
            </w:r>
            <w:r>
              <w:rPr>
                <w:rFonts w:hint="default" w:ascii="Times New Roman" w:hAnsi="Times New Roman" w:eastAsia="宋体" w:cs="Times New Roman"/>
                <w:color w:val="000000" w:themeColor="text1"/>
                <w:spacing w:val="8"/>
                <w:sz w:val="21"/>
                <w:szCs w:val="21"/>
                <w:highlight w:val="none"/>
              </w:rPr>
              <w:t>.1</w:t>
            </w:r>
          </w:p>
        </w:tc>
        <w:tc>
          <w:tcPr>
            <w:tcW w:w="774" w:type="dxa"/>
            <w:tcBorders>
              <w:tl2br w:val="nil"/>
              <w:tr2bl w:val="nil"/>
            </w:tcBorders>
            <w:vAlign w:val="center"/>
          </w:tcPr>
          <w:p w14:paraId="1469666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0.3</w:t>
            </w:r>
          </w:p>
        </w:tc>
        <w:tc>
          <w:tcPr>
            <w:tcW w:w="777" w:type="dxa"/>
            <w:tcBorders>
              <w:tl2br w:val="nil"/>
              <w:tr2bl w:val="nil"/>
            </w:tcBorders>
            <w:vAlign w:val="center"/>
          </w:tcPr>
          <w:p w14:paraId="7706DC90">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1</w:t>
            </w:r>
            <w:r>
              <w:rPr>
                <w:rFonts w:hint="default" w:ascii="Times New Roman" w:hAnsi="Times New Roman" w:eastAsia="宋体" w:cs="Times New Roman"/>
                <w:color w:val="000000" w:themeColor="text1"/>
                <w:spacing w:val="2"/>
                <w:sz w:val="21"/>
                <w:szCs w:val="21"/>
                <w:highlight w:val="none"/>
              </w:rPr>
              <w:t>.1</w:t>
            </w:r>
          </w:p>
        </w:tc>
        <w:tc>
          <w:tcPr>
            <w:tcW w:w="777" w:type="dxa"/>
            <w:tcBorders>
              <w:tl2br w:val="nil"/>
              <w:tr2bl w:val="nil"/>
            </w:tcBorders>
            <w:vAlign w:val="center"/>
          </w:tcPr>
          <w:p w14:paraId="6EE7282D">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2.</w:t>
            </w:r>
            <w:r>
              <w:rPr>
                <w:rFonts w:hint="default" w:ascii="Times New Roman" w:hAnsi="Times New Roman" w:eastAsia="宋体" w:cs="Times New Roman"/>
                <w:color w:val="000000" w:themeColor="text1"/>
                <w:spacing w:val="2"/>
                <w:sz w:val="21"/>
                <w:szCs w:val="21"/>
                <w:highlight w:val="none"/>
              </w:rPr>
              <w:t>4</w:t>
            </w:r>
          </w:p>
        </w:tc>
        <w:tc>
          <w:tcPr>
            <w:tcW w:w="777" w:type="dxa"/>
            <w:tcBorders>
              <w:tl2br w:val="nil"/>
              <w:tr2bl w:val="nil"/>
            </w:tcBorders>
            <w:vAlign w:val="center"/>
          </w:tcPr>
          <w:p w14:paraId="330F1AA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0"/>
                <w:sz w:val="21"/>
                <w:szCs w:val="21"/>
                <w:highlight w:val="none"/>
              </w:rPr>
              <w:t>4.</w:t>
            </w:r>
            <w:r>
              <w:rPr>
                <w:rFonts w:hint="default" w:ascii="Times New Roman" w:hAnsi="Times New Roman" w:eastAsia="宋体" w:cs="Times New Roman"/>
                <w:color w:val="000000" w:themeColor="text1"/>
                <w:spacing w:val="9"/>
                <w:sz w:val="21"/>
                <w:szCs w:val="21"/>
                <w:highlight w:val="none"/>
              </w:rPr>
              <w:t>1</w:t>
            </w:r>
          </w:p>
        </w:tc>
        <w:tc>
          <w:tcPr>
            <w:tcW w:w="777" w:type="dxa"/>
            <w:tcBorders>
              <w:tl2br w:val="nil"/>
              <w:tr2bl w:val="nil"/>
            </w:tcBorders>
            <w:vAlign w:val="center"/>
          </w:tcPr>
          <w:p w14:paraId="35806EB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8</w:t>
            </w:r>
            <w:r>
              <w:rPr>
                <w:rFonts w:hint="default" w:ascii="Times New Roman" w:hAnsi="Times New Roman" w:eastAsia="宋体" w:cs="Times New Roman"/>
                <w:color w:val="000000" w:themeColor="text1"/>
                <w:spacing w:val="1"/>
                <w:sz w:val="21"/>
                <w:szCs w:val="21"/>
                <w:highlight w:val="none"/>
              </w:rPr>
              <w:t>.3</w:t>
            </w:r>
          </w:p>
        </w:tc>
        <w:tc>
          <w:tcPr>
            <w:tcW w:w="777" w:type="dxa"/>
            <w:tcBorders>
              <w:tl2br w:val="nil"/>
              <w:tr2bl w:val="nil"/>
            </w:tcBorders>
            <w:vAlign w:val="center"/>
          </w:tcPr>
          <w:p w14:paraId="0F04592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2</w:t>
            </w:r>
            <w:r>
              <w:rPr>
                <w:rFonts w:hint="default" w:ascii="Times New Roman" w:hAnsi="Times New Roman" w:eastAsia="宋体" w:cs="Times New Roman"/>
                <w:color w:val="000000" w:themeColor="text1"/>
                <w:spacing w:val="4"/>
                <w:sz w:val="21"/>
                <w:szCs w:val="21"/>
                <w:highlight w:val="none"/>
              </w:rPr>
              <w:t>3.7</w:t>
            </w:r>
          </w:p>
        </w:tc>
        <w:tc>
          <w:tcPr>
            <w:tcW w:w="805" w:type="dxa"/>
            <w:tcBorders>
              <w:tl2br w:val="nil"/>
              <w:tr2bl w:val="nil"/>
            </w:tcBorders>
            <w:vAlign w:val="center"/>
          </w:tcPr>
          <w:p w14:paraId="189656E7">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8</w:t>
            </w:r>
            <w:r>
              <w:rPr>
                <w:rFonts w:hint="default" w:ascii="Times New Roman" w:hAnsi="Times New Roman" w:eastAsia="宋体" w:cs="Times New Roman"/>
                <w:color w:val="000000" w:themeColor="text1"/>
                <w:spacing w:val="3"/>
                <w:sz w:val="21"/>
                <w:szCs w:val="21"/>
                <w:highlight w:val="none"/>
              </w:rPr>
              <w:t>2.8</w:t>
            </w:r>
          </w:p>
        </w:tc>
      </w:tr>
    </w:tbl>
    <w:p w14:paraId="6EE14764">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e 地面效应</w:t>
      </w:r>
      <w:r>
        <w:rPr>
          <w:rFonts w:hint="default" w:ascii="Times New Roman" w:hAnsi="Times New Roman" w:eastAsia="宋体" w:cs="Times New Roman"/>
          <w:color w:val="000000" w:themeColor="text1"/>
          <w:kern w:val="0"/>
          <w:sz w:val="24"/>
          <w:szCs w:val="24"/>
          <w:highlight w:val="none"/>
          <w:lang w:val="en-US" w:eastAsia="zh-CN" w:bidi="ar-SA"/>
        </w:rPr>
        <w:t>引起的</w:t>
      </w:r>
      <w:r>
        <w:rPr>
          <w:rFonts w:hint="eastAsia" w:ascii="Times New Roman" w:hAnsi="Times New Roman" w:eastAsia="宋体" w:cs="Times New Roman"/>
          <w:color w:val="000000" w:themeColor="text1"/>
          <w:kern w:val="0"/>
          <w:sz w:val="24"/>
          <w:szCs w:val="24"/>
          <w:highlight w:val="none"/>
          <w:lang w:val="en-US" w:eastAsia="zh-CN" w:bidi="ar-SA"/>
        </w:rPr>
        <w:t>衰减（Agr）</w:t>
      </w:r>
    </w:p>
    <w:p w14:paraId="19BD330B">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地面效应引起的倍频带衰减按下式计算：</w:t>
      </w:r>
    </w:p>
    <w:p w14:paraId="103A9D53">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fldChar w:fldCharType="begin"/>
      </w:r>
      <w:r>
        <w:rPr>
          <w:rFonts w:hint="eastAsia" w:ascii="Times New Roman" w:hAnsi="Times New Roman" w:eastAsia="宋体" w:cs="Times New Roman"/>
          <w:color w:val="000000" w:themeColor="text1"/>
          <w:kern w:val="0"/>
          <w:sz w:val="24"/>
          <w:szCs w:val="24"/>
          <w:highlight w:val="none"/>
          <w:lang w:val="en-US" w:eastAsia="zh-CN" w:bidi="ar-SA"/>
        </w:rPr>
        <w:instrText xml:space="preserve"> INCLUDEPICTURE "C:\\Users\\Administrator\\AppData\\Roaming\\Tencent\\Users\\807137012\\QQ\\WinTemp\\RichOle\\D{$7``][L[@%)1RPZG`0JJI.png" \* MERGEFORMATINET </w:instrText>
      </w:r>
      <w:r>
        <w:rPr>
          <w:rFonts w:hint="eastAsia" w:ascii="Times New Roman" w:hAnsi="Times New Roman" w:eastAsia="宋体" w:cs="Times New Roman"/>
          <w:color w:val="000000" w:themeColor="text1"/>
          <w:kern w:val="0"/>
          <w:sz w:val="24"/>
          <w:szCs w:val="24"/>
          <w:highlight w:val="none"/>
          <w:lang w:val="en-US" w:eastAsia="zh-CN" w:bidi="ar-SA"/>
        </w:rPr>
        <w:fldChar w:fldCharType="separate"/>
      </w: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1835150" cy="469265"/>
            <wp:effectExtent l="0" t="0" r="8890" b="3175"/>
            <wp:docPr id="19" name="图片 15" descr="D{$7``][L[@%)1RPZG`0J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descr="D{$7``][L[@%)1RPZG`0JJI"/>
                    <pic:cNvPicPr>
                      <a:picLocks noChangeAspect="1"/>
                    </pic:cNvPicPr>
                  </pic:nvPicPr>
                  <pic:blipFill>
                    <a:blip r:embed="rId66"/>
                    <a:stretch>
                      <a:fillRect/>
                    </a:stretch>
                  </pic:blipFill>
                  <pic:spPr>
                    <a:xfrm>
                      <a:off x="0" y="0"/>
                      <a:ext cx="1835150" cy="469265"/>
                    </a:xfrm>
                    <a:prstGeom prst="rect">
                      <a:avLst/>
                    </a:prstGeom>
                    <a:noFill/>
                    <a:ln>
                      <a:noFill/>
                    </a:ln>
                  </pic:spPr>
                </pic:pic>
              </a:graphicData>
            </a:graphic>
          </wp:inline>
        </w:drawing>
      </w:r>
      <w:r>
        <w:rPr>
          <w:rFonts w:hint="eastAsia" w:ascii="Times New Roman" w:hAnsi="Times New Roman" w:eastAsia="宋体" w:cs="Times New Roman"/>
          <w:color w:val="000000" w:themeColor="text1"/>
          <w:kern w:val="0"/>
          <w:sz w:val="24"/>
          <w:szCs w:val="24"/>
          <w:highlight w:val="none"/>
          <w:lang w:val="en-US" w:eastAsia="zh-CN" w:bidi="ar-SA"/>
        </w:rPr>
        <w:fldChar w:fldCharType="end"/>
      </w:r>
    </w:p>
    <w:p w14:paraId="7D706AB6">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式中：Agr—地面效应引起的衰减，dB；</w:t>
      </w:r>
    </w:p>
    <w:p w14:paraId="7C2F0666">
      <w:pPr>
        <w:widowControl/>
        <w:spacing w:line="360" w:lineRule="auto"/>
        <w:ind w:firstLine="1200" w:firstLineChars="5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r—预测点距声源的距离；</w:t>
      </w:r>
    </w:p>
    <w:p w14:paraId="120C4E1C">
      <w:pPr>
        <w:widowControl/>
        <w:spacing w:line="360" w:lineRule="auto"/>
        <w:ind w:firstLine="1200" w:firstLineChars="5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h</w:t>
      </w:r>
      <w:r>
        <w:rPr>
          <w:rFonts w:hint="eastAsia" w:ascii="Times New Roman" w:hAnsi="Times New Roman" w:eastAsia="宋体" w:cs="Times New Roman"/>
          <w:color w:val="000000" w:themeColor="text1"/>
          <w:kern w:val="0"/>
          <w:sz w:val="24"/>
          <w:szCs w:val="24"/>
          <w:highlight w:val="none"/>
          <w:vertAlign w:val="subscript"/>
          <w:lang w:val="en-US" w:eastAsia="zh-CN" w:bidi="ar-SA"/>
        </w:rPr>
        <w:t>m</w:t>
      </w:r>
      <w:r>
        <w:rPr>
          <w:rFonts w:hint="eastAsia" w:ascii="Times New Roman" w:hAnsi="Times New Roman" w:eastAsia="宋体" w:cs="Times New Roman"/>
          <w:color w:val="000000" w:themeColor="text1"/>
          <w:kern w:val="0"/>
          <w:sz w:val="24"/>
          <w:szCs w:val="24"/>
          <w:highlight w:val="none"/>
          <w:lang w:val="en-US" w:eastAsia="zh-CN" w:bidi="ar-SA"/>
        </w:rPr>
        <w:t>—传播路径的平均离地高度，m；若Agr计算出负值，则Agr可用“0”代替。本次评价传播路径的平均离地高度设置为1m。</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64E04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4" w:type="dxa"/>
            <w:tcBorders>
              <w:top w:val="nil"/>
              <w:left w:val="nil"/>
              <w:bottom w:val="nil"/>
              <w:right w:val="nil"/>
            </w:tcBorders>
            <w:noWrap w:val="0"/>
            <w:vAlign w:val="top"/>
          </w:tcPr>
          <w:p w14:paraId="03E1B0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olor w:val="000000" w:themeColor="text1"/>
                <w:highlight w:val="none"/>
                <w:lang w:val="en-US" w:eastAsia="zh-CN"/>
              </w:rPr>
            </w:pPr>
            <w:r>
              <w:rPr>
                <w:rFonts w:hint="default"/>
                <w:color w:val="000000" w:themeColor="text1"/>
                <w:highlight w:val="none"/>
                <w:lang w:val="en-US" w:eastAsia="zh-CN"/>
              </w:rPr>
              <w:drawing>
                <wp:inline distT="0" distB="0" distL="114300" distR="114300">
                  <wp:extent cx="3738245" cy="1746250"/>
                  <wp:effectExtent l="0" t="0" r="14605" b="6350"/>
                  <wp:docPr id="206"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420"/>
                          <pic:cNvPicPr>
                            <a:picLocks noChangeAspect="1"/>
                          </pic:cNvPicPr>
                        </pic:nvPicPr>
                        <pic:blipFill>
                          <a:blip r:embed="rId67"/>
                          <a:stretch>
                            <a:fillRect/>
                          </a:stretch>
                        </pic:blipFill>
                        <pic:spPr>
                          <a:xfrm>
                            <a:off x="0" y="0"/>
                            <a:ext cx="3738245" cy="1746250"/>
                          </a:xfrm>
                          <a:prstGeom prst="rect">
                            <a:avLst/>
                          </a:prstGeom>
                          <a:noFill/>
                          <a:ln>
                            <a:noFill/>
                          </a:ln>
                        </pic:spPr>
                      </pic:pic>
                    </a:graphicData>
                  </a:graphic>
                </wp:inline>
              </w:drawing>
            </w:r>
          </w:p>
        </w:tc>
      </w:tr>
      <w:tr w14:paraId="5DC55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14" w:type="dxa"/>
            <w:tcBorders>
              <w:top w:val="nil"/>
              <w:left w:val="nil"/>
              <w:bottom w:val="nil"/>
              <w:right w:val="nil"/>
            </w:tcBorders>
            <w:noWrap w:val="0"/>
            <w:vAlign w:val="top"/>
          </w:tcPr>
          <w:p w14:paraId="018DB966">
            <w:pPr>
              <w:pStyle w:val="138"/>
              <w:bidi w:val="0"/>
              <w:rPr>
                <w:rFonts w:hint="default"/>
                <w:color w:val="000000" w:themeColor="text1"/>
                <w:highlight w:val="none"/>
                <w:lang w:val="en-US" w:eastAsia="zh-CN"/>
              </w:rPr>
            </w:pPr>
            <w:r>
              <w:rPr>
                <w:rFonts w:hint="default"/>
                <w:b/>
                <w:color w:val="000000" w:themeColor="text1"/>
                <w:sz w:val="24"/>
                <w:szCs w:val="24"/>
                <w:highlight w:val="none"/>
                <w:lang w:val="en-US" w:eastAsia="zh-CN"/>
              </w:rPr>
              <w:t>图5.2-</w:t>
            </w:r>
            <w:r>
              <w:rPr>
                <w:rFonts w:hint="eastAsia"/>
                <w:b/>
                <w:color w:val="000000" w:themeColor="text1"/>
                <w:sz w:val="24"/>
                <w:szCs w:val="24"/>
                <w:highlight w:val="none"/>
                <w:lang w:val="en-US" w:eastAsia="zh-CN"/>
              </w:rPr>
              <w:t>2</w:t>
            </w:r>
            <w:r>
              <w:rPr>
                <w:rFonts w:hint="default"/>
                <w:color w:val="000000" w:themeColor="text1"/>
                <w:sz w:val="24"/>
                <w:szCs w:val="24"/>
                <w:highlight w:val="none"/>
                <w:lang w:val="en-US" w:eastAsia="zh-CN"/>
              </w:rPr>
              <w:t xml:space="preserve"> </w:t>
            </w:r>
            <w:r>
              <w:rPr>
                <w:rFonts w:hint="eastAsia"/>
                <w:color w:val="000000" w:themeColor="text1"/>
                <w:sz w:val="24"/>
                <w:szCs w:val="24"/>
                <w:highlight w:val="none"/>
                <w:lang w:val="en-US" w:eastAsia="zh-CN"/>
              </w:rPr>
              <w:t xml:space="preserve"> </w:t>
            </w:r>
            <w:r>
              <w:rPr>
                <w:rFonts w:hint="default" w:ascii="Times New Roman" w:hAnsi="Times New Roman" w:cs="Times New Roman"/>
                <w:b/>
                <w:color w:val="000000" w:themeColor="text1"/>
                <w:sz w:val="24"/>
                <w:szCs w:val="24"/>
                <w:highlight w:val="none"/>
                <w:lang w:val="en-US" w:eastAsia="zh-CN"/>
              </w:rPr>
              <w:t>估计平均高度hm的方法</w:t>
            </w:r>
          </w:p>
        </w:tc>
      </w:tr>
    </w:tbl>
    <w:p w14:paraId="2F0AB38F">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f 遮挡</w:t>
      </w:r>
      <w:r>
        <w:rPr>
          <w:rFonts w:hint="default" w:ascii="Times New Roman" w:hAnsi="Times New Roman" w:eastAsia="宋体" w:cs="Times New Roman"/>
          <w:color w:val="000000" w:themeColor="text1"/>
          <w:kern w:val="0"/>
          <w:sz w:val="24"/>
          <w:szCs w:val="24"/>
          <w:highlight w:val="none"/>
          <w:lang w:val="en-US" w:eastAsia="zh-CN" w:bidi="ar-SA"/>
        </w:rPr>
        <w:t>物引起的衰减</w:t>
      </w:r>
      <w:r>
        <w:rPr>
          <w:rFonts w:hint="eastAsia" w:ascii="Times New Roman" w:hAnsi="Times New Roman" w:eastAsia="宋体" w:cs="Times New Roman"/>
          <w:color w:val="000000" w:themeColor="text1"/>
          <w:kern w:val="0"/>
          <w:sz w:val="24"/>
          <w:szCs w:val="24"/>
          <w:highlight w:val="none"/>
          <w:lang w:val="en-US" w:eastAsia="zh-CN" w:bidi="ar-SA"/>
        </w:rPr>
        <w:t>量</w:t>
      </w:r>
      <w:r>
        <w:rPr>
          <w:rFonts w:hint="default" w:ascii="Times New Roman" w:hAnsi="Times New Roman" w:eastAsia="宋体" w:cs="Times New Roman"/>
          <w:color w:val="000000" w:themeColor="text1"/>
          <w:kern w:val="0"/>
          <w:sz w:val="24"/>
          <w:szCs w:val="24"/>
          <w:highlight w:val="none"/>
          <w:lang w:val="en-US" w:eastAsia="zh-CN" w:bidi="ar-SA"/>
        </w:rPr>
        <w:t>（Abar）</w:t>
      </w:r>
    </w:p>
    <w:p w14:paraId="742B0ED1">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遮挡物引起的</w:t>
      </w:r>
      <w:r>
        <w:rPr>
          <w:rFonts w:hint="eastAsia" w:ascii="Times New Roman" w:hAnsi="Times New Roman" w:eastAsia="宋体" w:cs="Times New Roman"/>
          <w:color w:val="000000" w:themeColor="text1"/>
          <w:kern w:val="0"/>
          <w:sz w:val="24"/>
          <w:szCs w:val="24"/>
          <w:highlight w:val="none"/>
          <w:lang w:val="en-US" w:eastAsia="zh-CN" w:bidi="ar-SA"/>
        </w:rPr>
        <w:t>的衰减量可按下式计算：</w:t>
      </w:r>
    </w:p>
    <w:p w14:paraId="414B124F">
      <w:pPr>
        <w:widowControl/>
        <w:spacing w:line="360" w:lineRule="auto"/>
        <w:ind w:firstLine="480" w:firstLineChars="200"/>
        <w:jc w:val="center"/>
        <w:rPr>
          <w:rFonts w:hint="default" w:ascii="Times New Roman" w:hAnsi="Times New Roman" w:eastAsia="宋体" w:cs="Times New Roman"/>
          <w:color w:val="000000" w:themeColor="text1"/>
          <w:kern w:val="0"/>
          <w:sz w:val="24"/>
          <w:szCs w:val="24"/>
          <w:highlight w:val="none"/>
          <w:vertAlign w:val="baseli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A̍</w:t>
      </w:r>
      <w:r>
        <w:rPr>
          <w:rFonts w:hint="eastAsia" w:ascii="Times New Roman" w:hAnsi="Times New Roman" w:eastAsia="宋体" w:cs="Times New Roman"/>
          <w:color w:val="000000" w:themeColor="text1"/>
          <w:kern w:val="0"/>
          <w:sz w:val="24"/>
          <w:szCs w:val="24"/>
          <w:highlight w:val="none"/>
          <w:vertAlign w:val="subscript"/>
          <w:lang w:val="en-US" w:eastAsia="zh-CN" w:bidi="ar-SA"/>
        </w:rPr>
        <w:t>bar</w:t>
      </w:r>
      <w:r>
        <w:rPr>
          <w:rFonts w:hint="eastAsia" w:cs="Times New Roman"/>
          <w:color w:val="000000" w:themeColor="text1"/>
          <w:kern w:val="0"/>
          <w:sz w:val="24"/>
          <w:szCs w:val="24"/>
          <w:highlight w:val="none"/>
          <w:vertAlign w:val="baseline"/>
          <w:lang w:val="en-US" w:eastAsia="zh-CN" w:bidi="ar-SA"/>
        </w:rPr>
        <w:t>=</w:t>
      </w: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建筑物</w:t>
      </w:r>
      <w:r>
        <w:rPr>
          <w:rFonts w:hint="eastAsia" w:cs="Times New Roman"/>
          <w:color w:val="000000" w:themeColor="text1"/>
          <w:kern w:val="0"/>
          <w:sz w:val="24"/>
          <w:szCs w:val="24"/>
          <w:highlight w:val="none"/>
          <w:lang w:val="en-US" w:eastAsia="zh-CN" w:bidi="ar-SA"/>
        </w:rPr>
        <w:t>+</w:t>
      </w: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声影区</w:t>
      </w:r>
    </w:p>
    <w:p w14:paraId="379B3147">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式中：A̍</w:t>
      </w:r>
      <w:r>
        <w:rPr>
          <w:rFonts w:hint="eastAsia" w:ascii="Times New Roman" w:hAnsi="Times New Roman" w:eastAsia="宋体" w:cs="Times New Roman"/>
          <w:color w:val="000000" w:themeColor="text1"/>
          <w:kern w:val="0"/>
          <w:sz w:val="24"/>
          <w:szCs w:val="24"/>
          <w:highlight w:val="none"/>
          <w:vertAlign w:val="subscript"/>
          <w:lang w:val="en-US" w:eastAsia="zh-CN" w:bidi="ar-SA"/>
        </w:rPr>
        <w:t>bar</w:t>
      </w:r>
      <w:r>
        <w:rPr>
          <w:rFonts w:hint="eastAsia" w:ascii="Times New Roman" w:hAnsi="Times New Roman" w:eastAsia="宋体" w:cs="Times New Roman"/>
          <w:color w:val="000000" w:themeColor="text1"/>
          <w:kern w:val="0"/>
          <w:sz w:val="24"/>
          <w:szCs w:val="24"/>
          <w:highlight w:val="none"/>
          <w:lang w:val="en-US" w:eastAsia="zh-CN" w:bidi="ar-SA"/>
        </w:rPr>
        <w:t>—</w:t>
      </w:r>
      <w:r>
        <w:rPr>
          <w:rFonts w:hint="eastAsia" w:cs="Times New Roman"/>
          <w:color w:val="000000" w:themeColor="text1"/>
          <w:kern w:val="0"/>
          <w:sz w:val="24"/>
          <w:szCs w:val="24"/>
          <w:highlight w:val="none"/>
          <w:lang w:val="en-US" w:eastAsia="zh-CN" w:bidi="ar-SA"/>
        </w:rPr>
        <w:t>遮挡物引起的衰减量</w:t>
      </w:r>
      <w:r>
        <w:rPr>
          <w:rFonts w:hint="eastAsia" w:ascii="Times New Roman" w:hAnsi="Times New Roman" w:eastAsia="宋体" w:cs="Times New Roman"/>
          <w:color w:val="000000" w:themeColor="text1"/>
          <w:kern w:val="0"/>
          <w:sz w:val="24"/>
          <w:szCs w:val="24"/>
          <w:highlight w:val="none"/>
          <w:lang w:val="en-US" w:eastAsia="zh-CN" w:bidi="ar-SA"/>
        </w:rPr>
        <w:t>，dB</w:t>
      </w:r>
      <w:r>
        <w:rPr>
          <w:rFonts w:hint="eastAsia" w:cs="Times New Roman"/>
          <w:color w:val="000000" w:themeColor="text1"/>
          <w:kern w:val="0"/>
          <w:sz w:val="24"/>
          <w:szCs w:val="24"/>
          <w:highlight w:val="none"/>
          <w:lang w:val="en-US" w:eastAsia="zh-CN" w:bidi="ar-SA"/>
        </w:rPr>
        <w:t>（A）</w:t>
      </w:r>
      <w:r>
        <w:rPr>
          <w:rFonts w:hint="eastAsia" w:ascii="Times New Roman" w:hAnsi="Times New Roman" w:eastAsia="宋体" w:cs="Times New Roman"/>
          <w:color w:val="000000" w:themeColor="text1"/>
          <w:kern w:val="0"/>
          <w:sz w:val="24"/>
          <w:szCs w:val="24"/>
          <w:highlight w:val="none"/>
          <w:lang w:val="en-US" w:eastAsia="zh-CN" w:bidi="ar-SA"/>
        </w:rPr>
        <w:t>；</w:t>
      </w:r>
    </w:p>
    <w:p w14:paraId="79D2C8C2">
      <w:pPr>
        <w:widowControl/>
        <w:spacing w:line="360" w:lineRule="auto"/>
        <w:ind w:firstLine="1200" w:firstLineChars="5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建筑物</w:t>
      </w:r>
      <w:r>
        <w:rPr>
          <w:rFonts w:hint="eastAsia" w:ascii="Times New Roman" w:hAnsi="Times New Roman" w:eastAsia="宋体" w:cs="Times New Roman"/>
          <w:color w:val="000000" w:themeColor="text1"/>
          <w:kern w:val="0"/>
          <w:sz w:val="24"/>
          <w:szCs w:val="24"/>
          <w:highlight w:val="none"/>
          <w:lang w:val="en-US" w:eastAsia="zh-CN" w:bidi="ar-SA"/>
        </w:rPr>
        <w:t>—</w:t>
      </w:r>
      <w:r>
        <w:rPr>
          <w:rFonts w:hint="eastAsia" w:cs="Times New Roman"/>
          <w:color w:val="000000" w:themeColor="text1"/>
          <w:kern w:val="0"/>
          <w:sz w:val="24"/>
          <w:szCs w:val="24"/>
          <w:highlight w:val="none"/>
          <w:lang w:val="en-US" w:eastAsia="zh-CN" w:bidi="ar-SA"/>
        </w:rPr>
        <w:t>建筑物引起的衰减量</w:t>
      </w:r>
      <w:r>
        <w:rPr>
          <w:rFonts w:hint="eastAsia" w:ascii="Times New Roman" w:hAnsi="Times New Roman" w:eastAsia="宋体" w:cs="Times New Roman"/>
          <w:color w:val="000000" w:themeColor="text1"/>
          <w:kern w:val="0"/>
          <w:sz w:val="24"/>
          <w:szCs w:val="24"/>
          <w:highlight w:val="none"/>
          <w:lang w:val="en-US" w:eastAsia="zh-CN" w:bidi="ar-SA"/>
        </w:rPr>
        <w:t>，dB</w:t>
      </w:r>
      <w:r>
        <w:rPr>
          <w:rFonts w:hint="eastAsia" w:cs="Times New Roman"/>
          <w:color w:val="000000" w:themeColor="text1"/>
          <w:kern w:val="0"/>
          <w:sz w:val="24"/>
          <w:szCs w:val="24"/>
          <w:highlight w:val="none"/>
          <w:lang w:val="en-US" w:eastAsia="zh-CN" w:bidi="ar-SA"/>
        </w:rPr>
        <w:t>（A）</w:t>
      </w:r>
      <w:r>
        <w:rPr>
          <w:rFonts w:hint="eastAsia" w:ascii="Times New Roman" w:hAnsi="Times New Roman" w:eastAsia="宋体" w:cs="Times New Roman"/>
          <w:color w:val="000000" w:themeColor="text1"/>
          <w:kern w:val="0"/>
          <w:sz w:val="24"/>
          <w:szCs w:val="24"/>
          <w:highlight w:val="none"/>
          <w:lang w:val="en-US" w:eastAsia="zh-CN" w:bidi="ar-SA"/>
        </w:rPr>
        <w:t>；</w:t>
      </w:r>
    </w:p>
    <w:p w14:paraId="2987662C">
      <w:pPr>
        <w:widowControl/>
        <w:spacing w:line="360" w:lineRule="auto"/>
        <w:ind w:firstLine="1200" w:firstLineChars="500"/>
        <w:rPr>
          <w:rFonts w:hint="eastAsia"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声影区</w:t>
      </w:r>
      <w:r>
        <w:rPr>
          <w:rFonts w:hint="eastAsia" w:ascii="Times New Roman" w:hAnsi="Times New Roman" w:eastAsia="宋体" w:cs="Times New Roman"/>
          <w:color w:val="000000" w:themeColor="text1"/>
          <w:kern w:val="0"/>
          <w:sz w:val="24"/>
          <w:szCs w:val="24"/>
          <w:highlight w:val="none"/>
          <w:lang w:val="en-US" w:eastAsia="zh-CN" w:bidi="ar-SA"/>
        </w:rPr>
        <w:t>—</w:t>
      </w:r>
      <w:r>
        <w:rPr>
          <w:rFonts w:hint="eastAsia" w:cs="Times New Roman"/>
          <w:color w:val="000000" w:themeColor="text1"/>
          <w:kern w:val="0"/>
          <w:sz w:val="24"/>
          <w:szCs w:val="24"/>
          <w:highlight w:val="none"/>
          <w:lang w:val="en-US" w:eastAsia="zh-CN" w:bidi="ar-SA"/>
        </w:rPr>
        <w:t>路堤和路堑引起的衰减量</w:t>
      </w:r>
      <w:r>
        <w:rPr>
          <w:rFonts w:hint="eastAsia" w:ascii="Times New Roman" w:hAnsi="Times New Roman" w:eastAsia="宋体" w:cs="Times New Roman"/>
          <w:color w:val="000000" w:themeColor="text1"/>
          <w:kern w:val="0"/>
          <w:sz w:val="24"/>
          <w:szCs w:val="24"/>
          <w:highlight w:val="none"/>
          <w:lang w:val="en-US" w:eastAsia="zh-CN" w:bidi="ar-SA"/>
        </w:rPr>
        <w:t>，dB</w:t>
      </w:r>
      <w:r>
        <w:rPr>
          <w:rFonts w:hint="eastAsia" w:cs="Times New Roman"/>
          <w:color w:val="000000" w:themeColor="text1"/>
          <w:kern w:val="0"/>
          <w:sz w:val="24"/>
          <w:szCs w:val="24"/>
          <w:highlight w:val="none"/>
          <w:lang w:val="en-US" w:eastAsia="zh-CN" w:bidi="ar-SA"/>
        </w:rPr>
        <w:t>（A）。</w:t>
      </w:r>
    </w:p>
    <w:p w14:paraId="36403532">
      <w:pPr>
        <w:widowControl/>
        <w:spacing w:line="360" w:lineRule="auto"/>
        <w:ind w:firstLine="1200" w:firstLineChars="500"/>
        <w:rPr>
          <w:rFonts w:hint="eastAsia"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a）建筑物引起的衰减量（</w:t>
      </w: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建筑物</w:t>
      </w:r>
      <w:r>
        <w:rPr>
          <w:rFonts w:hint="eastAsia" w:cs="Times New Roman"/>
          <w:color w:val="000000" w:themeColor="text1"/>
          <w:kern w:val="0"/>
          <w:sz w:val="24"/>
          <w:szCs w:val="24"/>
          <w:highlight w:val="none"/>
          <w:lang w:val="en-US" w:eastAsia="zh-CN" w:bidi="ar-SA"/>
        </w:rPr>
        <w:t>）</w:t>
      </w:r>
    </w:p>
    <w:p w14:paraId="05483025">
      <w:pPr>
        <w:widowControl/>
        <w:spacing w:line="360" w:lineRule="auto"/>
        <w:ind w:firstLine="1200" w:firstLineChars="500"/>
        <w:rPr>
          <w:rFonts w:hint="default"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建筑物引起的衰减量可参照GB/T17247.2附录A3计算，在沿公路第一排房屋声影区范围内，可按附图B.3和表B.4计算。</w:t>
      </w:r>
    </w:p>
    <w:p w14:paraId="1195AEEC">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3348990" cy="1624965"/>
            <wp:effectExtent l="0" t="0" r="3810" b="5715"/>
            <wp:docPr id="26" name="图片 26" descr="b90c9544-4fbf-4a3e-bf6e-26907eec1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b90c9544-4fbf-4a3e-bf6e-26907eec1e6d"/>
                    <pic:cNvPicPr>
                      <a:picLocks noChangeAspect="1"/>
                    </pic:cNvPicPr>
                  </pic:nvPicPr>
                  <pic:blipFill>
                    <a:blip r:embed="rId68"/>
                    <a:stretch>
                      <a:fillRect/>
                    </a:stretch>
                  </pic:blipFill>
                  <pic:spPr>
                    <a:xfrm>
                      <a:off x="0" y="0"/>
                      <a:ext cx="3348990" cy="1624965"/>
                    </a:xfrm>
                    <a:prstGeom prst="rect">
                      <a:avLst/>
                    </a:prstGeom>
                  </pic:spPr>
                </pic:pic>
              </a:graphicData>
            </a:graphic>
          </wp:inline>
        </w:drawing>
      </w:r>
    </w:p>
    <w:p w14:paraId="75C2AA26">
      <w:pPr>
        <w:widowControl/>
        <w:spacing w:line="360" w:lineRule="auto"/>
        <w:ind w:firstLine="480" w:firstLineChars="200"/>
        <w:jc w:val="left"/>
        <w:rPr>
          <w:rFonts w:hint="eastAsia"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注1：第一排房屋面积=S+S1+S2+……Sn</w:t>
      </w:r>
    </w:p>
    <w:p w14:paraId="44996C44">
      <w:pPr>
        <w:widowControl/>
        <w:spacing w:line="360" w:lineRule="auto"/>
        <w:ind w:firstLine="480" w:firstLineChars="200"/>
        <w:jc w:val="left"/>
        <w:rPr>
          <w:rFonts w:hint="default"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注2：S0为接受点对房屋张角至行车线三角形的面积</w:t>
      </w:r>
    </w:p>
    <w:p w14:paraId="0940D4E0">
      <w:pPr>
        <w:pageBreakBefore w:val="0"/>
        <w:wordWrap/>
        <w:topLinePunct w:val="0"/>
        <w:bidi w:val="0"/>
        <w:spacing w:line="360" w:lineRule="auto"/>
        <w:ind w:firstLine="482"/>
        <w:jc w:val="center"/>
        <w:rPr>
          <w:rFonts w:hint="default"/>
          <w:b/>
          <w:color w:val="000000" w:themeColor="text1"/>
          <w:highlight w:val="none"/>
          <w:lang w:val="en-US" w:eastAsia="zh-CN"/>
        </w:rPr>
      </w:pPr>
      <w:r>
        <w:rPr>
          <w:rFonts w:hint="eastAsia"/>
          <w:b/>
          <w:color w:val="000000" w:themeColor="text1"/>
          <w:highlight w:val="none"/>
          <w:lang w:val="en-US" w:eastAsia="zh-CN"/>
        </w:rPr>
        <w:t>图5.2-3  建筑物引起的衰减量计算示意图</w:t>
      </w:r>
    </w:p>
    <w:p w14:paraId="6938E136">
      <w:pPr>
        <w:pageBreakBefore w:val="0"/>
        <w:wordWrap/>
        <w:topLinePunct w:val="0"/>
        <w:bidi w:val="0"/>
        <w:spacing w:line="360" w:lineRule="auto"/>
        <w:ind w:left="0" w:leftChars="0" w:firstLine="0" w:firstLineChars="0"/>
        <w:jc w:val="center"/>
        <w:rPr>
          <w:b/>
          <w:color w:val="000000" w:themeColor="text1"/>
          <w:highlight w:val="none"/>
        </w:rPr>
      </w:pPr>
      <w:r>
        <w:rPr>
          <w:b/>
          <w:color w:val="000000" w:themeColor="text1"/>
          <w:highlight w:val="none"/>
        </w:rPr>
        <w:t>表5.</w:t>
      </w:r>
      <w:r>
        <w:rPr>
          <w:rFonts w:hint="eastAsia"/>
          <w:b/>
          <w:color w:val="000000" w:themeColor="text1"/>
          <w:highlight w:val="none"/>
        </w:rPr>
        <w:t>2</w:t>
      </w:r>
      <w:r>
        <w:rPr>
          <w:b/>
          <w:color w:val="000000" w:themeColor="text1"/>
          <w:highlight w:val="none"/>
        </w:rPr>
        <w:t>-</w:t>
      </w:r>
      <w:r>
        <w:rPr>
          <w:rFonts w:hint="eastAsia"/>
          <w:b/>
          <w:color w:val="000000" w:themeColor="text1"/>
          <w:highlight w:val="none"/>
          <w:lang w:val="en-US" w:eastAsia="zh-CN"/>
        </w:rPr>
        <w:t xml:space="preserve">5 </w:t>
      </w:r>
      <w:r>
        <w:rPr>
          <w:b/>
          <w:color w:val="000000" w:themeColor="text1"/>
          <w:highlight w:val="none"/>
        </w:rPr>
        <w:t xml:space="preserve"> 倍频带噪声的大气吸收系数衰减系数 </w:t>
      </w:r>
      <w:r>
        <w:rPr>
          <w:b/>
          <w:i/>
          <w:iCs/>
          <w:color w:val="000000" w:themeColor="text1"/>
          <w:highlight w:val="none"/>
        </w:rPr>
        <w:t>a</w:t>
      </w:r>
    </w:p>
    <w:tbl>
      <w:tblPr>
        <w:tblStyle w:val="132"/>
        <w:tblW w:w="5028" w:type="pct"/>
        <w:jc w:val="center"/>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autofit"/>
        <w:tblCellMar>
          <w:top w:w="0" w:type="dxa"/>
          <w:left w:w="0" w:type="dxa"/>
          <w:bottom w:w="0" w:type="dxa"/>
          <w:right w:w="0" w:type="dxa"/>
        </w:tblCellMar>
      </w:tblPr>
      <w:tblGrid>
        <w:gridCol w:w="3415"/>
        <w:gridCol w:w="4954"/>
      </w:tblGrid>
      <w:tr w14:paraId="475E61F5">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040" w:type="pct"/>
            <w:tcBorders>
              <w:tl2br w:val="nil"/>
              <w:tr2bl w:val="nil"/>
            </w:tcBorders>
            <w:vAlign w:val="center"/>
          </w:tcPr>
          <w:p w14:paraId="0A0F782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S/S0</w:t>
            </w:r>
          </w:p>
        </w:tc>
        <w:tc>
          <w:tcPr>
            <w:tcW w:w="2959" w:type="pct"/>
            <w:tcBorders>
              <w:tl2br w:val="nil"/>
              <w:tr2bl w:val="nil"/>
            </w:tcBorders>
            <w:vAlign w:val="center"/>
          </w:tcPr>
          <w:p w14:paraId="25E7937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1"/>
                <w:sz w:val="21"/>
                <w:szCs w:val="21"/>
                <w:highlight w:val="none"/>
              </w:rPr>
            </w:pPr>
            <w:r>
              <w:rPr>
                <w:rFonts w:hint="default" w:ascii="Times New Roman" w:hAnsi="Times New Roman" w:eastAsia="宋体" w:cs="Times New Roman"/>
                <w:color w:val="000000" w:themeColor="text1"/>
                <w:spacing w:val="1"/>
                <w:sz w:val="21"/>
                <w:szCs w:val="21"/>
                <w:highlight w:val="none"/>
              </w:rPr>
              <w:t>衰减量ΔL</w:t>
            </w:r>
            <w:r>
              <w:rPr>
                <w:rFonts w:hint="default" w:ascii="Times New Roman" w:hAnsi="Times New Roman" w:eastAsia="宋体" w:cs="Times New Roman"/>
                <w:color w:val="000000" w:themeColor="text1"/>
                <w:spacing w:val="1"/>
                <w:sz w:val="21"/>
                <w:szCs w:val="21"/>
                <w:highlight w:val="none"/>
                <w:vertAlign w:val="subscript"/>
              </w:rPr>
              <w:t>建筑物</w:t>
            </w:r>
            <w:r>
              <w:rPr>
                <w:rFonts w:hint="eastAsia" w:ascii="Times New Roman" w:hAnsi="Times New Roman" w:eastAsia="宋体" w:cs="Times New Roman"/>
                <w:color w:val="000000" w:themeColor="text1"/>
                <w:kern w:val="0"/>
                <w:sz w:val="24"/>
                <w:szCs w:val="24"/>
                <w:highlight w:val="none"/>
                <w:lang w:val="en-US" w:eastAsia="zh-CN" w:bidi="ar-SA"/>
              </w:rPr>
              <w:t>，dB</w:t>
            </w:r>
            <w:r>
              <w:rPr>
                <w:rFonts w:hint="eastAsia" w:cs="Times New Roman"/>
                <w:color w:val="000000" w:themeColor="text1"/>
                <w:kern w:val="0"/>
                <w:sz w:val="24"/>
                <w:szCs w:val="24"/>
                <w:highlight w:val="none"/>
                <w:lang w:val="en-US" w:eastAsia="zh-CN" w:bidi="ar-SA"/>
              </w:rPr>
              <w:t>（A）</w:t>
            </w:r>
          </w:p>
        </w:tc>
      </w:tr>
      <w:tr w14:paraId="1968E6B3">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040" w:type="pct"/>
            <w:tcBorders>
              <w:tl2br w:val="nil"/>
              <w:tr2bl w:val="nil"/>
            </w:tcBorders>
            <w:vAlign w:val="center"/>
          </w:tcPr>
          <w:p w14:paraId="603989FC">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40%~60%</w:t>
            </w:r>
          </w:p>
        </w:tc>
        <w:tc>
          <w:tcPr>
            <w:tcW w:w="2959" w:type="pct"/>
            <w:tcBorders>
              <w:tl2br w:val="nil"/>
              <w:tr2bl w:val="nil"/>
            </w:tcBorders>
            <w:vAlign w:val="center"/>
          </w:tcPr>
          <w:p w14:paraId="398E3D7F">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3</w:t>
            </w:r>
          </w:p>
        </w:tc>
      </w:tr>
      <w:tr w14:paraId="6339D744">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040" w:type="pct"/>
            <w:tcBorders>
              <w:tl2br w:val="nil"/>
              <w:tr2bl w:val="nil"/>
            </w:tcBorders>
            <w:vAlign w:val="center"/>
          </w:tcPr>
          <w:p w14:paraId="3F73A61E">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1"/>
                <w:sz w:val="21"/>
                <w:szCs w:val="21"/>
                <w:highlight w:val="none"/>
              </w:rPr>
            </w:pPr>
            <w:r>
              <w:rPr>
                <w:rFonts w:hint="eastAsia" w:cs="Times New Roman"/>
                <w:color w:val="000000" w:themeColor="text1"/>
                <w:spacing w:val="1"/>
                <w:sz w:val="21"/>
                <w:szCs w:val="21"/>
                <w:highlight w:val="none"/>
                <w:lang w:val="en-US" w:eastAsia="zh-CN"/>
              </w:rPr>
              <w:t>70%~90%</w:t>
            </w:r>
          </w:p>
        </w:tc>
        <w:tc>
          <w:tcPr>
            <w:tcW w:w="2959" w:type="pct"/>
            <w:tcBorders>
              <w:tl2br w:val="nil"/>
              <w:tr2bl w:val="nil"/>
            </w:tcBorders>
            <w:vAlign w:val="center"/>
          </w:tcPr>
          <w:p w14:paraId="155F2FD1">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ascii="Times New Roman" w:hAnsi="Times New Roman" w:eastAsia="宋体"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5</w:t>
            </w:r>
          </w:p>
        </w:tc>
      </w:tr>
      <w:tr w14:paraId="6FF59A3F">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040" w:type="pct"/>
            <w:tcBorders>
              <w:tl2br w:val="nil"/>
              <w:tr2bl w:val="nil"/>
            </w:tcBorders>
            <w:vAlign w:val="center"/>
          </w:tcPr>
          <w:p w14:paraId="01D8889B">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以后每增加一排房屋</w:t>
            </w:r>
          </w:p>
        </w:tc>
        <w:tc>
          <w:tcPr>
            <w:tcW w:w="2959" w:type="pct"/>
            <w:tcBorders>
              <w:tl2br w:val="nil"/>
              <w:tr2bl w:val="nil"/>
            </w:tcBorders>
            <w:vAlign w:val="center"/>
          </w:tcPr>
          <w:p w14:paraId="1213D8B2">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eastAsia"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1.5</w:t>
            </w:r>
          </w:p>
          <w:p w14:paraId="2EFA4E4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最大衰减量≤10</w:t>
            </w:r>
          </w:p>
        </w:tc>
      </w:tr>
      <w:tr w14:paraId="16E6D5F2">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5000" w:type="pct"/>
            <w:gridSpan w:val="2"/>
            <w:tcBorders>
              <w:tl2br w:val="nil"/>
              <w:tr2bl w:val="nil"/>
            </w:tcBorders>
            <w:vAlign w:val="center"/>
          </w:tcPr>
          <w:p w14:paraId="56654D93">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color w:val="000000" w:themeColor="text1"/>
                <w:spacing w:val="1"/>
                <w:sz w:val="21"/>
                <w:szCs w:val="21"/>
                <w:highlight w:val="none"/>
                <w:lang w:val="en-US" w:eastAsia="zh-CN"/>
              </w:rPr>
            </w:pPr>
            <w:r>
              <w:rPr>
                <w:rFonts w:hint="eastAsia" w:cs="Times New Roman"/>
                <w:color w:val="000000" w:themeColor="text1"/>
                <w:spacing w:val="1"/>
                <w:sz w:val="21"/>
                <w:szCs w:val="21"/>
                <w:highlight w:val="none"/>
                <w:lang w:val="en-US" w:eastAsia="zh-CN"/>
              </w:rPr>
              <w:t>注：表B.4仅适用于平路堤路侧的建筑物</w:t>
            </w:r>
          </w:p>
        </w:tc>
      </w:tr>
    </w:tbl>
    <w:p w14:paraId="243EE1DF">
      <w:pPr>
        <w:widowControl/>
        <w:spacing w:line="360" w:lineRule="auto"/>
        <w:ind w:firstLine="1200" w:firstLineChars="500"/>
        <w:rPr>
          <w:rFonts w:hint="eastAsia"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b）路堤和路堑引起的衰减量（</w:t>
      </w: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声影区</w:t>
      </w:r>
      <w:r>
        <w:rPr>
          <w:rFonts w:hint="eastAsia" w:cs="Times New Roman"/>
          <w:color w:val="000000" w:themeColor="text1"/>
          <w:kern w:val="0"/>
          <w:sz w:val="24"/>
          <w:szCs w:val="24"/>
          <w:highlight w:val="none"/>
          <w:lang w:val="en-US" w:eastAsia="zh-CN" w:bidi="ar-SA"/>
        </w:rPr>
        <w:t>）。</w:t>
      </w:r>
    </w:p>
    <w:p w14:paraId="7A96C030">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当预测点位于声影区时</w:t>
      </w:r>
      <w:r>
        <w:rPr>
          <w:rFonts w:hint="eastAsia" w:ascii="Times New Roman" w:hAnsi="Times New Roman" w:eastAsia="宋体" w:cs="Times New Roman"/>
          <w:color w:val="000000" w:themeColor="text1"/>
          <w:kern w:val="0"/>
          <w:sz w:val="24"/>
          <w:szCs w:val="24"/>
          <w:highlight w:val="none"/>
          <w:lang w:val="en-US" w:eastAsia="zh-CN" w:bidi="ar-SA"/>
        </w:rPr>
        <w:t>按如下公式计算：</w:t>
      </w:r>
    </w:p>
    <w:p w14:paraId="0B61ADA9">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3991610" cy="1591945"/>
            <wp:effectExtent l="0" t="0" r="1270" b="8255"/>
            <wp:docPr id="28" name="图片 28" descr="e7821324-aab8-4dbd-b7f7-f4a56eed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7821324-aab8-4dbd-b7f7-f4a56eed8276"/>
                    <pic:cNvPicPr>
                      <a:picLocks noChangeAspect="1"/>
                    </pic:cNvPicPr>
                  </pic:nvPicPr>
                  <pic:blipFill>
                    <a:blip r:embed="rId69"/>
                    <a:stretch>
                      <a:fillRect/>
                    </a:stretch>
                  </pic:blipFill>
                  <pic:spPr>
                    <a:xfrm>
                      <a:off x="0" y="0"/>
                      <a:ext cx="3991610" cy="1591945"/>
                    </a:xfrm>
                    <a:prstGeom prst="rect">
                      <a:avLst/>
                    </a:prstGeom>
                  </pic:spPr>
                </pic:pic>
              </a:graphicData>
            </a:graphic>
          </wp:inline>
        </w:drawing>
      </w:r>
    </w:p>
    <w:p w14:paraId="05C9D15D">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w:t>
      </w:r>
      <w:r>
        <w:rPr>
          <w:rFonts w:hint="eastAsia" w:cs="Times New Roman"/>
          <w:color w:val="000000" w:themeColor="text1"/>
          <w:kern w:val="0"/>
          <w:sz w:val="24"/>
          <w:szCs w:val="24"/>
          <w:highlight w:val="none"/>
          <w:lang w:val="en-US" w:eastAsia="zh-CN" w:bidi="ar-SA"/>
        </w:rPr>
        <w:t>N</w:t>
      </w:r>
      <w:r>
        <w:rPr>
          <w:rFonts w:hint="eastAsia" w:ascii="Times New Roman" w:hAnsi="Times New Roman" w:eastAsia="宋体" w:cs="Times New Roman"/>
          <w:color w:val="000000" w:themeColor="text1"/>
          <w:kern w:val="0"/>
          <w:sz w:val="24"/>
          <w:szCs w:val="24"/>
          <w:highlight w:val="none"/>
          <w:lang w:val="en-US" w:eastAsia="zh-CN" w:bidi="ar-SA"/>
        </w:rPr>
        <w:t>—</w:t>
      </w:r>
      <w:r>
        <w:rPr>
          <w:rFonts w:hint="eastAsia" w:cs="Times New Roman"/>
          <w:color w:val="000000" w:themeColor="text1"/>
          <w:kern w:val="0"/>
          <w:sz w:val="24"/>
          <w:szCs w:val="24"/>
          <w:highlight w:val="none"/>
          <w:lang w:val="en-US" w:eastAsia="zh-CN" w:bidi="ar-SA"/>
        </w:rPr>
        <w:t>菲涅尔数</w:t>
      </w:r>
      <w:r>
        <w:rPr>
          <w:rFonts w:hint="eastAsia" w:ascii="Times New Roman" w:hAnsi="Times New Roman" w:eastAsia="宋体" w:cs="Times New Roman"/>
          <w:color w:val="000000" w:themeColor="text1"/>
          <w:kern w:val="0"/>
          <w:sz w:val="24"/>
          <w:szCs w:val="24"/>
          <w:highlight w:val="none"/>
          <w:lang w:val="en-US" w:eastAsia="zh-CN" w:bidi="ar-SA"/>
        </w:rPr>
        <w:t>，</w:t>
      </w:r>
      <w:r>
        <w:rPr>
          <w:rFonts w:hint="eastAsia" w:cs="Times New Roman"/>
          <w:color w:val="000000" w:themeColor="text1"/>
          <w:kern w:val="0"/>
          <w:sz w:val="24"/>
          <w:szCs w:val="24"/>
          <w:highlight w:val="none"/>
          <w:lang w:val="en-US" w:eastAsia="zh-CN" w:bidi="ar-SA"/>
        </w:rPr>
        <w:t>按图（B.11）计算</w:t>
      </w:r>
      <w:r>
        <w:rPr>
          <w:rFonts w:hint="eastAsia" w:ascii="Times New Roman" w:hAnsi="Times New Roman" w:eastAsia="宋体" w:cs="Times New Roman"/>
          <w:color w:val="000000" w:themeColor="text1"/>
          <w:kern w:val="0"/>
          <w:sz w:val="24"/>
          <w:szCs w:val="24"/>
          <w:highlight w:val="none"/>
          <w:lang w:val="en-US" w:eastAsia="zh-CN" w:bidi="ar-SA"/>
        </w:rPr>
        <w:t>；</w:t>
      </w:r>
    </w:p>
    <w:p w14:paraId="4D9729A8">
      <w:pPr>
        <w:widowControl/>
        <w:spacing w:line="360" w:lineRule="auto"/>
        <w:ind w:firstLine="1200" w:firstLineChars="5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762000" cy="600075"/>
            <wp:effectExtent l="0" t="0" r="0" b="9525"/>
            <wp:docPr id="35" name="图片 35" descr="b6c20eea-557e-4a89-a3e9-7cceb9cf34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6c20eea-557e-4a89-a3e9-7cceb9cf342a"/>
                    <pic:cNvPicPr>
                      <a:picLocks noChangeAspect="1"/>
                    </pic:cNvPicPr>
                  </pic:nvPicPr>
                  <pic:blipFill>
                    <a:blip r:embed="rId70"/>
                    <a:stretch>
                      <a:fillRect/>
                    </a:stretch>
                  </pic:blipFill>
                  <pic:spPr>
                    <a:xfrm>
                      <a:off x="0" y="0"/>
                      <a:ext cx="762000" cy="600075"/>
                    </a:xfrm>
                    <a:prstGeom prst="rect">
                      <a:avLst/>
                    </a:prstGeom>
                  </pic:spPr>
                </pic:pic>
              </a:graphicData>
            </a:graphic>
          </wp:inline>
        </w:drawing>
      </w:r>
    </w:p>
    <w:p w14:paraId="230DC3B6">
      <w:pPr>
        <w:widowControl/>
        <w:spacing w:line="360" w:lineRule="auto"/>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式中：δ—声程差，m</w:t>
      </w:r>
      <w:r>
        <w:rPr>
          <w:rFonts w:hint="eastAsia" w:cs="Times New Roman"/>
          <w:color w:val="000000" w:themeColor="text1"/>
          <w:kern w:val="0"/>
          <w:sz w:val="24"/>
          <w:szCs w:val="24"/>
          <w:highlight w:val="none"/>
          <w:lang w:val="en-US" w:eastAsia="zh-CN" w:bidi="ar-SA"/>
        </w:rPr>
        <w:t>，</w:t>
      </w: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=a+b-c</w:t>
      </w:r>
      <w:r>
        <w:rPr>
          <w:rFonts w:hint="eastAsia" w:ascii="Times New Roman" w:hAnsi="Times New Roman" w:eastAsia="宋体" w:cs="Times New Roman"/>
          <w:color w:val="000000" w:themeColor="text1"/>
          <w:kern w:val="0"/>
          <w:sz w:val="24"/>
          <w:szCs w:val="24"/>
          <w:highlight w:val="none"/>
          <w:lang w:val="en-US" w:eastAsia="zh-CN" w:bidi="ar-SA"/>
        </w:rPr>
        <w:t>；</w:t>
      </w:r>
    </w:p>
    <w:p w14:paraId="45522CDE">
      <w:pPr>
        <w:widowControl/>
        <w:spacing w:line="360" w:lineRule="auto"/>
        <w:ind w:firstLine="1200" w:firstLineChars="500"/>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λ—</w:t>
      </w:r>
      <w:r>
        <w:rPr>
          <w:rFonts w:hint="eastAsia" w:cs="Times New Roman"/>
          <w:color w:val="000000" w:themeColor="text1"/>
          <w:kern w:val="0"/>
          <w:sz w:val="24"/>
          <w:szCs w:val="24"/>
          <w:highlight w:val="none"/>
          <w:lang w:val="en-US" w:eastAsia="zh-CN" w:bidi="ar-SA"/>
        </w:rPr>
        <w:t>声波波长</w:t>
      </w:r>
      <w:r>
        <w:rPr>
          <w:rFonts w:hint="eastAsia" w:ascii="Times New Roman" w:hAnsi="Times New Roman" w:eastAsia="宋体" w:cs="Times New Roman"/>
          <w:color w:val="000000" w:themeColor="text1"/>
          <w:kern w:val="0"/>
          <w:sz w:val="24"/>
          <w:szCs w:val="24"/>
          <w:highlight w:val="none"/>
          <w:lang w:val="en-US" w:eastAsia="zh-CN" w:bidi="ar-SA"/>
        </w:rPr>
        <w:t>，m。</w:t>
      </w:r>
    </w:p>
    <w:p w14:paraId="3612B5CB">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4117975" cy="2234565"/>
            <wp:effectExtent l="0" t="0" r="15875" b="13335"/>
            <wp:docPr id="39" name="图片 39" descr="eeea1797-dbb7-456d-b6e4-2ce470a8cd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eeea1797-dbb7-456d-b6e4-2ce470a8cd88"/>
                    <pic:cNvPicPr>
                      <a:picLocks noChangeAspect="1"/>
                    </pic:cNvPicPr>
                  </pic:nvPicPr>
                  <pic:blipFill>
                    <a:blip r:embed="rId71"/>
                    <a:stretch>
                      <a:fillRect/>
                    </a:stretch>
                  </pic:blipFill>
                  <pic:spPr>
                    <a:xfrm>
                      <a:off x="0" y="0"/>
                      <a:ext cx="4117975" cy="2234565"/>
                    </a:xfrm>
                    <a:prstGeom prst="rect">
                      <a:avLst/>
                    </a:prstGeom>
                  </pic:spPr>
                </pic:pic>
              </a:graphicData>
            </a:graphic>
          </wp:inline>
        </w:drawing>
      </w:r>
    </w:p>
    <w:p w14:paraId="6002E663">
      <w:pPr>
        <w:pageBreakBefore w:val="0"/>
        <w:wordWrap/>
        <w:topLinePunct w:val="0"/>
        <w:bidi w:val="0"/>
        <w:spacing w:line="360" w:lineRule="auto"/>
        <w:ind w:firstLine="482"/>
        <w:jc w:val="center"/>
        <w:rPr>
          <w:rFonts w:hint="default"/>
          <w:b/>
          <w:color w:val="000000" w:themeColor="text1"/>
          <w:highlight w:val="none"/>
          <w:lang w:val="en-US" w:eastAsia="zh-CN"/>
        </w:rPr>
      </w:pPr>
      <w:r>
        <w:rPr>
          <w:rFonts w:hint="eastAsia"/>
          <w:b/>
          <w:color w:val="000000" w:themeColor="text1"/>
          <w:highlight w:val="none"/>
          <w:lang w:val="en-US" w:eastAsia="zh-CN"/>
        </w:rPr>
        <w:t>图5.2-4  声程差δ计算示意图</w:t>
      </w:r>
    </w:p>
    <w:p w14:paraId="18DB77E9">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当预测点处于声影区以外区域（声照区）时，</w:t>
      </w:r>
      <w:r>
        <w:rPr>
          <w:rFonts w:hint="eastAsia" w:ascii="Times New Roman" w:hAnsi="Times New Roman" w:eastAsia="宋体" w:cs="Times New Roman"/>
          <w:color w:val="000000" w:themeColor="text1"/>
          <w:kern w:val="0"/>
          <w:sz w:val="24"/>
          <w:szCs w:val="24"/>
          <w:highlight w:val="none"/>
          <w:lang w:val="en-US" w:eastAsia="zh-CN" w:bidi="ar-SA"/>
        </w:rPr>
        <w:t>Δ</w:t>
      </w:r>
      <w:r>
        <w:rPr>
          <w:rFonts w:hint="eastAsia" w:cs="Times New Roman"/>
          <w:color w:val="000000" w:themeColor="text1"/>
          <w:kern w:val="0"/>
          <w:sz w:val="24"/>
          <w:szCs w:val="24"/>
          <w:highlight w:val="none"/>
          <w:lang w:val="en-US" w:eastAsia="zh-CN" w:bidi="ar-SA"/>
        </w:rPr>
        <w:t>L</w:t>
      </w:r>
      <w:r>
        <w:rPr>
          <w:rFonts w:hint="eastAsia" w:cs="Times New Roman"/>
          <w:color w:val="000000" w:themeColor="text1"/>
          <w:kern w:val="0"/>
          <w:sz w:val="24"/>
          <w:szCs w:val="24"/>
          <w:highlight w:val="none"/>
          <w:vertAlign w:val="subscript"/>
          <w:lang w:val="en-US" w:eastAsia="zh-CN" w:bidi="ar-SA"/>
        </w:rPr>
        <w:t>声影区</w:t>
      </w:r>
      <w:r>
        <w:rPr>
          <w:rFonts w:hint="eastAsia" w:cs="Times New Roman"/>
          <w:color w:val="000000" w:themeColor="text1"/>
          <w:kern w:val="0"/>
          <w:sz w:val="24"/>
          <w:szCs w:val="24"/>
          <w:highlight w:val="none"/>
          <w:lang w:val="en-US" w:eastAsia="zh-CN" w:bidi="ar-SA"/>
        </w:rPr>
        <w:t>=0</w:t>
      </w:r>
    </w:p>
    <w:p w14:paraId="39455C91">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g 绿化林带</w:t>
      </w:r>
      <w:r>
        <w:rPr>
          <w:rFonts w:hint="default" w:ascii="Times New Roman" w:hAnsi="Times New Roman" w:eastAsia="宋体" w:cs="Times New Roman"/>
          <w:color w:val="000000" w:themeColor="text1"/>
          <w:kern w:val="0"/>
          <w:sz w:val="24"/>
          <w:szCs w:val="24"/>
          <w:highlight w:val="none"/>
          <w:lang w:val="en-US" w:eastAsia="zh-CN" w:bidi="ar-SA"/>
        </w:rPr>
        <w:t>引起的衰减</w:t>
      </w:r>
      <w:r>
        <w:rPr>
          <w:rFonts w:hint="eastAsia" w:ascii="Times New Roman" w:hAnsi="Times New Roman" w:eastAsia="宋体" w:cs="Times New Roman"/>
          <w:color w:val="000000" w:themeColor="text1"/>
          <w:kern w:val="0"/>
          <w:sz w:val="24"/>
          <w:szCs w:val="24"/>
          <w:highlight w:val="none"/>
          <w:lang w:val="en-US" w:eastAsia="zh-CN" w:bidi="ar-SA"/>
        </w:rPr>
        <w:t>量</w:t>
      </w:r>
      <w:r>
        <w:rPr>
          <w:rFonts w:hint="default" w:ascii="Times New Roman" w:hAnsi="Times New Roman" w:eastAsia="宋体" w:cs="Times New Roman"/>
          <w:color w:val="000000" w:themeColor="text1"/>
          <w:kern w:val="0"/>
          <w:sz w:val="24"/>
          <w:szCs w:val="24"/>
          <w:highlight w:val="none"/>
          <w:lang w:val="en-US" w:eastAsia="zh-CN" w:bidi="ar-SA"/>
        </w:rPr>
        <w:t>（</w:t>
      </w:r>
      <w:r>
        <w:rPr>
          <w:rFonts w:hint="eastAsia" w:ascii="Times New Roman" w:hAnsi="Times New Roman" w:eastAsia="宋体" w:cs="Times New Roman"/>
          <w:color w:val="000000" w:themeColor="text1"/>
          <w:kern w:val="0"/>
          <w:sz w:val="24"/>
          <w:szCs w:val="24"/>
          <w:highlight w:val="none"/>
          <w:lang w:val="en-US" w:eastAsia="zh-CN" w:bidi="ar-SA"/>
        </w:rPr>
        <w:t>Afol</w:t>
      </w:r>
      <w:r>
        <w:rPr>
          <w:rFonts w:hint="default" w:ascii="Times New Roman" w:hAnsi="Times New Roman" w:eastAsia="宋体" w:cs="Times New Roman"/>
          <w:color w:val="000000" w:themeColor="text1"/>
          <w:kern w:val="0"/>
          <w:sz w:val="24"/>
          <w:szCs w:val="24"/>
          <w:highlight w:val="none"/>
          <w:lang w:val="en-US" w:eastAsia="zh-CN" w:bidi="ar-SA"/>
        </w:rPr>
        <w:t>）</w:t>
      </w:r>
    </w:p>
    <w:p w14:paraId="5C4A293C">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绿化林带引起的衰减量根据</w:t>
      </w:r>
      <w:r>
        <w:rPr>
          <w:rFonts w:hint="default" w:ascii="Times New Roman" w:hAnsi="Times New Roman" w:eastAsia="宋体" w:cs="Times New Roman"/>
          <w:color w:val="000000" w:themeColor="text1"/>
          <w:kern w:val="0"/>
          <w:sz w:val="24"/>
          <w:szCs w:val="24"/>
          <w:highlight w:val="none"/>
          <w:lang w:val="en-US" w:eastAsia="zh-CN" w:bidi="ar-SA"/>
        </w:rPr>
        <w:t>HJ 2.4</w:t>
      </w:r>
      <w:r>
        <w:rPr>
          <w:rFonts w:hint="eastAsia" w:ascii="Times New Roman" w:hAnsi="Times New Roman" w:eastAsia="宋体" w:cs="Times New Roman"/>
          <w:color w:val="000000" w:themeColor="text1"/>
          <w:kern w:val="0"/>
          <w:sz w:val="24"/>
          <w:szCs w:val="24"/>
          <w:highlight w:val="none"/>
          <w:lang w:val="en-US" w:eastAsia="zh-CN" w:bidi="ar-SA"/>
        </w:rPr>
        <w:t>计算：</w:t>
      </w:r>
    </w:p>
    <w:p w14:paraId="2A88E32C">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绿化林带的附加衰减与树种、林带结构和密度等因素有关。在声源附近的绿化林带，或在预测点附近的绿化林带，或两者均有的情况都可以使声波衰减，见下图。</w:t>
      </w:r>
    </w:p>
    <w:p w14:paraId="67683D75">
      <w:pPr>
        <w:pageBreakBefore w:val="0"/>
        <w:wordWrap/>
        <w:topLinePunct w:val="0"/>
        <w:bidi w:val="0"/>
        <w:spacing w:line="360" w:lineRule="auto"/>
        <w:ind w:left="0" w:leftChars="0" w:firstLine="480" w:firstLineChars="200"/>
        <w:rPr>
          <w:color w:val="000000" w:themeColor="text1"/>
          <w:highlight w:val="none"/>
        </w:rPr>
      </w:pPr>
      <w:r>
        <w:rPr>
          <w:color w:val="000000" w:themeColor="text1"/>
          <w:highlight w:val="none"/>
        </w:rPr>
        <w:drawing>
          <wp:inline distT="0" distB="0" distL="114300" distR="114300">
            <wp:extent cx="5269230" cy="1072515"/>
            <wp:effectExtent l="0" t="0" r="7620" b="13335"/>
            <wp:docPr id="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0"/>
                    <pic:cNvPicPr>
                      <a:picLocks noChangeAspect="1"/>
                    </pic:cNvPicPr>
                  </pic:nvPicPr>
                  <pic:blipFill>
                    <a:blip r:embed="rId72"/>
                    <a:stretch>
                      <a:fillRect/>
                    </a:stretch>
                  </pic:blipFill>
                  <pic:spPr>
                    <a:xfrm>
                      <a:off x="0" y="0"/>
                      <a:ext cx="5269230" cy="1072515"/>
                    </a:xfrm>
                    <a:prstGeom prst="rect">
                      <a:avLst/>
                    </a:prstGeom>
                    <a:noFill/>
                    <a:ln>
                      <a:noFill/>
                    </a:ln>
                  </pic:spPr>
                </pic:pic>
              </a:graphicData>
            </a:graphic>
          </wp:inline>
        </w:drawing>
      </w:r>
    </w:p>
    <w:p w14:paraId="5A9814C7">
      <w:pPr>
        <w:pageBreakBefore w:val="0"/>
        <w:wordWrap/>
        <w:topLinePunct w:val="0"/>
        <w:bidi w:val="0"/>
        <w:spacing w:line="360" w:lineRule="auto"/>
        <w:ind w:firstLine="482"/>
        <w:jc w:val="center"/>
        <w:rPr>
          <w:rFonts w:hint="eastAsia"/>
          <w:b/>
          <w:color w:val="000000" w:themeColor="text1"/>
          <w:highlight w:val="none"/>
          <w:lang w:val="en-US" w:eastAsia="zh-CN"/>
        </w:rPr>
      </w:pPr>
      <w:r>
        <w:rPr>
          <w:rFonts w:hint="eastAsia"/>
          <w:b/>
          <w:color w:val="000000" w:themeColor="text1"/>
          <w:highlight w:val="none"/>
          <w:lang w:val="en-US" w:eastAsia="zh-CN"/>
        </w:rPr>
        <w:t>图5.2-5  通过树和灌木时噪声衰减示意图</w:t>
      </w:r>
    </w:p>
    <w:p w14:paraId="7AB14A97">
      <w:pPr>
        <w:pageBreakBefore w:val="0"/>
        <w:wordWrap/>
        <w:topLinePunct w:val="0"/>
        <w:bidi w:val="0"/>
        <w:spacing w:line="360" w:lineRule="auto"/>
        <w:ind w:left="0" w:leftChars="0" w:firstLine="480" w:firstLineChars="200"/>
        <w:rPr>
          <w:color w:val="000000" w:themeColor="text1"/>
          <w:highlight w:val="none"/>
        </w:rPr>
      </w:pPr>
      <w:r>
        <w:rPr>
          <w:color w:val="000000" w:themeColor="text1"/>
          <w:highlight w:val="none"/>
        </w:rPr>
        <w:t>通过树叶传播造成的噪声衰减随通过树叶传播距离</w:t>
      </w:r>
      <w:r>
        <w:rPr>
          <w:i/>
          <w:iCs/>
          <w:color w:val="000000" w:themeColor="text1"/>
          <w:highlight w:val="none"/>
        </w:rPr>
        <w:t>d</w:t>
      </w:r>
      <w:r>
        <w:rPr>
          <w:color w:val="000000" w:themeColor="text1"/>
          <w:highlight w:val="none"/>
          <w:vertAlign w:val="subscript"/>
        </w:rPr>
        <w:t>f</w:t>
      </w:r>
      <w:r>
        <w:rPr>
          <w:color w:val="000000" w:themeColor="text1"/>
          <w:highlight w:val="none"/>
        </w:rPr>
        <w:t xml:space="preserve">的增长而增加，其中 </w:t>
      </w:r>
      <w:r>
        <w:rPr>
          <w:i/>
          <w:iCs/>
          <w:color w:val="000000" w:themeColor="text1"/>
          <w:highlight w:val="none"/>
        </w:rPr>
        <w:t>d</w:t>
      </w:r>
      <w:r>
        <w:rPr>
          <w:color w:val="000000" w:themeColor="text1"/>
          <w:highlight w:val="none"/>
          <w:vertAlign w:val="subscript"/>
        </w:rPr>
        <w:t>f</w:t>
      </w:r>
      <w:r>
        <w:rPr>
          <w:color w:val="000000" w:themeColor="text1"/>
          <w:highlight w:val="none"/>
        </w:rPr>
        <w:t>=</w:t>
      </w:r>
      <w:r>
        <w:rPr>
          <w:i/>
          <w:iCs/>
          <w:color w:val="000000" w:themeColor="text1"/>
          <w:highlight w:val="none"/>
        </w:rPr>
        <w:t>d</w:t>
      </w:r>
      <w:r>
        <w:rPr>
          <w:color w:val="000000" w:themeColor="text1"/>
          <w:highlight w:val="none"/>
          <w:vertAlign w:val="subscript"/>
        </w:rPr>
        <w:t>1</w:t>
      </w:r>
      <w:r>
        <w:rPr>
          <w:color w:val="000000" w:themeColor="text1"/>
          <w:highlight w:val="none"/>
        </w:rPr>
        <w:t>+</w:t>
      </w:r>
      <w:r>
        <w:rPr>
          <w:i/>
          <w:iCs/>
          <w:color w:val="000000" w:themeColor="text1"/>
          <w:highlight w:val="none"/>
        </w:rPr>
        <w:t>d</w:t>
      </w:r>
      <w:r>
        <w:rPr>
          <w:color w:val="000000" w:themeColor="text1"/>
          <w:highlight w:val="none"/>
          <w:vertAlign w:val="subscript"/>
        </w:rPr>
        <w:t>2</w:t>
      </w:r>
      <w:r>
        <w:rPr>
          <w:color w:val="000000" w:themeColor="text1"/>
          <w:highlight w:val="none"/>
        </w:rPr>
        <w:t>，为了计算</w:t>
      </w:r>
      <w:r>
        <w:rPr>
          <w:i/>
          <w:iCs/>
          <w:color w:val="000000" w:themeColor="text1"/>
          <w:highlight w:val="none"/>
        </w:rPr>
        <w:t>d</w:t>
      </w:r>
      <w:r>
        <w:rPr>
          <w:color w:val="000000" w:themeColor="text1"/>
          <w:highlight w:val="none"/>
          <w:vertAlign w:val="subscript"/>
        </w:rPr>
        <w:t>1</w:t>
      </w:r>
      <w:r>
        <w:rPr>
          <w:color w:val="000000" w:themeColor="text1"/>
          <w:highlight w:val="none"/>
        </w:rPr>
        <w:t>和</w:t>
      </w:r>
      <w:r>
        <w:rPr>
          <w:i/>
          <w:iCs/>
          <w:color w:val="000000" w:themeColor="text1"/>
          <w:highlight w:val="none"/>
        </w:rPr>
        <w:t>d</w:t>
      </w:r>
      <w:r>
        <w:rPr>
          <w:color w:val="000000" w:themeColor="text1"/>
          <w:highlight w:val="none"/>
          <w:vertAlign w:val="subscript"/>
        </w:rPr>
        <w:t>2</w:t>
      </w:r>
      <w:r>
        <w:rPr>
          <w:color w:val="000000" w:themeColor="text1"/>
          <w:highlight w:val="none"/>
        </w:rPr>
        <w:t>，可假设弯曲路径的半径为5km。表5.2-6中的第一行给出了通过总长度为10m到20m之间的乔灌结合郁闭度较高的林带时，由林带引起的衰减；第二行为通过总长度20m到200m之间林带时的衰减系数；当通过林带的路径长度大于200m时，可使用200m的衰减值。</w:t>
      </w:r>
    </w:p>
    <w:p w14:paraId="7821BF4D">
      <w:pPr>
        <w:pageBreakBefore w:val="0"/>
        <w:wordWrap/>
        <w:topLinePunct w:val="0"/>
        <w:bidi w:val="0"/>
        <w:spacing w:line="360" w:lineRule="auto"/>
        <w:ind w:left="0" w:leftChars="0" w:firstLine="0" w:firstLineChars="0"/>
        <w:jc w:val="center"/>
        <w:rPr>
          <w:b/>
          <w:color w:val="000000" w:themeColor="text1"/>
          <w:highlight w:val="none"/>
        </w:rPr>
      </w:pPr>
      <w:r>
        <w:rPr>
          <w:b/>
          <w:color w:val="000000" w:themeColor="text1"/>
          <w:highlight w:val="none"/>
        </w:rPr>
        <w:t>表5.</w:t>
      </w:r>
      <w:r>
        <w:rPr>
          <w:rFonts w:hint="eastAsia"/>
          <w:b/>
          <w:color w:val="000000" w:themeColor="text1"/>
          <w:highlight w:val="none"/>
        </w:rPr>
        <w:t>2</w:t>
      </w:r>
      <w:r>
        <w:rPr>
          <w:b/>
          <w:color w:val="000000" w:themeColor="text1"/>
          <w:highlight w:val="none"/>
        </w:rPr>
        <w:t>-</w:t>
      </w:r>
      <w:r>
        <w:rPr>
          <w:rFonts w:hint="eastAsia"/>
          <w:b/>
          <w:color w:val="000000" w:themeColor="text1"/>
          <w:highlight w:val="none"/>
          <w:lang w:val="en-US" w:eastAsia="zh-CN"/>
        </w:rPr>
        <w:t>6</w:t>
      </w:r>
      <w:r>
        <w:rPr>
          <w:b/>
          <w:color w:val="000000" w:themeColor="text1"/>
          <w:highlight w:val="none"/>
        </w:rPr>
        <w:t xml:space="preserve">  倍频带噪声的大气吸收系数衰减系数 </w:t>
      </w:r>
      <w:r>
        <w:rPr>
          <w:b/>
          <w:i/>
          <w:iCs/>
          <w:color w:val="000000" w:themeColor="text1"/>
          <w:highlight w:val="none"/>
        </w:rPr>
        <w:t>a</w:t>
      </w:r>
    </w:p>
    <w:tbl>
      <w:tblPr>
        <w:tblStyle w:val="132"/>
        <w:tblW w:w="8527" w:type="dxa"/>
        <w:jc w:val="center"/>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Layout w:type="fixed"/>
        <w:tblCellMar>
          <w:top w:w="0" w:type="dxa"/>
          <w:left w:w="0" w:type="dxa"/>
          <w:bottom w:w="0" w:type="dxa"/>
          <w:right w:w="0" w:type="dxa"/>
        </w:tblCellMar>
      </w:tblPr>
      <w:tblGrid>
        <w:gridCol w:w="1208"/>
        <w:gridCol w:w="1127"/>
        <w:gridCol w:w="774"/>
        <w:gridCol w:w="774"/>
        <w:gridCol w:w="774"/>
        <w:gridCol w:w="774"/>
        <w:gridCol w:w="774"/>
        <w:gridCol w:w="774"/>
        <w:gridCol w:w="774"/>
        <w:gridCol w:w="774"/>
      </w:tblGrid>
      <w:tr w14:paraId="2E67DD02">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208" w:type="dxa"/>
            <w:vMerge w:val="restart"/>
            <w:tcBorders>
              <w:tl2br w:val="nil"/>
              <w:tr2bl w:val="nil"/>
            </w:tcBorders>
            <w:vAlign w:val="center"/>
          </w:tcPr>
          <w:p w14:paraId="4C0AD19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项目</w:t>
            </w:r>
          </w:p>
        </w:tc>
        <w:tc>
          <w:tcPr>
            <w:tcW w:w="1127" w:type="dxa"/>
            <w:vMerge w:val="restart"/>
            <w:tcBorders>
              <w:tl2br w:val="nil"/>
              <w:tr2bl w:val="nil"/>
            </w:tcBorders>
            <w:vAlign w:val="center"/>
          </w:tcPr>
          <w:p w14:paraId="1CED9A8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传播距</w:t>
            </w:r>
            <w:r>
              <w:rPr>
                <w:rFonts w:hint="default" w:ascii="Times New Roman" w:hAnsi="Times New Roman" w:eastAsia="宋体" w:cs="Times New Roman"/>
                <w:color w:val="000000" w:themeColor="text1"/>
                <w:spacing w:val="7"/>
                <w:sz w:val="21"/>
                <w:szCs w:val="21"/>
                <w:highlight w:val="none"/>
              </w:rPr>
              <w:t>离</w:t>
            </w:r>
          </w:p>
          <w:p w14:paraId="2972A21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position w:val="1"/>
                <w:sz w:val="21"/>
                <w:szCs w:val="21"/>
                <w:highlight w:val="none"/>
              </w:rPr>
              <w:t>d</w:t>
            </w:r>
            <w:r>
              <w:rPr>
                <w:rFonts w:hint="default" w:ascii="Times New Roman" w:hAnsi="Times New Roman" w:eastAsia="宋体" w:cs="Times New Roman"/>
                <w:color w:val="000000" w:themeColor="text1"/>
                <w:sz w:val="21"/>
                <w:szCs w:val="21"/>
                <w:highlight w:val="none"/>
                <w:vertAlign w:val="subscript"/>
              </w:rPr>
              <w:t>f</w:t>
            </w:r>
            <w:r>
              <w:rPr>
                <w:rFonts w:hint="eastAsia" w:ascii="Times New Roman" w:hAnsi="Times New Roman" w:eastAsia="宋体" w:cs="Times New Roman"/>
                <w:color w:val="000000" w:themeColor="text1"/>
                <w:sz w:val="21"/>
                <w:szCs w:val="21"/>
                <w:highlight w:val="none"/>
                <w:lang w:eastAsia="zh-CN"/>
              </w:rPr>
              <w:t>（</w:t>
            </w:r>
            <w:r>
              <w:rPr>
                <w:rFonts w:hint="default" w:ascii="Times New Roman" w:hAnsi="Times New Roman" w:eastAsia="宋体" w:cs="Times New Roman"/>
                <w:color w:val="000000" w:themeColor="text1"/>
                <w:position w:val="1"/>
                <w:sz w:val="21"/>
                <w:szCs w:val="21"/>
                <w:highlight w:val="none"/>
              </w:rPr>
              <w:t>m</w:t>
            </w:r>
            <w:r>
              <w:rPr>
                <w:rFonts w:hint="eastAsia" w:ascii="Times New Roman" w:hAnsi="Times New Roman" w:eastAsia="宋体" w:cs="Times New Roman"/>
                <w:color w:val="000000" w:themeColor="text1"/>
                <w:position w:val="1"/>
                <w:sz w:val="21"/>
                <w:szCs w:val="21"/>
                <w:highlight w:val="none"/>
                <w:lang w:eastAsia="zh-CN"/>
              </w:rPr>
              <w:t>）</w:t>
            </w:r>
          </w:p>
        </w:tc>
        <w:tc>
          <w:tcPr>
            <w:tcW w:w="6192" w:type="dxa"/>
            <w:gridSpan w:val="8"/>
            <w:tcBorders>
              <w:tl2br w:val="nil"/>
              <w:tr2bl w:val="nil"/>
            </w:tcBorders>
            <w:vAlign w:val="center"/>
          </w:tcPr>
          <w:p w14:paraId="3E52F1C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倍频带中心频率</w:t>
            </w:r>
            <w:r>
              <w:rPr>
                <w:rFonts w:hint="default" w:ascii="Times New Roman" w:hAnsi="Times New Roman" w:eastAsia="宋体" w:cs="Times New Roman"/>
                <w:color w:val="000000" w:themeColor="text1"/>
                <w:sz w:val="21"/>
                <w:szCs w:val="21"/>
                <w:highlight w:val="none"/>
              </w:rPr>
              <w:t>Hz</w:t>
            </w:r>
          </w:p>
        </w:tc>
      </w:tr>
      <w:tr w14:paraId="5C7702E7">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208" w:type="dxa"/>
            <w:vMerge w:val="continue"/>
            <w:tcBorders>
              <w:tl2br w:val="nil"/>
              <w:tr2bl w:val="nil"/>
            </w:tcBorders>
            <w:vAlign w:val="center"/>
          </w:tcPr>
          <w:p w14:paraId="51E5753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p>
        </w:tc>
        <w:tc>
          <w:tcPr>
            <w:tcW w:w="1127" w:type="dxa"/>
            <w:vMerge w:val="continue"/>
            <w:tcBorders>
              <w:tl2br w:val="nil"/>
              <w:tr2bl w:val="nil"/>
            </w:tcBorders>
            <w:vAlign w:val="center"/>
          </w:tcPr>
          <w:p w14:paraId="416BEED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p>
        </w:tc>
        <w:tc>
          <w:tcPr>
            <w:tcW w:w="774" w:type="dxa"/>
            <w:tcBorders>
              <w:tl2br w:val="nil"/>
              <w:tr2bl w:val="nil"/>
            </w:tcBorders>
            <w:vAlign w:val="center"/>
          </w:tcPr>
          <w:p w14:paraId="52979A6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6</w:t>
            </w:r>
            <w:r>
              <w:rPr>
                <w:rFonts w:hint="default" w:ascii="Times New Roman" w:hAnsi="Times New Roman" w:eastAsia="宋体" w:cs="Times New Roman"/>
                <w:color w:val="000000" w:themeColor="text1"/>
                <w:sz w:val="21"/>
                <w:szCs w:val="21"/>
                <w:highlight w:val="none"/>
              </w:rPr>
              <w:t>3</w:t>
            </w:r>
          </w:p>
        </w:tc>
        <w:tc>
          <w:tcPr>
            <w:tcW w:w="774" w:type="dxa"/>
            <w:tcBorders>
              <w:tl2br w:val="nil"/>
              <w:tr2bl w:val="nil"/>
            </w:tcBorders>
            <w:vAlign w:val="center"/>
          </w:tcPr>
          <w:p w14:paraId="11FB931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3"/>
                <w:sz w:val="21"/>
                <w:szCs w:val="21"/>
                <w:highlight w:val="none"/>
              </w:rPr>
              <w:t>125</w:t>
            </w:r>
          </w:p>
        </w:tc>
        <w:tc>
          <w:tcPr>
            <w:tcW w:w="774" w:type="dxa"/>
            <w:tcBorders>
              <w:tl2br w:val="nil"/>
              <w:tr2bl w:val="nil"/>
            </w:tcBorders>
            <w:vAlign w:val="center"/>
          </w:tcPr>
          <w:p w14:paraId="679D771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2</w:t>
            </w:r>
            <w:r>
              <w:rPr>
                <w:rFonts w:hint="default" w:ascii="Times New Roman" w:hAnsi="Times New Roman" w:eastAsia="宋体" w:cs="Times New Roman"/>
                <w:color w:val="000000" w:themeColor="text1"/>
                <w:spacing w:val="3"/>
                <w:sz w:val="21"/>
                <w:szCs w:val="21"/>
                <w:highlight w:val="none"/>
              </w:rPr>
              <w:t>50</w:t>
            </w:r>
          </w:p>
        </w:tc>
        <w:tc>
          <w:tcPr>
            <w:tcW w:w="774" w:type="dxa"/>
            <w:tcBorders>
              <w:tl2br w:val="nil"/>
              <w:tr2bl w:val="nil"/>
            </w:tcBorders>
            <w:vAlign w:val="center"/>
          </w:tcPr>
          <w:p w14:paraId="43FBB9E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50</w:t>
            </w:r>
            <w:r>
              <w:rPr>
                <w:rFonts w:hint="default" w:ascii="Times New Roman" w:hAnsi="Times New Roman" w:eastAsia="宋体" w:cs="Times New Roman"/>
                <w:color w:val="000000" w:themeColor="text1"/>
                <w:spacing w:val="1"/>
                <w:sz w:val="21"/>
                <w:szCs w:val="21"/>
                <w:highlight w:val="none"/>
              </w:rPr>
              <w:t>0</w:t>
            </w:r>
          </w:p>
        </w:tc>
        <w:tc>
          <w:tcPr>
            <w:tcW w:w="774" w:type="dxa"/>
            <w:tcBorders>
              <w:tl2br w:val="nil"/>
              <w:tr2bl w:val="nil"/>
            </w:tcBorders>
            <w:vAlign w:val="center"/>
          </w:tcPr>
          <w:p w14:paraId="4A64001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1"/>
                <w:sz w:val="21"/>
                <w:szCs w:val="21"/>
                <w:highlight w:val="none"/>
              </w:rPr>
              <w:t>1000</w:t>
            </w:r>
          </w:p>
        </w:tc>
        <w:tc>
          <w:tcPr>
            <w:tcW w:w="774" w:type="dxa"/>
            <w:tcBorders>
              <w:tl2br w:val="nil"/>
              <w:tr2bl w:val="nil"/>
            </w:tcBorders>
            <w:vAlign w:val="center"/>
          </w:tcPr>
          <w:p w14:paraId="373FA9E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2000</w:t>
            </w:r>
          </w:p>
        </w:tc>
        <w:tc>
          <w:tcPr>
            <w:tcW w:w="774" w:type="dxa"/>
            <w:tcBorders>
              <w:tl2br w:val="nil"/>
              <w:tr2bl w:val="nil"/>
            </w:tcBorders>
            <w:vAlign w:val="center"/>
          </w:tcPr>
          <w:p w14:paraId="6DC7C7D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5"/>
                <w:sz w:val="21"/>
                <w:szCs w:val="21"/>
                <w:highlight w:val="none"/>
              </w:rPr>
              <w:t>4</w:t>
            </w:r>
            <w:r>
              <w:rPr>
                <w:rFonts w:hint="default" w:ascii="Times New Roman" w:hAnsi="Times New Roman" w:eastAsia="宋体" w:cs="Times New Roman"/>
                <w:color w:val="000000" w:themeColor="text1"/>
                <w:spacing w:val="4"/>
                <w:sz w:val="21"/>
                <w:szCs w:val="21"/>
                <w:highlight w:val="none"/>
              </w:rPr>
              <w:t>000</w:t>
            </w:r>
          </w:p>
        </w:tc>
        <w:tc>
          <w:tcPr>
            <w:tcW w:w="774" w:type="dxa"/>
            <w:tcBorders>
              <w:tl2br w:val="nil"/>
              <w:tr2bl w:val="nil"/>
            </w:tcBorders>
            <w:vAlign w:val="center"/>
          </w:tcPr>
          <w:p w14:paraId="6E7238D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sz w:val="21"/>
                <w:szCs w:val="21"/>
                <w:highlight w:val="none"/>
              </w:rPr>
              <w:t>8000</w:t>
            </w:r>
          </w:p>
        </w:tc>
      </w:tr>
      <w:tr w14:paraId="1CB8CC4B">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208" w:type="dxa"/>
            <w:tcBorders>
              <w:tl2br w:val="nil"/>
              <w:tr2bl w:val="nil"/>
            </w:tcBorders>
            <w:vAlign w:val="center"/>
          </w:tcPr>
          <w:p w14:paraId="398E5AD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pacing w:val="7"/>
                <w:position w:val="1"/>
                <w:sz w:val="21"/>
                <w:szCs w:val="21"/>
                <w:highlight w:val="none"/>
              </w:rPr>
              <w:t>衰</w:t>
            </w:r>
            <w:r>
              <w:rPr>
                <w:rFonts w:hint="default" w:ascii="Times New Roman" w:hAnsi="Times New Roman" w:eastAsia="宋体" w:cs="Times New Roman"/>
                <w:color w:val="000000" w:themeColor="text1"/>
                <w:spacing w:val="6"/>
                <w:position w:val="1"/>
                <w:sz w:val="21"/>
                <w:szCs w:val="21"/>
                <w:highlight w:val="none"/>
              </w:rPr>
              <w:t>减</w:t>
            </w:r>
            <w:r>
              <w:rPr>
                <w:rFonts w:hint="eastAsia" w:ascii="Times New Roman" w:hAnsi="Times New Roman" w:eastAsia="宋体" w:cs="Times New Roman"/>
                <w:color w:val="000000" w:themeColor="text1"/>
                <w:spacing w:val="6"/>
                <w:position w:val="1"/>
                <w:sz w:val="21"/>
                <w:szCs w:val="21"/>
                <w:highlight w:val="none"/>
                <w:lang w:eastAsia="zh-CN"/>
              </w:rPr>
              <w:t>（</w:t>
            </w:r>
            <w:r>
              <w:rPr>
                <w:rFonts w:hint="default" w:ascii="Times New Roman" w:hAnsi="Times New Roman" w:eastAsia="宋体" w:cs="Times New Roman"/>
                <w:color w:val="000000" w:themeColor="text1"/>
                <w:position w:val="1"/>
                <w:sz w:val="21"/>
                <w:szCs w:val="21"/>
                <w:highlight w:val="none"/>
              </w:rPr>
              <w:t>dB</w:t>
            </w:r>
            <w:r>
              <w:rPr>
                <w:rFonts w:hint="eastAsia" w:ascii="Times New Roman" w:hAnsi="Times New Roman" w:eastAsia="宋体" w:cs="Times New Roman"/>
                <w:color w:val="000000" w:themeColor="text1"/>
                <w:position w:val="1"/>
                <w:sz w:val="21"/>
                <w:szCs w:val="21"/>
                <w:highlight w:val="none"/>
                <w:lang w:eastAsia="zh-CN"/>
              </w:rPr>
              <w:t>）</w:t>
            </w:r>
          </w:p>
        </w:tc>
        <w:tc>
          <w:tcPr>
            <w:tcW w:w="1127" w:type="dxa"/>
            <w:tcBorders>
              <w:tl2br w:val="nil"/>
              <w:tr2bl w:val="nil"/>
            </w:tcBorders>
            <w:vAlign w:val="center"/>
          </w:tcPr>
          <w:p w14:paraId="2FD1DF3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2"/>
                <w:position w:val="2"/>
                <w:sz w:val="21"/>
                <w:szCs w:val="21"/>
                <w:highlight w:val="none"/>
              </w:rPr>
              <w:t>10≤</w:t>
            </w:r>
            <w:r>
              <w:rPr>
                <w:rFonts w:hint="default" w:ascii="Times New Roman" w:hAnsi="Times New Roman" w:eastAsia="宋体" w:cs="Times New Roman"/>
                <w:color w:val="000000" w:themeColor="text1"/>
                <w:position w:val="1"/>
                <w:sz w:val="21"/>
                <w:szCs w:val="21"/>
                <w:highlight w:val="none"/>
              </w:rPr>
              <w:t>d</w:t>
            </w:r>
            <w:r>
              <w:rPr>
                <w:rFonts w:hint="default" w:ascii="Times New Roman" w:hAnsi="Times New Roman" w:eastAsia="宋体" w:cs="Times New Roman"/>
                <w:color w:val="000000" w:themeColor="text1"/>
                <w:sz w:val="21"/>
                <w:szCs w:val="21"/>
                <w:highlight w:val="none"/>
                <w:vertAlign w:val="subscript"/>
              </w:rPr>
              <w:t>f</w:t>
            </w:r>
            <w:r>
              <w:rPr>
                <w:rFonts w:hint="default" w:ascii="Times New Roman" w:hAnsi="Times New Roman" w:eastAsia="宋体" w:cs="Times New Roman"/>
                <w:color w:val="000000" w:themeColor="text1"/>
                <w:spacing w:val="2"/>
                <w:position w:val="2"/>
                <w:sz w:val="21"/>
                <w:szCs w:val="21"/>
                <w:highlight w:val="none"/>
              </w:rPr>
              <w:t>&lt;20</w:t>
            </w:r>
          </w:p>
        </w:tc>
        <w:tc>
          <w:tcPr>
            <w:tcW w:w="774" w:type="dxa"/>
            <w:tcBorders>
              <w:tl2br w:val="nil"/>
              <w:tr2bl w:val="nil"/>
            </w:tcBorders>
            <w:vAlign w:val="center"/>
          </w:tcPr>
          <w:p w14:paraId="733D19D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0</w:t>
            </w:r>
          </w:p>
        </w:tc>
        <w:tc>
          <w:tcPr>
            <w:tcW w:w="774" w:type="dxa"/>
            <w:tcBorders>
              <w:tl2br w:val="nil"/>
              <w:tr2bl w:val="nil"/>
            </w:tcBorders>
            <w:vAlign w:val="center"/>
          </w:tcPr>
          <w:p w14:paraId="19E3B1A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0</w:t>
            </w:r>
          </w:p>
        </w:tc>
        <w:tc>
          <w:tcPr>
            <w:tcW w:w="774" w:type="dxa"/>
            <w:tcBorders>
              <w:tl2br w:val="nil"/>
              <w:tr2bl w:val="nil"/>
            </w:tcBorders>
            <w:vAlign w:val="center"/>
          </w:tcPr>
          <w:p w14:paraId="06696A0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1</w:t>
            </w:r>
          </w:p>
        </w:tc>
        <w:tc>
          <w:tcPr>
            <w:tcW w:w="774" w:type="dxa"/>
            <w:tcBorders>
              <w:tl2br w:val="nil"/>
              <w:tr2bl w:val="nil"/>
            </w:tcBorders>
            <w:vAlign w:val="center"/>
          </w:tcPr>
          <w:p w14:paraId="63CE4AD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1</w:t>
            </w:r>
          </w:p>
        </w:tc>
        <w:tc>
          <w:tcPr>
            <w:tcW w:w="774" w:type="dxa"/>
            <w:tcBorders>
              <w:tl2br w:val="nil"/>
              <w:tr2bl w:val="nil"/>
            </w:tcBorders>
            <w:vAlign w:val="center"/>
          </w:tcPr>
          <w:p w14:paraId="79467CB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1</w:t>
            </w:r>
          </w:p>
        </w:tc>
        <w:tc>
          <w:tcPr>
            <w:tcW w:w="774" w:type="dxa"/>
            <w:tcBorders>
              <w:tl2br w:val="nil"/>
              <w:tr2bl w:val="nil"/>
            </w:tcBorders>
            <w:vAlign w:val="center"/>
          </w:tcPr>
          <w:p w14:paraId="0D0B562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1</w:t>
            </w:r>
          </w:p>
        </w:tc>
        <w:tc>
          <w:tcPr>
            <w:tcW w:w="774" w:type="dxa"/>
            <w:tcBorders>
              <w:tl2br w:val="nil"/>
              <w:tr2bl w:val="nil"/>
            </w:tcBorders>
            <w:vAlign w:val="center"/>
          </w:tcPr>
          <w:p w14:paraId="515721F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2</w:t>
            </w:r>
          </w:p>
        </w:tc>
        <w:tc>
          <w:tcPr>
            <w:tcW w:w="774" w:type="dxa"/>
            <w:tcBorders>
              <w:tl2br w:val="nil"/>
              <w:tr2bl w:val="nil"/>
            </w:tcBorders>
            <w:vAlign w:val="center"/>
          </w:tcPr>
          <w:p w14:paraId="37FE717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z w:val="21"/>
                <w:szCs w:val="21"/>
                <w:highlight w:val="none"/>
              </w:rPr>
              <w:t>3</w:t>
            </w:r>
          </w:p>
        </w:tc>
      </w:tr>
      <w:tr w14:paraId="36FF10C3">
        <w:tblPrEx>
          <w:tblBorders>
            <w:top w:val="single" w:color="000000" w:sz="12" w:space="0"/>
            <w:left w:val="dotted" w:color="000000" w:sz="4" w:space="0"/>
            <w:bottom w:val="single" w:color="000000" w:sz="12" w:space="0"/>
            <w:right w:val="dotted" w:color="000000" w:sz="4"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208" w:type="dxa"/>
            <w:tcBorders>
              <w:tl2br w:val="nil"/>
              <w:tr2bl w:val="nil"/>
            </w:tcBorders>
            <w:vAlign w:val="center"/>
          </w:tcPr>
          <w:p w14:paraId="0516ADB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eastAsia="zh-CN"/>
              </w:rPr>
            </w:pPr>
            <w:r>
              <w:rPr>
                <w:rFonts w:hint="default" w:ascii="Times New Roman" w:hAnsi="Times New Roman" w:eastAsia="宋体" w:cs="Times New Roman"/>
                <w:color w:val="000000" w:themeColor="text1"/>
                <w:spacing w:val="7"/>
                <w:sz w:val="21"/>
                <w:szCs w:val="21"/>
                <w:highlight w:val="none"/>
              </w:rPr>
              <w:t>衰减系数</w:t>
            </w:r>
            <w:r>
              <w:rPr>
                <w:rFonts w:hint="eastAsia" w:ascii="Times New Roman" w:hAnsi="Times New Roman" w:eastAsia="宋体" w:cs="Times New Roman"/>
                <w:color w:val="000000" w:themeColor="text1"/>
                <w:spacing w:val="7"/>
                <w:sz w:val="21"/>
                <w:szCs w:val="21"/>
                <w:highlight w:val="none"/>
                <w:lang w:eastAsia="zh-CN"/>
              </w:rPr>
              <w:t>（</w:t>
            </w:r>
            <w:r>
              <w:rPr>
                <w:rFonts w:hint="default" w:ascii="Times New Roman" w:hAnsi="Times New Roman" w:eastAsia="宋体" w:cs="Times New Roman"/>
                <w:color w:val="000000" w:themeColor="text1"/>
                <w:sz w:val="21"/>
                <w:szCs w:val="21"/>
                <w:highlight w:val="none"/>
              </w:rPr>
              <w:t>dB</w:t>
            </w:r>
            <w:r>
              <w:rPr>
                <w:rFonts w:hint="default" w:ascii="Times New Roman" w:hAnsi="Times New Roman" w:eastAsia="宋体" w:cs="Times New Roman"/>
                <w:color w:val="000000" w:themeColor="text1"/>
                <w:spacing w:val="21"/>
                <w:sz w:val="21"/>
                <w:szCs w:val="21"/>
                <w:highlight w:val="none"/>
              </w:rPr>
              <w:t>/</w:t>
            </w:r>
            <w:r>
              <w:rPr>
                <w:rFonts w:hint="default" w:ascii="Times New Roman" w:hAnsi="Times New Roman" w:eastAsia="宋体" w:cs="Times New Roman"/>
                <w:color w:val="000000" w:themeColor="text1"/>
                <w:sz w:val="21"/>
                <w:szCs w:val="21"/>
                <w:highlight w:val="none"/>
              </w:rPr>
              <w:t>m</w:t>
            </w:r>
            <w:r>
              <w:rPr>
                <w:rFonts w:hint="eastAsia" w:ascii="Times New Roman" w:hAnsi="Times New Roman" w:eastAsia="宋体" w:cs="Times New Roman"/>
                <w:color w:val="000000" w:themeColor="text1"/>
                <w:sz w:val="21"/>
                <w:szCs w:val="21"/>
                <w:highlight w:val="none"/>
                <w:lang w:eastAsia="zh-CN"/>
              </w:rPr>
              <w:t>）</w:t>
            </w:r>
          </w:p>
        </w:tc>
        <w:tc>
          <w:tcPr>
            <w:tcW w:w="1127" w:type="dxa"/>
            <w:tcBorders>
              <w:tl2br w:val="nil"/>
              <w:tr2bl w:val="nil"/>
            </w:tcBorders>
            <w:vAlign w:val="center"/>
          </w:tcPr>
          <w:p w14:paraId="23EC55F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position w:val="2"/>
                <w:sz w:val="21"/>
                <w:szCs w:val="21"/>
                <w:highlight w:val="none"/>
              </w:rPr>
              <w:t>2</w:t>
            </w:r>
            <w:r>
              <w:rPr>
                <w:rFonts w:hint="default" w:ascii="Times New Roman" w:hAnsi="Times New Roman" w:eastAsia="宋体" w:cs="Times New Roman"/>
                <w:color w:val="000000" w:themeColor="text1"/>
                <w:spacing w:val="5"/>
                <w:position w:val="2"/>
                <w:sz w:val="21"/>
                <w:szCs w:val="21"/>
                <w:highlight w:val="none"/>
              </w:rPr>
              <w:t>0≤</w:t>
            </w:r>
            <w:r>
              <w:rPr>
                <w:rFonts w:hint="default" w:ascii="Times New Roman" w:hAnsi="Times New Roman" w:eastAsia="宋体" w:cs="Times New Roman"/>
                <w:color w:val="000000" w:themeColor="text1"/>
                <w:position w:val="1"/>
                <w:sz w:val="21"/>
                <w:szCs w:val="21"/>
                <w:highlight w:val="none"/>
              </w:rPr>
              <w:t>d</w:t>
            </w:r>
            <w:r>
              <w:rPr>
                <w:rFonts w:hint="default" w:ascii="Times New Roman" w:hAnsi="Times New Roman" w:eastAsia="宋体" w:cs="Times New Roman"/>
                <w:color w:val="000000" w:themeColor="text1"/>
                <w:sz w:val="21"/>
                <w:szCs w:val="21"/>
                <w:highlight w:val="none"/>
                <w:vertAlign w:val="subscript"/>
              </w:rPr>
              <w:t>f</w:t>
            </w:r>
            <w:r>
              <w:rPr>
                <w:rFonts w:hint="default" w:ascii="Times New Roman" w:hAnsi="Times New Roman" w:eastAsia="宋体" w:cs="Times New Roman"/>
                <w:color w:val="000000" w:themeColor="text1"/>
                <w:spacing w:val="5"/>
                <w:position w:val="2"/>
                <w:sz w:val="21"/>
                <w:szCs w:val="21"/>
                <w:highlight w:val="none"/>
              </w:rPr>
              <w:t>&lt;200</w:t>
            </w:r>
          </w:p>
        </w:tc>
        <w:tc>
          <w:tcPr>
            <w:tcW w:w="774" w:type="dxa"/>
            <w:tcBorders>
              <w:tl2br w:val="nil"/>
              <w:tr2bl w:val="nil"/>
            </w:tcBorders>
            <w:vAlign w:val="center"/>
          </w:tcPr>
          <w:p w14:paraId="7C605DA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.02</w:t>
            </w:r>
          </w:p>
        </w:tc>
        <w:tc>
          <w:tcPr>
            <w:tcW w:w="774" w:type="dxa"/>
            <w:tcBorders>
              <w:tl2br w:val="nil"/>
              <w:tr2bl w:val="nil"/>
            </w:tcBorders>
            <w:vAlign w:val="center"/>
          </w:tcPr>
          <w:p w14:paraId="47E2305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.03</w:t>
            </w:r>
          </w:p>
        </w:tc>
        <w:tc>
          <w:tcPr>
            <w:tcW w:w="774" w:type="dxa"/>
            <w:tcBorders>
              <w:tl2br w:val="nil"/>
              <w:tr2bl w:val="nil"/>
            </w:tcBorders>
            <w:vAlign w:val="center"/>
          </w:tcPr>
          <w:p w14:paraId="00821CF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.04</w:t>
            </w:r>
          </w:p>
        </w:tc>
        <w:tc>
          <w:tcPr>
            <w:tcW w:w="774" w:type="dxa"/>
            <w:tcBorders>
              <w:tl2br w:val="nil"/>
              <w:tr2bl w:val="nil"/>
            </w:tcBorders>
            <w:vAlign w:val="center"/>
          </w:tcPr>
          <w:p w14:paraId="4E4F060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.05</w:t>
            </w:r>
          </w:p>
        </w:tc>
        <w:tc>
          <w:tcPr>
            <w:tcW w:w="774" w:type="dxa"/>
            <w:tcBorders>
              <w:tl2br w:val="nil"/>
              <w:tr2bl w:val="nil"/>
            </w:tcBorders>
            <w:vAlign w:val="center"/>
          </w:tcPr>
          <w:p w14:paraId="67D833E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.06</w:t>
            </w:r>
          </w:p>
        </w:tc>
        <w:tc>
          <w:tcPr>
            <w:tcW w:w="774" w:type="dxa"/>
            <w:tcBorders>
              <w:tl2br w:val="nil"/>
              <w:tr2bl w:val="nil"/>
            </w:tcBorders>
            <w:vAlign w:val="center"/>
          </w:tcPr>
          <w:p w14:paraId="1605A3E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.08</w:t>
            </w:r>
          </w:p>
        </w:tc>
        <w:tc>
          <w:tcPr>
            <w:tcW w:w="774" w:type="dxa"/>
            <w:tcBorders>
              <w:tl2br w:val="nil"/>
              <w:tr2bl w:val="nil"/>
            </w:tcBorders>
            <w:vAlign w:val="center"/>
          </w:tcPr>
          <w:p w14:paraId="10867D0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4"/>
                <w:sz w:val="21"/>
                <w:szCs w:val="21"/>
                <w:highlight w:val="none"/>
              </w:rPr>
              <w:t>0</w:t>
            </w:r>
            <w:r>
              <w:rPr>
                <w:rFonts w:hint="default" w:ascii="Times New Roman" w:hAnsi="Times New Roman" w:eastAsia="宋体" w:cs="Times New Roman"/>
                <w:color w:val="000000" w:themeColor="text1"/>
                <w:spacing w:val="2"/>
                <w:sz w:val="21"/>
                <w:szCs w:val="21"/>
                <w:highlight w:val="none"/>
              </w:rPr>
              <w:t>.09</w:t>
            </w:r>
          </w:p>
        </w:tc>
        <w:tc>
          <w:tcPr>
            <w:tcW w:w="774" w:type="dxa"/>
            <w:tcBorders>
              <w:tl2br w:val="nil"/>
              <w:tr2bl w:val="nil"/>
            </w:tcBorders>
            <w:vAlign w:val="center"/>
          </w:tcPr>
          <w:p w14:paraId="106760C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rPr>
            </w:pPr>
            <w:r>
              <w:rPr>
                <w:rFonts w:hint="default" w:ascii="Times New Roman" w:hAnsi="Times New Roman" w:eastAsia="宋体" w:cs="Times New Roman"/>
                <w:color w:val="000000" w:themeColor="text1"/>
                <w:spacing w:val="-8"/>
                <w:sz w:val="21"/>
                <w:szCs w:val="21"/>
                <w:highlight w:val="none"/>
              </w:rPr>
              <w:t>0.12</w:t>
            </w:r>
          </w:p>
        </w:tc>
      </w:tr>
    </w:tbl>
    <w:p w14:paraId="38A445D6">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h 建筑群噪声衰减（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lang w:val="en-US" w:eastAsia="zh-CN" w:bidi="ar-SA"/>
        </w:rPr>
        <w:t>）</w:t>
      </w:r>
    </w:p>
    <w:p w14:paraId="03B714B3">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建筑群衰减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lang w:val="en-US" w:eastAsia="zh-CN" w:bidi="ar-SA"/>
        </w:rPr>
        <w:t>不超过</w:t>
      </w:r>
      <w:r>
        <w:rPr>
          <w:rFonts w:hint="default" w:ascii="Times New Roman" w:hAnsi="Times New Roman" w:eastAsia="宋体" w:cs="Times New Roman"/>
          <w:color w:val="000000" w:themeColor="text1"/>
          <w:kern w:val="0"/>
          <w:sz w:val="24"/>
          <w:szCs w:val="24"/>
          <w:highlight w:val="none"/>
          <w:lang w:val="en-US" w:eastAsia="zh-CN" w:bidi="ar-SA"/>
        </w:rPr>
        <w:t>10dB</w:t>
      </w:r>
      <w:r>
        <w:rPr>
          <w:rFonts w:hint="eastAsia" w:ascii="Times New Roman" w:hAnsi="Times New Roman" w:eastAsia="宋体" w:cs="Times New Roman"/>
          <w:color w:val="000000" w:themeColor="text1"/>
          <w:kern w:val="0"/>
          <w:sz w:val="24"/>
          <w:szCs w:val="24"/>
          <w:highlight w:val="none"/>
          <w:lang w:val="en-US" w:eastAsia="zh-CN" w:bidi="ar-SA"/>
        </w:rPr>
        <w:t>时，近似等效连续</w:t>
      </w:r>
      <w:r>
        <w:rPr>
          <w:rFonts w:hint="default" w:ascii="Times New Roman" w:hAnsi="Times New Roman" w:eastAsia="宋体" w:cs="Times New Roman"/>
          <w:color w:val="000000" w:themeColor="text1"/>
          <w:kern w:val="0"/>
          <w:sz w:val="24"/>
          <w:szCs w:val="24"/>
          <w:highlight w:val="none"/>
          <w:lang w:val="en-US" w:eastAsia="zh-CN" w:bidi="ar-SA"/>
        </w:rPr>
        <w:t>A</w:t>
      </w:r>
      <w:r>
        <w:rPr>
          <w:rFonts w:hint="eastAsia" w:ascii="Times New Roman" w:hAnsi="Times New Roman" w:eastAsia="宋体" w:cs="Times New Roman"/>
          <w:color w:val="000000" w:themeColor="text1"/>
          <w:kern w:val="0"/>
          <w:sz w:val="24"/>
          <w:szCs w:val="24"/>
          <w:highlight w:val="none"/>
          <w:lang w:val="en-US" w:eastAsia="zh-CN" w:bidi="ar-SA"/>
        </w:rPr>
        <w:t>声级按下式估算。当从受声点可直接观察到线路时，不考虑此项衰减。</w:t>
      </w:r>
    </w:p>
    <w:p w14:paraId="5B816B7C">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1740535" cy="304800"/>
            <wp:effectExtent l="0" t="0" r="12065" b="0"/>
            <wp:docPr id="7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9"/>
                    <pic:cNvPicPr>
                      <a:picLocks noChangeAspect="1"/>
                    </pic:cNvPicPr>
                  </pic:nvPicPr>
                  <pic:blipFill>
                    <a:blip r:embed="rId73"/>
                    <a:stretch>
                      <a:fillRect/>
                    </a:stretch>
                  </pic:blipFill>
                  <pic:spPr>
                    <a:xfrm>
                      <a:off x="0" y="0"/>
                      <a:ext cx="1740535" cy="304800"/>
                    </a:xfrm>
                    <a:prstGeom prst="rect">
                      <a:avLst/>
                    </a:prstGeom>
                    <a:noFill/>
                    <a:ln>
                      <a:noFill/>
                    </a:ln>
                  </pic:spPr>
                </pic:pic>
              </a:graphicData>
            </a:graphic>
          </wp:inline>
        </w:drawing>
      </w:r>
    </w:p>
    <w:p w14:paraId="647F3911">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lang w:val="en-US" w:eastAsia="zh-CN" w:bidi="ar-SA"/>
        </w:rPr>
        <w:t>，</w:t>
      </w:r>
      <w:r>
        <w:rPr>
          <w:rFonts w:hint="default" w:ascii="Times New Roman" w:hAnsi="Times New Roman" w:eastAsia="宋体" w:cs="Times New Roman"/>
          <w:color w:val="000000" w:themeColor="text1"/>
          <w:kern w:val="0"/>
          <w:sz w:val="24"/>
          <w:szCs w:val="24"/>
          <w:highlight w:val="none"/>
          <w:lang w:val="en-US" w:eastAsia="zh-CN" w:bidi="ar-SA"/>
        </w:rPr>
        <w:t>1</w:t>
      </w:r>
      <w:r>
        <w:rPr>
          <w:rFonts w:hint="eastAsia" w:ascii="Times New Roman" w:hAnsi="Times New Roman" w:eastAsia="宋体" w:cs="Times New Roman"/>
          <w:color w:val="000000" w:themeColor="text1"/>
          <w:kern w:val="0"/>
          <w:sz w:val="24"/>
          <w:szCs w:val="24"/>
          <w:highlight w:val="none"/>
          <w:lang w:val="en-US" w:eastAsia="zh-CN" w:bidi="ar-SA"/>
        </w:rPr>
        <w:t>按下式计算，单位为</w:t>
      </w:r>
      <w:r>
        <w:rPr>
          <w:rFonts w:hint="default" w:ascii="Times New Roman" w:hAnsi="Times New Roman" w:eastAsia="宋体" w:cs="Times New Roman"/>
          <w:color w:val="000000" w:themeColor="text1"/>
          <w:kern w:val="0"/>
          <w:sz w:val="24"/>
          <w:szCs w:val="24"/>
          <w:highlight w:val="none"/>
          <w:lang w:val="en-US" w:eastAsia="zh-CN" w:bidi="ar-SA"/>
        </w:rPr>
        <w:t>dB</w:t>
      </w:r>
      <w:r>
        <w:rPr>
          <w:rFonts w:hint="eastAsia" w:ascii="Times New Roman" w:hAnsi="Times New Roman" w:eastAsia="宋体" w:cs="Times New Roman"/>
          <w:color w:val="000000" w:themeColor="text1"/>
          <w:kern w:val="0"/>
          <w:sz w:val="24"/>
          <w:szCs w:val="24"/>
          <w:highlight w:val="none"/>
          <w:lang w:val="en-US" w:eastAsia="zh-CN" w:bidi="ar-SA"/>
        </w:rPr>
        <w:t>。</w:t>
      </w:r>
    </w:p>
    <w:p w14:paraId="4F427546">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cs="Times New Roman"/>
          <w:color w:val="000000" w:themeColor="text1"/>
          <w:kern w:val="0"/>
          <w:sz w:val="24"/>
          <w:szCs w:val="24"/>
          <w:highlight w:val="none"/>
          <w:lang w:val="en-US" w:eastAsia="zh-CN" w:bidi="ar-SA"/>
        </w:rPr>
        <w:t xml:space="preserve">    </w:t>
      </w: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1052830" cy="255270"/>
            <wp:effectExtent l="0" t="0" r="13970" b="0"/>
            <wp:docPr id="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0"/>
                    <pic:cNvPicPr>
                      <a:picLocks noChangeAspect="1"/>
                    </pic:cNvPicPr>
                  </pic:nvPicPr>
                  <pic:blipFill>
                    <a:blip r:embed="rId74"/>
                    <a:stretch>
                      <a:fillRect/>
                    </a:stretch>
                  </pic:blipFill>
                  <pic:spPr>
                    <a:xfrm>
                      <a:off x="0" y="0"/>
                      <a:ext cx="1052830" cy="255270"/>
                    </a:xfrm>
                    <a:prstGeom prst="rect">
                      <a:avLst/>
                    </a:prstGeom>
                    <a:noFill/>
                    <a:ln>
                      <a:noFill/>
                    </a:ln>
                  </pic:spPr>
                </pic:pic>
              </a:graphicData>
            </a:graphic>
          </wp:inline>
        </w:drawing>
      </w:r>
    </w:p>
    <w:p w14:paraId="25447488">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w:t>
      </w:r>
    </w:p>
    <w:p w14:paraId="66D4C999">
      <w:pPr>
        <w:widowControl/>
        <w:spacing w:line="360" w:lineRule="auto"/>
        <w:ind w:firstLine="960" w:firstLineChars="400"/>
        <w:rPr>
          <w:rFonts w:hint="eastAsia"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B——</w:t>
      </w:r>
      <w:r>
        <w:rPr>
          <w:rFonts w:hint="eastAsia" w:ascii="Times New Roman" w:hAnsi="Times New Roman" w:eastAsia="宋体" w:cs="Times New Roman"/>
          <w:color w:val="000000" w:themeColor="text1"/>
          <w:kern w:val="0"/>
          <w:sz w:val="24"/>
          <w:szCs w:val="24"/>
          <w:highlight w:val="none"/>
          <w:lang w:val="en-US" w:eastAsia="zh-CN" w:bidi="ar-SA"/>
        </w:rPr>
        <w:t>沿声传播路线上的建筑物的密度，等于建筑物总平面面积除以总地面面积（包括建筑物所占面积）；</w:t>
      </w:r>
    </w:p>
    <w:p w14:paraId="16A63750">
      <w:pPr>
        <w:widowControl/>
        <w:spacing w:line="360" w:lineRule="auto"/>
        <w:ind w:firstLine="960" w:firstLineChars="400"/>
        <w:rPr>
          <w:rFonts w:hint="eastAsia"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d</w:t>
      </w:r>
      <w:r>
        <w:rPr>
          <w:rFonts w:hint="default" w:ascii="Times New Roman" w:hAnsi="Times New Roman" w:eastAsia="宋体" w:cs="Times New Roman"/>
          <w:color w:val="000000" w:themeColor="text1"/>
          <w:kern w:val="0"/>
          <w:sz w:val="24"/>
          <w:szCs w:val="24"/>
          <w:highlight w:val="none"/>
          <w:vertAlign w:val="subscript"/>
          <w:lang w:val="en-US" w:eastAsia="zh-CN" w:bidi="ar-SA"/>
        </w:rPr>
        <w:t>b</w:t>
      </w:r>
      <w:r>
        <w:rPr>
          <w:rFonts w:hint="default" w:ascii="Times New Roman" w:hAnsi="Times New Roman" w:eastAsia="宋体" w:cs="Times New Roman"/>
          <w:color w:val="000000" w:themeColor="text1"/>
          <w:kern w:val="0"/>
          <w:sz w:val="24"/>
          <w:szCs w:val="24"/>
          <w:highlight w:val="none"/>
          <w:lang w:val="en-US" w:eastAsia="zh-CN" w:bidi="ar-SA"/>
        </w:rPr>
        <w:t>——</w:t>
      </w:r>
      <w:r>
        <w:rPr>
          <w:rFonts w:hint="eastAsia" w:ascii="Times New Roman" w:hAnsi="Times New Roman" w:eastAsia="宋体" w:cs="Times New Roman"/>
          <w:color w:val="000000" w:themeColor="text1"/>
          <w:kern w:val="0"/>
          <w:sz w:val="24"/>
          <w:szCs w:val="24"/>
          <w:highlight w:val="none"/>
          <w:lang w:val="en-US" w:eastAsia="zh-CN" w:bidi="ar-SA"/>
        </w:rPr>
        <w:t>通过建筑群的声传播路线长度，按下式计算，</w:t>
      </w:r>
      <w:r>
        <w:rPr>
          <w:rFonts w:hint="default" w:ascii="Times New Roman" w:hAnsi="Times New Roman" w:eastAsia="宋体" w:cs="Times New Roman"/>
          <w:color w:val="000000" w:themeColor="text1"/>
          <w:kern w:val="0"/>
          <w:sz w:val="24"/>
          <w:szCs w:val="24"/>
          <w:highlight w:val="none"/>
          <w:lang w:val="en-US" w:eastAsia="zh-CN" w:bidi="ar-SA"/>
        </w:rPr>
        <w:t>d</w:t>
      </w:r>
      <w:r>
        <w:rPr>
          <w:rFonts w:hint="default" w:ascii="Times New Roman" w:hAnsi="Times New Roman" w:eastAsia="宋体" w:cs="Times New Roman"/>
          <w:color w:val="000000" w:themeColor="text1"/>
          <w:kern w:val="0"/>
          <w:sz w:val="24"/>
          <w:szCs w:val="24"/>
          <w:highlight w:val="none"/>
          <w:vertAlign w:val="subscript"/>
          <w:lang w:val="en-US" w:eastAsia="zh-CN" w:bidi="ar-SA"/>
        </w:rPr>
        <w:t>1</w:t>
      </w:r>
      <w:r>
        <w:rPr>
          <w:rFonts w:hint="eastAsia" w:ascii="Times New Roman" w:hAnsi="Times New Roman" w:eastAsia="宋体" w:cs="Times New Roman"/>
          <w:color w:val="000000" w:themeColor="text1"/>
          <w:kern w:val="0"/>
          <w:sz w:val="24"/>
          <w:szCs w:val="24"/>
          <w:highlight w:val="none"/>
          <w:lang w:val="en-US" w:eastAsia="zh-CN" w:bidi="ar-SA"/>
        </w:rPr>
        <w:t>和</w:t>
      </w:r>
      <w:r>
        <w:rPr>
          <w:rFonts w:hint="default" w:ascii="Times New Roman" w:hAnsi="Times New Roman" w:eastAsia="宋体" w:cs="Times New Roman"/>
          <w:color w:val="000000" w:themeColor="text1"/>
          <w:kern w:val="0"/>
          <w:sz w:val="24"/>
          <w:szCs w:val="24"/>
          <w:highlight w:val="none"/>
          <w:lang w:val="en-US" w:eastAsia="zh-CN" w:bidi="ar-SA"/>
        </w:rPr>
        <w:t>d</w:t>
      </w:r>
      <w:r>
        <w:rPr>
          <w:rFonts w:hint="default" w:ascii="Times New Roman" w:hAnsi="Times New Roman" w:eastAsia="宋体" w:cs="Times New Roman"/>
          <w:color w:val="000000" w:themeColor="text1"/>
          <w:kern w:val="0"/>
          <w:sz w:val="24"/>
          <w:szCs w:val="24"/>
          <w:highlight w:val="none"/>
          <w:vertAlign w:val="subscript"/>
          <w:lang w:val="en-US" w:eastAsia="zh-CN" w:bidi="ar-SA"/>
        </w:rPr>
        <w:t>2</w:t>
      </w:r>
      <w:r>
        <w:rPr>
          <w:rFonts w:hint="eastAsia" w:ascii="Times New Roman" w:hAnsi="Times New Roman" w:eastAsia="宋体" w:cs="Times New Roman"/>
          <w:color w:val="000000" w:themeColor="text1"/>
          <w:kern w:val="0"/>
          <w:sz w:val="24"/>
          <w:szCs w:val="24"/>
          <w:highlight w:val="none"/>
          <w:lang w:val="en-US" w:eastAsia="zh-CN" w:bidi="ar-SA"/>
        </w:rPr>
        <w:t>如下图所示。</w:t>
      </w:r>
    </w:p>
    <w:p w14:paraId="17A6D6EB">
      <w:pPr>
        <w:widowControl/>
        <w:spacing w:line="360" w:lineRule="auto"/>
        <w:ind w:firstLine="960" w:firstLineChars="400"/>
        <w:rPr>
          <w:rFonts w:hint="eastAsia"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d</w:t>
      </w:r>
      <w:r>
        <w:rPr>
          <w:rFonts w:hint="default" w:ascii="Times New Roman" w:hAnsi="Times New Roman" w:eastAsia="宋体" w:cs="Times New Roman"/>
          <w:color w:val="000000" w:themeColor="text1"/>
          <w:kern w:val="0"/>
          <w:sz w:val="24"/>
          <w:szCs w:val="24"/>
          <w:highlight w:val="none"/>
          <w:vertAlign w:val="subscript"/>
          <w:lang w:val="en-US" w:eastAsia="zh-CN" w:bidi="ar-SA"/>
        </w:rPr>
        <w:t>b</w:t>
      </w:r>
      <w:r>
        <w:rPr>
          <w:rFonts w:hint="default" w:ascii="Times New Roman" w:hAnsi="Times New Roman" w:eastAsia="宋体" w:cs="Times New Roman"/>
          <w:color w:val="000000" w:themeColor="text1"/>
          <w:kern w:val="0"/>
          <w:sz w:val="24"/>
          <w:szCs w:val="24"/>
          <w:highlight w:val="none"/>
          <w:lang w:val="en-US" w:eastAsia="zh-CN" w:bidi="ar-SA"/>
        </w:rPr>
        <w:t>=d</w:t>
      </w:r>
      <w:r>
        <w:rPr>
          <w:rFonts w:hint="default" w:ascii="Times New Roman" w:hAnsi="Times New Roman" w:eastAsia="宋体" w:cs="Times New Roman"/>
          <w:color w:val="000000" w:themeColor="text1"/>
          <w:kern w:val="0"/>
          <w:sz w:val="24"/>
          <w:szCs w:val="24"/>
          <w:highlight w:val="none"/>
          <w:vertAlign w:val="subscript"/>
          <w:lang w:val="en-US" w:eastAsia="zh-CN" w:bidi="ar-SA"/>
        </w:rPr>
        <w:t>1</w:t>
      </w:r>
      <w:r>
        <w:rPr>
          <w:rFonts w:hint="default" w:ascii="Times New Roman" w:hAnsi="Times New Roman" w:eastAsia="宋体" w:cs="Times New Roman"/>
          <w:color w:val="000000" w:themeColor="text1"/>
          <w:kern w:val="0"/>
          <w:sz w:val="24"/>
          <w:szCs w:val="24"/>
          <w:highlight w:val="none"/>
          <w:lang w:val="en-US" w:eastAsia="zh-CN" w:bidi="ar-SA"/>
        </w:rPr>
        <w:t>+d</w:t>
      </w:r>
      <w:r>
        <w:rPr>
          <w:rFonts w:hint="default" w:ascii="Times New Roman" w:hAnsi="Times New Roman" w:eastAsia="宋体" w:cs="Times New Roman"/>
          <w:color w:val="000000" w:themeColor="text1"/>
          <w:kern w:val="0"/>
          <w:sz w:val="24"/>
          <w:szCs w:val="24"/>
          <w:highlight w:val="none"/>
          <w:vertAlign w:val="subscript"/>
          <w:lang w:val="en-US" w:eastAsia="zh-CN" w:bidi="ar-SA"/>
        </w:rPr>
        <w:t>2</w:t>
      </w:r>
    </w:p>
    <w:p w14:paraId="13385686">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4286250" cy="1390650"/>
            <wp:effectExtent l="0" t="0" r="11430" b="11430"/>
            <wp:docPr id="7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1"/>
                    <pic:cNvPicPr>
                      <a:picLocks noChangeAspect="1"/>
                    </pic:cNvPicPr>
                  </pic:nvPicPr>
                  <pic:blipFill>
                    <a:blip r:embed="rId75"/>
                    <a:stretch>
                      <a:fillRect/>
                    </a:stretch>
                  </pic:blipFill>
                  <pic:spPr>
                    <a:xfrm>
                      <a:off x="0" y="0"/>
                      <a:ext cx="4286250" cy="1390650"/>
                    </a:xfrm>
                    <a:prstGeom prst="rect">
                      <a:avLst/>
                    </a:prstGeom>
                    <a:noFill/>
                    <a:ln>
                      <a:noFill/>
                    </a:ln>
                  </pic:spPr>
                </pic:pic>
              </a:graphicData>
            </a:graphic>
          </wp:inline>
        </w:drawing>
      </w:r>
    </w:p>
    <w:p w14:paraId="14766FA8">
      <w:pPr>
        <w:pageBreakBefore w:val="0"/>
        <w:wordWrap/>
        <w:topLinePunct w:val="0"/>
        <w:bidi w:val="0"/>
        <w:spacing w:line="360" w:lineRule="auto"/>
        <w:ind w:firstLine="482"/>
        <w:jc w:val="center"/>
        <w:rPr>
          <w:rFonts w:hint="eastAsia"/>
          <w:b/>
          <w:color w:val="000000" w:themeColor="text1"/>
          <w:highlight w:val="none"/>
          <w:lang w:val="en-US" w:eastAsia="zh-CN"/>
        </w:rPr>
      </w:pPr>
      <w:r>
        <w:rPr>
          <w:rFonts w:hint="eastAsia"/>
          <w:b/>
          <w:color w:val="000000" w:themeColor="text1"/>
          <w:highlight w:val="none"/>
          <w:lang w:val="en-US" w:eastAsia="zh-CN"/>
        </w:rPr>
        <w:t>图5.2-6  建筑群中声传播路径</w:t>
      </w:r>
    </w:p>
    <w:p w14:paraId="752DC1CC">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假如声源沿线附近有成排整齐排列的建筑物时，则可将附加项</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vertAlign w:val="subscript"/>
          <w:lang w:val="en-US" w:eastAsia="zh-CN" w:bidi="ar-SA"/>
        </w:rPr>
        <w:t>，</w:t>
      </w:r>
      <w:r>
        <w:rPr>
          <w:rFonts w:hint="default" w:ascii="Times New Roman" w:hAnsi="Times New Roman" w:eastAsia="宋体" w:cs="Times New Roman"/>
          <w:color w:val="000000" w:themeColor="text1"/>
          <w:kern w:val="0"/>
          <w:sz w:val="24"/>
          <w:szCs w:val="24"/>
          <w:highlight w:val="none"/>
          <w:vertAlign w:val="subscript"/>
          <w:lang w:val="en-US" w:eastAsia="zh-CN" w:bidi="ar-SA"/>
        </w:rPr>
        <w:t>2</w:t>
      </w:r>
      <w:r>
        <w:rPr>
          <w:rFonts w:hint="eastAsia" w:ascii="Times New Roman" w:hAnsi="Times New Roman" w:eastAsia="宋体" w:cs="Times New Roman"/>
          <w:color w:val="000000" w:themeColor="text1"/>
          <w:kern w:val="0"/>
          <w:sz w:val="24"/>
          <w:szCs w:val="24"/>
          <w:highlight w:val="none"/>
          <w:lang w:val="en-US" w:eastAsia="zh-CN" w:bidi="ar-SA"/>
        </w:rPr>
        <w:t>包括在内（假定这一项小于在同一位置上与建筑物平均高度等高的一个屏障插入损失）。</w:t>
      </w:r>
    </w:p>
    <w:p w14:paraId="59E0A2A4">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vertAlign w:val="subscript"/>
          <w:lang w:val="en-US" w:eastAsia="zh-CN" w:bidi="ar-SA"/>
        </w:rPr>
        <w:t>，</w:t>
      </w:r>
      <w:r>
        <w:rPr>
          <w:rFonts w:hint="default" w:ascii="Times New Roman" w:hAnsi="Times New Roman" w:eastAsia="宋体" w:cs="Times New Roman"/>
          <w:color w:val="000000" w:themeColor="text1"/>
          <w:kern w:val="0"/>
          <w:sz w:val="24"/>
          <w:szCs w:val="24"/>
          <w:highlight w:val="none"/>
          <w:vertAlign w:val="subscript"/>
          <w:lang w:val="en-US" w:eastAsia="zh-CN" w:bidi="ar-SA"/>
        </w:rPr>
        <w:t>2</w:t>
      </w:r>
      <w:r>
        <w:rPr>
          <w:rFonts w:hint="eastAsia" w:ascii="Times New Roman" w:hAnsi="Times New Roman" w:eastAsia="宋体" w:cs="Times New Roman"/>
          <w:color w:val="000000" w:themeColor="text1"/>
          <w:kern w:val="0"/>
          <w:sz w:val="24"/>
          <w:szCs w:val="24"/>
          <w:highlight w:val="none"/>
          <w:lang w:val="en-US" w:eastAsia="zh-CN" w:bidi="ar-SA"/>
        </w:rPr>
        <w:t>按下式计算</w:t>
      </w:r>
    </w:p>
    <w:p w14:paraId="7B66AC91">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vertAlign w:val="subscript"/>
          <w:lang w:val="en-US" w:eastAsia="zh-CN" w:bidi="ar-SA"/>
        </w:rPr>
        <w:t>，</w:t>
      </w:r>
      <w:r>
        <w:rPr>
          <w:rFonts w:hint="default" w:ascii="Times New Roman" w:hAnsi="Times New Roman" w:eastAsia="宋体" w:cs="Times New Roman"/>
          <w:color w:val="000000" w:themeColor="text1"/>
          <w:kern w:val="0"/>
          <w:sz w:val="24"/>
          <w:szCs w:val="24"/>
          <w:highlight w:val="none"/>
          <w:vertAlign w:val="subscript"/>
          <w:lang w:val="en-US" w:eastAsia="zh-CN" w:bidi="ar-SA"/>
        </w:rPr>
        <w:t>2</w:t>
      </w:r>
      <w:r>
        <w:rPr>
          <w:rFonts w:hint="default" w:ascii="Times New Roman" w:hAnsi="Times New Roman" w:eastAsia="宋体" w:cs="Times New Roman"/>
          <w:color w:val="000000" w:themeColor="text1"/>
          <w:kern w:val="0"/>
          <w:sz w:val="24"/>
          <w:szCs w:val="24"/>
          <w:highlight w:val="none"/>
          <w:lang w:val="en-US" w:eastAsia="zh-CN" w:bidi="ar-SA"/>
        </w:rPr>
        <w:t>=-10lg</w:t>
      </w:r>
      <w:r>
        <w:rPr>
          <w:rFonts w:hint="eastAsia" w:ascii="Times New Roman" w:hAnsi="Times New Roman" w:eastAsia="宋体" w:cs="Times New Roman"/>
          <w:color w:val="000000" w:themeColor="text1"/>
          <w:kern w:val="0"/>
          <w:sz w:val="24"/>
          <w:szCs w:val="24"/>
          <w:highlight w:val="none"/>
          <w:lang w:val="en-US" w:eastAsia="zh-CN" w:bidi="ar-SA"/>
        </w:rPr>
        <w:t>（</w:t>
      </w:r>
      <w:r>
        <w:rPr>
          <w:rFonts w:hint="default" w:ascii="Times New Roman" w:hAnsi="Times New Roman" w:eastAsia="宋体" w:cs="Times New Roman"/>
          <w:color w:val="000000" w:themeColor="text1"/>
          <w:kern w:val="0"/>
          <w:sz w:val="24"/>
          <w:szCs w:val="24"/>
          <w:highlight w:val="none"/>
          <w:lang w:val="en-US" w:eastAsia="zh-CN" w:bidi="ar-SA"/>
        </w:rPr>
        <w:t>1-P</w:t>
      </w:r>
      <w:r>
        <w:rPr>
          <w:rFonts w:hint="eastAsia" w:ascii="Times New Roman" w:hAnsi="Times New Roman" w:eastAsia="宋体" w:cs="Times New Roman"/>
          <w:color w:val="000000" w:themeColor="text1"/>
          <w:kern w:val="0"/>
          <w:sz w:val="24"/>
          <w:szCs w:val="24"/>
          <w:highlight w:val="none"/>
          <w:lang w:val="en-US" w:eastAsia="zh-CN" w:bidi="ar-SA"/>
        </w:rPr>
        <w:t>）</w:t>
      </w:r>
    </w:p>
    <w:p w14:paraId="13BD956E">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w:t>
      </w:r>
      <w:r>
        <w:rPr>
          <w:rFonts w:hint="default" w:ascii="Times New Roman" w:hAnsi="Times New Roman" w:eastAsia="宋体" w:cs="Times New Roman"/>
          <w:color w:val="000000" w:themeColor="text1"/>
          <w:kern w:val="0"/>
          <w:sz w:val="24"/>
          <w:szCs w:val="24"/>
          <w:highlight w:val="none"/>
          <w:lang w:val="en-US" w:eastAsia="zh-CN" w:bidi="ar-SA"/>
        </w:rPr>
        <w:t>P——</w:t>
      </w:r>
      <w:r>
        <w:rPr>
          <w:rFonts w:hint="eastAsia" w:ascii="Times New Roman" w:hAnsi="Times New Roman" w:eastAsia="宋体" w:cs="Times New Roman"/>
          <w:color w:val="000000" w:themeColor="text1"/>
          <w:kern w:val="0"/>
          <w:sz w:val="24"/>
          <w:szCs w:val="24"/>
          <w:highlight w:val="none"/>
          <w:lang w:val="en-US" w:eastAsia="zh-CN" w:bidi="ar-SA"/>
        </w:rPr>
        <w:t>沿声源纵向分布的建筑物正面总长度除以对应的声源长度，其值小于或等于</w:t>
      </w:r>
      <w:r>
        <w:rPr>
          <w:rFonts w:hint="default" w:ascii="Times New Roman" w:hAnsi="Times New Roman" w:eastAsia="宋体" w:cs="Times New Roman"/>
          <w:color w:val="000000" w:themeColor="text1"/>
          <w:kern w:val="0"/>
          <w:sz w:val="24"/>
          <w:szCs w:val="24"/>
          <w:highlight w:val="none"/>
          <w:lang w:val="en-US" w:eastAsia="zh-CN" w:bidi="ar-SA"/>
        </w:rPr>
        <w:t>90%</w:t>
      </w:r>
      <w:r>
        <w:rPr>
          <w:rFonts w:hint="eastAsia" w:ascii="Times New Roman" w:hAnsi="Times New Roman" w:eastAsia="宋体" w:cs="Times New Roman"/>
          <w:color w:val="000000" w:themeColor="text1"/>
          <w:kern w:val="0"/>
          <w:sz w:val="24"/>
          <w:szCs w:val="24"/>
          <w:highlight w:val="none"/>
          <w:lang w:val="en-US" w:eastAsia="zh-CN" w:bidi="ar-SA"/>
        </w:rPr>
        <w:t>。</w:t>
      </w:r>
    </w:p>
    <w:p w14:paraId="4CE22362">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在进行预测计算时，建筑群衰减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lang w:val="en-US" w:eastAsia="zh-CN" w:bidi="ar-SA"/>
        </w:rPr>
        <w:t>与地面效应引起的衰减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gr</w:t>
      </w:r>
      <w:r>
        <w:rPr>
          <w:rFonts w:hint="eastAsia" w:ascii="Times New Roman" w:hAnsi="Times New Roman" w:eastAsia="宋体" w:cs="Times New Roman"/>
          <w:color w:val="000000" w:themeColor="text1"/>
          <w:kern w:val="0"/>
          <w:sz w:val="24"/>
          <w:szCs w:val="24"/>
          <w:highlight w:val="none"/>
          <w:lang w:val="en-US" w:eastAsia="zh-CN" w:bidi="ar-SA"/>
        </w:rPr>
        <w:t>通常只需考虑一项最主要的衰减。对于通过建筑群的声传播，一般不考虑地面效应引起的衰减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gr</w:t>
      </w:r>
      <w:r>
        <w:rPr>
          <w:rFonts w:hint="eastAsia" w:ascii="Times New Roman" w:hAnsi="Times New Roman" w:eastAsia="宋体" w:cs="Times New Roman"/>
          <w:color w:val="000000" w:themeColor="text1"/>
          <w:kern w:val="0"/>
          <w:sz w:val="24"/>
          <w:szCs w:val="24"/>
          <w:highlight w:val="none"/>
          <w:lang w:val="en-US" w:eastAsia="zh-CN" w:bidi="ar-SA"/>
        </w:rPr>
        <w:t>；但地面效应引起的衰减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gr</w:t>
      </w:r>
      <w:r>
        <w:rPr>
          <w:rFonts w:hint="eastAsia" w:ascii="Times New Roman" w:hAnsi="Times New Roman" w:eastAsia="宋体" w:cs="Times New Roman"/>
          <w:color w:val="000000" w:themeColor="text1"/>
          <w:kern w:val="0"/>
          <w:sz w:val="24"/>
          <w:szCs w:val="24"/>
          <w:highlight w:val="none"/>
          <w:lang w:val="en-US" w:eastAsia="zh-CN" w:bidi="ar-SA"/>
        </w:rPr>
        <w:t>（假定预测点与声源之间不存在建筑群时的计算结果）大于建筑群衰减</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lang w:val="en-US" w:eastAsia="zh-CN" w:bidi="ar-SA"/>
        </w:rPr>
        <w:t>时，则不考虑建筑群插入损失</w:t>
      </w:r>
      <w:r>
        <w:rPr>
          <w:rFonts w:hint="default" w:ascii="Times New Roman" w:hAnsi="Times New Roman" w:eastAsia="宋体" w:cs="Times New Roman"/>
          <w:color w:val="000000" w:themeColor="text1"/>
          <w:kern w:val="0"/>
          <w:sz w:val="24"/>
          <w:szCs w:val="24"/>
          <w:highlight w:val="none"/>
          <w:lang w:val="en-US" w:eastAsia="zh-CN" w:bidi="ar-SA"/>
        </w:rPr>
        <w:t>A</w:t>
      </w:r>
      <w:r>
        <w:rPr>
          <w:rFonts w:hint="default" w:ascii="Times New Roman" w:hAnsi="Times New Roman" w:eastAsia="宋体" w:cs="Times New Roman"/>
          <w:color w:val="000000" w:themeColor="text1"/>
          <w:kern w:val="0"/>
          <w:sz w:val="24"/>
          <w:szCs w:val="24"/>
          <w:highlight w:val="none"/>
          <w:vertAlign w:val="subscript"/>
          <w:lang w:val="en-US" w:eastAsia="zh-CN" w:bidi="ar-SA"/>
        </w:rPr>
        <w:t>hous</w:t>
      </w:r>
      <w:r>
        <w:rPr>
          <w:rFonts w:hint="eastAsia" w:ascii="Times New Roman" w:hAnsi="Times New Roman" w:eastAsia="宋体" w:cs="Times New Roman"/>
          <w:color w:val="000000" w:themeColor="text1"/>
          <w:kern w:val="0"/>
          <w:sz w:val="24"/>
          <w:szCs w:val="24"/>
          <w:highlight w:val="none"/>
          <w:lang w:val="en-US" w:eastAsia="zh-CN" w:bidi="ar-SA"/>
        </w:rPr>
        <w:t>。</w:t>
      </w:r>
    </w:p>
    <w:p w14:paraId="209D4383">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i 两侧建筑物的反射声修正量（ΔL</w:t>
      </w:r>
      <w:r>
        <w:rPr>
          <w:rFonts w:hint="eastAsia" w:ascii="Times New Roman" w:hAnsi="Times New Roman" w:eastAsia="宋体" w:cs="Times New Roman"/>
          <w:color w:val="000000" w:themeColor="text1"/>
          <w:kern w:val="0"/>
          <w:sz w:val="24"/>
          <w:szCs w:val="24"/>
          <w:highlight w:val="none"/>
          <w:vertAlign w:val="subscript"/>
          <w:lang w:val="en-US" w:eastAsia="zh-CN" w:bidi="ar-SA"/>
        </w:rPr>
        <w:t>3</w:t>
      </w:r>
      <w:r>
        <w:rPr>
          <w:rFonts w:hint="eastAsia" w:ascii="Times New Roman" w:hAnsi="Times New Roman" w:eastAsia="宋体" w:cs="Times New Roman"/>
          <w:color w:val="000000" w:themeColor="text1"/>
          <w:kern w:val="0"/>
          <w:sz w:val="24"/>
          <w:szCs w:val="24"/>
          <w:highlight w:val="none"/>
          <w:lang w:val="en-US" w:eastAsia="zh-CN" w:bidi="ar-SA"/>
        </w:rPr>
        <w:t>）</w:t>
      </w:r>
    </w:p>
    <w:p w14:paraId="6620A2D8">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公路（道路）两侧建筑物反射影响因素的修正。当线路两侧建筑物间距小于总计算高度30%时，其反射声修正量为：</w:t>
      </w:r>
    </w:p>
    <w:p w14:paraId="1885EC2D">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两侧建筑物是一般吸收性表面：</w:t>
      </w:r>
    </w:p>
    <w:p w14:paraId="4B2705C1">
      <w:pPr>
        <w:widowControl/>
        <w:spacing w:line="360" w:lineRule="auto"/>
        <w:ind w:firstLine="480" w:firstLineChars="200"/>
        <w:jc w:val="center"/>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fldChar w:fldCharType="begin"/>
      </w:r>
      <w:r>
        <w:rPr>
          <w:rFonts w:hint="eastAsia" w:ascii="Times New Roman" w:hAnsi="Times New Roman" w:eastAsia="宋体" w:cs="Times New Roman"/>
          <w:color w:val="000000" w:themeColor="text1"/>
          <w:kern w:val="0"/>
          <w:sz w:val="24"/>
          <w:szCs w:val="24"/>
          <w:highlight w:val="none"/>
          <w:lang w:val="en-US" w:eastAsia="zh-CN" w:bidi="ar-SA"/>
        </w:rPr>
        <w:instrText xml:space="preserve"> INCLUDEPICTURE "C:\\Users\\Administrator\\AppData\\Roaming\\Tencent\\Users\\807137012\\QQ\\WinTemp\\RichOle\\]}_V5U@Y69H3Q1NZUEK(RZR.png" \* MERGEFORMATINET </w:instrText>
      </w:r>
      <w:r>
        <w:rPr>
          <w:rFonts w:hint="eastAsia" w:ascii="Times New Roman" w:hAnsi="Times New Roman" w:eastAsia="宋体" w:cs="Times New Roman"/>
          <w:color w:val="000000" w:themeColor="text1"/>
          <w:kern w:val="0"/>
          <w:sz w:val="24"/>
          <w:szCs w:val="24"/>
          <w:highlight w:val="none"/>
          <w:lang w:val="en-US" w:eastAsia="zh-CN" w:bidi="ar-SA"/>
        </w:rPr>
        <w:fldChar w:fldCharType="separate"/>
      </w:r>
      <w:r>
        <w:rPr>
          <w:rFonts w:hint="eastAsia" w:ascii="Times New Roman" w:hAnsi="Times New Roman" w:eastAsia="宋体" w:cs="Times New Roman"/>
          <w:color w:val="000000" w:themeColor="text1"/>
          <w:kern w:val="0"/>
          <w:sz w:val="24"/>
          <w:szCs w:val="24"/>
          <w:highlight w:val="none"/>
          <w:lang w:val="en-US" w:eastAsia="zh-CN" w:bidi="ar-SA"/>
        </w:rPr>
        <w:drawing>
          <wp:inline distT="0" distB="0" distL="114300" distR="114300">
            <wp:extent cx="1445895" cy="252095"/>
            <wp:effectExtent l="0" t="0" r="1905" b="6985"/>
            <wp:docPr id="84" name="图片 25" descr="]}_V5U@Y69H3Q1NZUEK(R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5" descr="]}_V5U@Y69H3Q1NZUEK(RZR"/>
                    <pic:cNvPicPr>
                      <a:picLocks noChangeAspect="1"/>
                    </pic:cNvPicPr>
                  </pic:nvPicPr>
                  <pic:blipFill>
                    <a:blip r:embed="rId76"/>
                    <a:stretch>
                      <a:fillRect/>
                    </a:stretch>
                  </pic:blipFill>
                  <pic:spPr>
                    <a:xfrm>
                      <a:off x="0" y="0"/>
                      <a:ext cx="1445895" cy="252095"/>
                    </a:xfrm>
                    <a:prstGeom prst="rect">
                      <a:avLst/>
                    </a:prstGeom>
                    <a:noFill/>
                    <a:ln>
                      <a:noFill/>
                    </a:ln>
                  </pic:spPr>
                </pic:pic>
              </a:graphicData>
            </a:graphic>
          </wp:inline>
        </w:drawing>
      </w:r>
      <w:r>
        <w:rPr>
          <w:rFonts w:hint="eastAsia" w:ascii="Times New Roman" w:hAnsi="Times New Roman" w:eastAsia="宋体" w:cs="Times New Roman"/>
          <w:color w:val="000000" w:themeColor="text1"/>
          <w:kern w:val="0"/>
          <w:sz w:val="24"/>
          <w:szCs w:val="24"/>
          <w:highlight w:val="none"/>
          <w:lang w:val="en-US" w:eastAsia="zh-CN" w:bidi="ar-SA"/>
        </w:rPr>
        <w:fldChar w:fldCharType="end"/>
      </w:r>
    </w:p>
    <w:p w14:paraId="0C091ACE">
      <w:pPr>
        <w:widowControl/>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式中：ΔL</w:t>
      </w:r>
      <w:r>
        <w:rPr>
          <w:rFonts w:hint="eastAsia" w:ascii="Times New Roman" w:hAnsi="Times New Roman" w:eastAsia="宋体" w:cs="Times New Roman"/>
          <w:color w:val="000000" w:themeColor="text1"/>
          <w:kern w:val="0"/>
          <w:sz w:val="24"/>
          <w:szCs w:val="24"/>
          <w:highlight w:val="none"/>
          <w:vertAlign w:val="subscript"/>
          <w:lang w:val="en-US" w:eastAsia="zh-CN" w:bidi="ar-SA"/>
        </w:rPr>
        <w:t>3</w:t>
      </w:r>
      <w:r>
        <w:rPr>
          <w:rFonts w:hint="eastAsia" w:ascii="Times New Roman" w:hAnsi="Times New Roman" w:eastAsia="宋体" w:cs="Times New Roman"/>
          <w:color w:val="000000" w:themeColor="text1"/>
          <w:kern w:val="0"/>
          <w:sz w:val="24"/>
          <w:szCs w:val="24"/>
          <w:highlight w:val="none"/>
          <w:lang w:val="en-US" w:eastAsia="zh-CN" w:bidi="ar-SA"/>
        </w:rPr>
        <w:t>—两侧建筑物的反射声修正量，dB；</w:t>
      </w:r>
    </w:p>
    <w:p w14:paraId="3C513CC2">
      <w:pPr>
        <w:widowControl/>
        <w:spacing w:line="360" w:lineRule="auto"/>
        <w:ind w:firstLine="1200" w:firstLineChars="5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w—线路两侧建筑物反射面的间距，m；</w:t>
      </w:r>
    </w:p>
    <w:p w14:paraId="62C86DB9">
      <w:pPr>
        <w:widowControl/>
        <w:spacing w:line="360" w:lineRule="auto"/>
        <w:ind w:firstLine="1200" w:firstLineChars="500"/>
        <w:rPr>
          <w:rFonts w:hint="eastAsia"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eastAsia="宋体" w:cs="Times New Roman"/>
          <w:color w:val="000000" w:themeColor="text1"/>
          <w:kern w:val="0"/>
          <w:sz w:val="24"/>
          <w:szCs w:val="24"/>
          <w:highlight w:val="none"/>
          <w:lang w:val="en-US" w:eastAsia="zh-CN" w:bidi="ar-SA"/>
        </w:rPr>
        <w:t>H</w:t>
      </w:r>
      <w:r>
        <w:rPr>
          <w:rFonts w:hint="eastAsia" w:ascii="Times New Roman" w:hAnsi="Times New Roman" w:eastAsia="宋体" w:cs="Times New Roman"/>
          <w:color w:val="000000" w:themeColor="text1"/>
          <w:kern w:val="0"/>
          <w:sz w:val="24"/>
          <w:szCs w:val="24"/>
          <w:highlight w:val="none"/>
          <w:vertAlign w:val="subscript"/>
          <w:lang w:val="en-US" w:eastAsia="zh-CN" w:bidi="ar-SA"/>
        </w:rPr>
        <w:t>b</w:t>
      </w:r>
      <w:r>
        <w:rPr>
          <w:rFonts w:hint="eastAsia" w:ascii="Times New Roman" w:hAnsi="Times New Roman" w:eastAsia="宋体" w:cs="Times New Roman"/>
          <w:color w:val="000000" w:themeColor="text1"/>
          <w:kern w:val="0"/>
          <w:sz w:val="24"/>
          <w:szCs w:val="24"/>
          <w:highlight w:val="none"/>
          <w:lang w:val="en-US" w:eastAsia="zh-CN" w:bidi="ar-SA"/>
        </w:rPr>
        <w:t>—建筑物的平均高度，m；取线路两侧较低一侧高度平均值代入计算。</w:t>
      </w:r>
    </w:p>
    <w:p w14:paraId="3B9DB21B">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2</w:t>
      </w:r>
      <w:r>
        <w:rPr>
          <w:color w:val="000000" w:themeColor="text1"/>
          <w:highlight w:val="none"/>
        </w:rPr>
        <w:t>）预测结果及分析</w:t>
      </w:r>
    </w:p>
    <w:p w14:paraId="7B8FA5A9">
      <w:pPr>
        <w:pageBreakBefore w:val="0"/>
        <w:wordWrap/>
        <w:topLinePunct w:val="0"/>
        <w:bidi w:val="0"/>
        <w:spacing w:line="360" w:lineRule="auto"/>
        <w:rPr>
          <w:rFonts w:hint="eastAsia" w:ascii="宋体" w:hAnsi="宋体" w:cs="宋体"/>
          <w:color w:val="000000" w:themeColor="text1"/>
          <w:kern w:val="0"/>
          <w:sz w:val="24"/>
          <w:szCs w:val="24"/>
          <w:highlight w:val="none"/>
          <w:lang w:val="en-US" w:eastAsia="zh-CN" w:bidi="ar"/>
        </w:rPr>
      </w:pPr>
      <w:r>
        <w:rPr>
          <w:rFonts w:hint="eastAsia"/>
          <w:color w:val="000000" w:themeColor="text1"/>
          <w:highlight w:val="none"/>
          <w:lang w:val="en-US" w:eastAsia="zh-CN"/>
        </w:rPr>
        <w:t>本项目以新版噪声导则—《环境影响评价技术导则 声环境》（HJ 2.4-2021）及最新发布的《环境影响评价技术导则 公路建设项目导则》（HJ 1358-2024）的要求为编制依据，</w:t>
      </w:r>
      <w:r>
        <w:rPr>
          <w:rFonts w:hint="eastAsia" w:ascii="宋体" w:hAnsi="宋体" w:eastAsia="宋体" w:cs="宋体"/>
          <w:color w:val="000000" w:themeColor="text1"/>
          <w:kern w:val="0"/>
          <w:sz w:val="24"/>
          <w:szCs w:val="24"/>
          <w:highlight w:val="none"/>
          <w:lang w:val="en-US" w:eastAsia="zh-CN" w:bidi="ar"/>
        </w:rPr>
        <w:t>采用噪声环评专业辅助软件系统</w:t>
      </w:r>
      <w:r>
        <w:rPr>
          <w:rFonts w:hint="eastAsia" w:ascii="宋体" w:hAnsi="宋体" w:cs="宋体"/>
          <w:color w:val="000000" w:themeColor="text1"/>
          <w:kern w:val="0"/>
          <w:sz w:val="24"/>
          <w:szCs w:val="24"/>
          <w:highlight w:val="none"/>
          <w:lang w:val="en-US" w:eastAsia="zh-CN" w:bidi="ar"/>
        </w:rPr>
        <w:t>环安噪声软件</w:t>
      </w:r>
      <w:r>
        <w:rPr>
          <w:rFonts w:hint="eastAsia" w:ascii="宋体" w:hAnsi="宋体" w:eastAsia="宋体" w:cs="宋体"/>
          <w:color w:val="000000" w:themeColor="text1"/>
          <w:kern w:val="0"/>
          <w:sz w:val="24"/>
          <w:szCs w:val="24"/>
          <w:highlight w:val="none"/>
          <w:lang w:val="en-US" w:eastAsia="zh-CN" w:bidi="ar"/>
        </w:rPr>
        <w:t>进行预测</w:t>
      </w:r>
      <w:r>
        <w:rPr>
          <w:rFonts w:hint="eastAsia" w:ascii="宋体" w:hAnsi="宋体" w:cs="宋体"/>
          <w:color w:val="000000" w:themeColor="text1"/>
          <w:kern w:val="0"/>
          <w:sz w:val="24"/>
          <w:szCs w:val="24"/>
          <w:highlight w:val="none"/>
          <w:lang w:val="en-US" w:eastAsia="zh-CN" w:bidi="ar"/>
        </w:rPr>
        <w:t>。</w:t>
      </w:r>
    </w:p>
    <w:p w14:paraId="5BAB61AA">
      <w:pPr>
        <w:pageBreakBefore w:val="0"/>
        <w:wordWrap/>
        <w:topLinePunct w:val="0"/>
        <w:bidi w:val="0"/>
        <w:spacing w:line="360" w:lineRule="auto"/>
        <w:rPr>
          <w:color w:val="000000" w:themeColor="text1"/>
          <w:highlight w:val="none"/>
        </w:rPr>
      </w:pPr>
      <w:r>
        <w:rPr>
          <w:rFonts w:hint="eastAsia" w:cs="宋体"/>
          <w:color w:val="000000" w:themeColor="text1"/>
          <w:highlight w:val="none"/>
        </w:rPr>
        <w:t>①</w:t>
      </w:r>
      <w:r>
        <w:rPr>
          <w:color w:val="000000" w:themeColor="text1"/>
          <w:highlight w:val="none"/>
        </w:rPr>
        <w:t>交通噪声贡献值预测</w:t>
      </w:r>
    </w:p>
    <w:p w14:paraId="47E8CF7C">
      <w:pPr>
        <w:pageBreakBefore w:val="0"/>
        <w:wordWrap/>
        <w:topLinePunct w:val="0"/>
        <w:bidi w:val="0"/>
        <w:spacing w:line="360" w:lineRule="auto"/>
        <w:rPr>
          <w:color w:val="000000" w:themeColor="text1"/>
          <w:highlight w:val="none"/>
        </w:rPr>
      </w:pPr>
      <w:r>
        <w:rPr>
          <w:color w:val="000000" w:themeColor="text1"/>
          <w:highlight w:val="none"/>
        </w:rPr>
        <w:t>根据上述预测</w:t>
      </w:r>
      <w:r>
        <w:rPr>
          <w:rFonts w:hint="eastAsia"/>
          <w:color w:val="000000" w:themeColor="text1"/>
          <w:highlight w:val="none"/>
          <w:lang w:val="en-US" w:eastAsia="zh-CN"/>
        </w:rPr>
        <w:t>模式</w:t>
      </w:r>
      <w:r>
        <w:rPr>
          <w:color w:val="000000" w:themeColor="text1"/>
          <w:highlight w:val="none"/>
        </w:rPr>
        <w:t>，公路交通噪声预测不考虑建筑物和树林的遮挡屏蔽、背景噪声、路基高差等因素，在考虑地面衰减、空气吸收衰减</w:t>
      </w:r>
      <w:r>
        <w:rPr>
          <w:rFonts w:hint="eastAsia"/>
          <w:color w:val="000000" w:themeColor="text1"/>
          <w:highlight w:val="none"/>
          <w:lang w:val="en-US" w:eastAsia="zh-CN"/>
        </w:rPr>
        <w:t>作用下</w:t>
      </w:r>
      <w:r>
        <w:rPr>
          <w:color w:val="000000" w:themeColor="text1"/>
          <w:highlight w:val="none"/>
        </w:rPr>
        <w:t>，本项目</w:t>
      </w:r>
      <w:r>
        <w:rPr>
          <w:rFonts w:hint="eastAsia"/>
          <w:color w:val="000000" w:themeColor="text1"/>
          <w:highlight w:val="none"/>
          <w:lang w:val="en-US" w:eastAsia="zh-CN"/>
        </w:rPr>
        <w:t>运营</w:t>
      </w:r>
      <w:r>
        <w:rPr>
          <w:color w:val="000000" w:themeColor="text1"/>
          <w:highlight w:val="none"/>
        </w:rPr>
        <w:t>期不同路段各特征年、距路中心线不同距离处交通噪声预测结果见表5.</w:t>
      </w:r>
      <w:r>
        <w:rPr>
          <w:rFonts w:hint="eastAsia"/>
          <w:color w:val="000000" w:themeColor="text1"/>
          <w:highlight w:val="none"/>
        </w:rPr>
        <w:t>2</w:t>
      </w:r>
      <w:r>
        <w:rPr>
          <w:color w:val="000000" w:themeColor="text1"/>
          <w:highlight w:val="none"/>
        </w:rPr>
        <w:t>-</w:t>
      </w:r>
      <w:r>
        <w:rPr>
          <w:rFonts w:hint="eastAsia"/>
          <w:color w:val="000000" w:themeColor="text1"/>
          <w:highlight w:val="none"/>
          <w:lang w:val="en-US" w:eastAsia="zh-CN"/>
        </w:rPr>
        <w:t>7</w:t>
      </w:r>
      <w:r>
        <w:rPr>
          <w:color w:val="000000" w:themeColor="text1"/>
          <w:highlight w:val="none"/>
        </w:rPr>
        <w:t>。</w:t>
      </w:r>
    </w:p>
    <w:p w14:paraId="51564659">
      <w:pPr>
        <w:pageBreakBefore w:val="0"/>
        <w:wordWrap/>
        <w:topLinePunct w:val="0"/>
        <w:bidi w:val="0"/>
        <w:spacing w:line="360" w:lineRule="auto"/>
        <w:ind w:firstLine="482"/>
        <w:jc w:val="center"/>
        <w:rPr>
          <w:rFonts w:hint="eastAsia" w:eastAsia="宋体"/>
          <w:b/>
          <w:color w:val="000000" w:themeColor="text1"/>
          <w:highlight w:val="none"/>
          <w:lang w:eastAsia="zh-CN"/>
        </w:rPr>
      </w:pPr>
      <w:r>
        <w:rPr>
          <w:b/>
          <w:color w:val="000000" w:themeColor="text1"/>
          <w:highlight w:val="none"/>
        </w:rPr>
        <w:t>表5.</w:t>
      </w:r>
      <w:r>
        <w:rPr>
          <w:rFonts w:hint="eastAsia"/>
          <w:b/>
          <w:color w:val="000000" w:themeColor="text1"/>
          <w:highlight w:val="none"/>
        </w:rPr>
        <w:t>2</w:t>
      </w:r>
      <w:r>
        <w:rPr>
          <w:b/>
          <w:color w:val="000000" w:themeColor="text1"/>
          <w:highlight w:val="none"/>
        </w:rPr>
        <w:t>-</w:t>
      </w:r>
      <w:r>
        <w:rPr>
          <w:rFonts w:hint="eastAsia"/>
          <w:b/>
          <w:color w:val="000000" w:themeColor="text1"/>
          <w:highlight w:val="none"/>
          <w:lang w:val="en-US" w:eastAsia="zh-CN"/>
        </w:rPr>
        <w:t>7</w:t>
      </w:r>
      <w:r>
        <w:rPr>
          <w:b/>
          <w:color w:val="000000" w:themeColor="text1"/>
          <w:highlight w:val="none"/>
        </w:rPr>
        <w:t xml:space="preserve">  营运期交通噪声</w:t>
      </w:r>
      <w:r>
        <w:rPr>
          <w:rFonts w:hint="eastAsia"/>
          <w:b/>
          <w:color w:val="000000" w:themeColor="text1"/>
          <w:highlight w:val="none"/>
          <w:lang w:val="en-US" w:eastAsia="zh-CN"/>
        </w:rPr>
        <w:t>贡献值</w:t>
      </w:r>
      <w:r>
        <w:rPr>
          <w:b/>
          <w:color w:val="000000" w:themeColor="text1"/>
          <w:highlight w:val="none"/>
        </w:rPr>
        <w:t>预测结果    单位：dB</w:t>
      </w:r>
      <w:r>
        <w:rPr>
          <w:rFonts w:hint="eastAsia"/>
          <w:b/>
          <w:color w:val="000000" w:themeColor="text1"/>
          <w:highlight w:val="none"/>
          <w:lang w:eastAsia="zh-CN"/>
        </w:rPr>
        <w:t>（</w:t>
      </w:r>
      <w:r>
        <w:rPr>
          <w:b/>
          <w:color w:val="000000" w:themeColor="text1"/>
          <w:highlight w:val="none"/>
        </w:rPr>
        <w:t>A</w:t>
      </w:r>
      <w:r>
        <w:rPr>
          <w:rFonts w:hint="eastAsia"/>
          <w:b/>
          <w:color w:val="000000" w:themeColor="text1"/>
          <w:highlight w:val="none"/>
          <w:lang w:eastAsia="zh-CN"/>
        </w:rPr>
        <w:t>）</w:t>
      </w:r>
    </w:p>
    <w:tbl>
      <w:tblPr>
        <w:tblStyle w:val="33"/>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Layout w:type="autofit"/>
        <w:tblCellMar>
          <w:top w:w="0" w:type="dxa"/>
          <w:left w:w="28" w:type="dxa"/>
          <w:bottom w:w="0" w:type="dxa"/>
          <w:right w:w="28" w:type="dxa"/>
        </w:tblCellMar>
      </w:tblPr>
      <w:tblGrid>
        <w:gridCol w:w="476"/>
        <w:gridCol w:w="578"/>
        <w:gridCol w:w="446"/>
        <w:gridCol w:w="595"/>
        <w:gridCol w:w="678"/>
        <w:gridCol w:w="579"/>
        <w:gridCol w:w="556"/>
        <w:gridCol w:w="633"/>
        <w:gridCol w:w="633"/>
        <w:gridCol w:w="633"/>
        <w:gridCol w:w="633"/>
        <w:gridCol w:w="633"/>
        <w:gridCol w:w="633"/>
        <w:gridCol w:w="659"/>
      </w:tblGrid>
      <w:tr w14:paraId="431A4F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28" w:type="dxa"/>
            <w:bottom w:w="0" w:type="dxa"/>
            <w:right w:w="28" w:type="dxa"/>
          </w:tblCellMar>
        </w:tblPrEx>
        <w:trPr>
          <w:trHeight w:val="340" w:hRule="atLeast"/>
        </w:trPr>
        <w:tc>
          <w:tcPr>
            <w:tcW w:w="285" w:type="pct"/>
            <w:vMerge w:val="restart"/>
            <w:shd w:val="clear" w:color="auto" w:fill="auto"/>
            <w:vAlign w:val="center"/>
          </w:tcPr>
          <w:p w14:paraId="1C8EA52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路段</w:t>
            </w:r>
          </w:p>
        </w:tc>
        <w:tc>
          <w:tcPr>
            <w:tcW w:w="346" w:type="pct"/>
            <w:vMerge w:val="restart"/>
            <w:shd w:val="clear" w:color="auto" w:fill="auto"/>
            <w:vAlign w:val="center"/>
          </w:tcPr>
          <w:p w14:paraId="45FE6AB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评价年</w:t>
            </w:r>
          </w:p>
        </w:tc>
        <w:tc>
          <w:tcPr>
            <w:tcW w:w="267" w:type="pct"/>
            <w:vMerge w:val="restart"/>
            <w:tcBorders>
              <w:right w:val="single" w:color="000000" w:sz="2" w:space="0"/>
            </w:tcBorders>
            <w:shd w:val="clear" w:color="auto" w:fill="auto"/>
            <w:vAlign w:val="center"/>
          </w:tcPr>
          <w:p w14:paraId="67D1381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时段</w:t>
            </w:r>
          </w:p>
        </w:tc>
        <w:tc>
          <w:tcPr>
            <w:tcW w:w="4101" w:type="pct"/>
            <w:gridSpan w:val="11"/>
            <w:tcBorders>
              <w:left w:val="single" w:color="000000" w:sz="2" w:space="0"/>
              <w:bottom w:val="single" w:color="000000" w:sz="2" w:space="0"/>
            </w:tcBorders>
            <w:shd w:val="clear" w:color="auto" w:fill="auto"/>
            <w:vAlign w:val="center"/>
          </w:tcPr>
          <w:p w14:paraId="0049F69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路中心线外不同水平距离下的交通噪声预测值（dB）</w:t>
            </w:r>
          </w:p>
        </w:tc>
      </w:tr>
      <w:tr w14:paraId="4E964D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28" w:type="dxa"/>
            <w:bottom w:w="0" w:type="dxa"/>
            <w:right w:w="28" w:type="dxa"/>
          </w:tblCellMar>
        </w:tblPrEx>
        <w:trPr>
          <w:trHeight w:val="340" w:hRule="atLeast"/>
        </w:trPr>
        <w:tc>
          <w:tcPr>
            <w:tcW w:w="285" w:type="pct"/>
            <w:vMerge w:val="continue"/>
            <w:shd w:val="clear" w:color="auto" w:fill="auto"/>
            <w:vAlign w:val="center"/>
          </w:tcPr>
          <w:p w14:paraId="4AC3FCF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p>
        </w:tc>
        <w:tc>
          <w:tcPr>
            <w:tcW w:w="346" w:type="pct"/>
            <w:vMerge w:val="continue"/>
            <w:shd w:val="clear" w:color="auto" w:fill="auto"/>
            <w:vAlign w:val="center"/>
          </w:tcPr>
          <w:p w14:paraId="188B438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p>
        </w:tc>
        <w:tc>
          <w:tcPr>
            <w:tcW w:w="267" w:type="pct"/>
            <w:vMerge w:val="continue"/>
            <w:tcBorders>
              <w:right w:val="single" w:color="000000" w:sz="2" w:space="0"/>
            </w:tcBorders>
            <w:shd w:val="clear" w:color="auto" w:fill="auto"/>
            <w:vAlign w:val="center"/>
          </w:tcPr>
          <w:p w14:paraId="306EC7D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p>
        </w:tc>
        <w:tc>
          <w:tcPr>
            <w:tcW w:w="356" w:type="pct"/>
            <w:tcBorders>
              <w:top w:val="single" w:color="000000" w:sz="2" w:space="0"/>
              <w:left w:val="single" w:color="000000" w:sz="2" w:space="0"/>
            </w:tcBorders>
            <w:shd w:val="clear" w:color="auto" w:fill="auto"/>
            <w:vAlign w:val="center"/>
          </w:tcPr>
          <w:p w14:paraId="77126AB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20m</w:t>
            </w:r>
          </w:p>
        </w:tc>
        <w:tc>
          <w:tcPr>
            <w:tcW w:w="405" w:type="pct"/>
            <w:shd w:val="clear" w:color="auto" w:fill="auto"/>
            <w:vAlign w:val="center"/>
          </w:tcPr>
          <w:p w14:paraId="10FA681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40m</w:t>
            </w:r>
          </w:p>
        </w:tc>
        <w:tc>
          <w:tcPr>
            <w:tcW w:w="346" w:type="pct"/>
            <w:shd w:val="clear" w:color="auto" w:fill="auto"/>
            <w:vAlign w:val="center"/>
          </w:tcPr>
          <w:p w14:paraId="41F9514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Cs/>
                <w:color w:val="000000" w:themeColor="text1"/>
                <w:kern w:val="0"/>
                <w:sz w:val="21"/>
                <w:szCs w:val="21"/>
                <w:highlight w:val="none"/>
                <w:shd w:val="clear" w:color="auto" w:fill="auto"/>
                <w:lang w:val="en-US" w:eastAsia="zh-CN"/>
              </w:rPr>
            </w:pPr>
            <w:r>
              <w:rPr>
                <w:rFonts w:hint="eastAsia"/>
                <w:bCs/>
                <w:color w:val="000000" w:themeColor="text1"/>
                <w:kern w:val="0"/>
                <w:sz w:val="21"/>
                <w:szCs w:val="21"/>
                <w:highlight w:val="none"/>
                <w:shd w:val="clear" w:color="auto" w:fill="auto"/>
                <w:lang w:val="en-US" w:eastAsia="zh-CN"/>
              </w:rPr>
              <w:t>50m</w:t>
            </w:r>
          </w:p>
        </w:tc>
        <w:tc>
          <w:tcPr>
            <w:tcW w:w="332" w:type="pct"/>
            <w:shd w:val="clear" w:color="auto" w:fill="auto"/>
            <w:vAlign w:val="center"/>
          </w:tcPr>
          <w:p w14:paraId="671C19A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60m</w:t>
            </w:r>
          </w:p>
        </w:tc>
        <w:tc>
          <w:tcPr>
            <w:tcW w:w="378" w:type="pct"/>
            <w:shd w:val="clear" w:color="auto" w:fill="auto"/>
            <w:vAlign w:val="center"/>
          </w:tcPr>
          <w:p w14:paraId="75FD910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80m</w:t>
            </w:r>
          </w:p>
        </w:tc>
        <w:tc>
          <w:tcPr>
            <w:tcW w:w="378" w:type="pct"/>
            <w:shd w:val="clear" w:color="auto" w:fill="auto"/>
            <w:vAlign w:val="center"/>
          </w:tcPr>
          <w:p w14:paraId="1394827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100m</w:t>
            </w:r>
          </w:p>
        </w:tc>
        <w:tc>
          <w:tcPr>
            <w:tcW w:w="378" w:type="pct"/>
            <w:shd w:val="clear" w:color="auto" w:fill="auto"/>
            <w:vAlign w:val="center"/>
          </w:tcPr>
          <w:p w14:paraId="3C255E4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120m</w:t>
            </w:r>
          </w:p>
        </w:tc>
        <w:tc>
          <w:tcPr>
            <w:tcW w:w="378" w:type="pct"/>
            <w:shd w:val="clear" w:color="auto" w:fill="auto"/>
            <w:vAlign w:val="center"/>
          </w:tcPr>
          <w:p w14:paraId="3C0DF28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140m</w:t>
            </w:r>
          </w:p>
        </w:tc>
        <w:tc>
          <w:tcPr>
            <w:tcW w:w="378" w:type="pct"/>
            <w:shd w:val="clear" w:color="auto" w:fill="auto"/>
            <w:vAlign w:val="center"/>
          </w:tcPr>
          <w:p w14:paraId="4DB9A19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160m</w:t>
            </w:r>
          </w:p>
        </w:tc>
        <w:tc>
          <w:tcPr>
            <w:tcW w:w="378" w:type="pct"/>
            <w:shd w:val="clear" w:color="auto" w:fill="auto"/>
            <w:vAlign w:val="center"/>
          </w:tcPr>
          <w:p w14:paraId="51203E6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180m</w:t>
            </w:r>
          </w:p>
        </w:tc>
        <w:tc>
          <w:tcPr>
            <w:tcW w:w="387" w:type="pct"/>
            <w:shd w:val="clear" w:color="auto" w:fill="auto"/>
            <w:vAlign w:val="center"/>
          </w:tcPr>
          <w:p w14:paraId="1904477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bCs/>
                <w:color w:val="000000" w:themeColor="text1"/>
                <w:kern w:val="0"/>
                <w:sz w:val="21"/>
                <w:szCs w:val="21"/>
                <w:highlight w:val="none"/>
                <w:shd w:val="clear" w:color="auto" w:fill="auto"/>
              </w:rPr>
            </w:pPr>
            <w:r>
              <w:rPr>
                <w:bCs/>
                <w:color w:val="000000" w:themeColor="text1"/>
                <w:kern w:val="0"/>
                <w:sz w:val="21"/>
                <w:szCs w:val="21"/>
                <w:highlight w:val="none"/>
                <w:shd w:val="clear" w:color="auto" w:fill="auto"/>
              </w:rPr>
              <w:t>200m</w:t>
            </w:r>
          </w:p>
        </w:tc>
      </w:tr>
      <w:tr w14:paraId="799F51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28" w:type="dxa"/>
            <w:bottom w:w="0" w:type="dxa"/>
            <w:right w:w="28" w:type="dxa"/>
          </w:tblCellMar>
        </w:tblPrEx>
        <w:trPr>
          <w:trHeight w:val="340" w:hRule="atLeast"/>
        </w:trPr>
        <w:tc>
          <w:tcPr>
            <w:tcW w:w="285" w:type="pct"/>
            <w:vMerge w:val="restart"/>
            <w:shd w:val="clear" w:color="auto" w:fill="auto"/>
            <w:vAlign w:val="center"/>
          </w:tcPr>
          <w:p w14:paraId="7C7E10E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kern w:val="0"/>
                <w:sz w:val="21"/>
                <w:szCs w:val="21"/>
                <w:highlight w:val="none"/>
                <w:shd w:val="clear" w:color="auto" w:fill="auto"/>
                <w:lang w:val="en-US" w:eastAsia="zh-CN"/>
              </w:rPr>
            </w:pPr>
            <w:r>
              <w:rPr>
                <w:rFonts w:hint="default" w:eastAsia="宋体"/>
                <w:color w:val="000000" w:themeColor="text1"/>
                <w:kern w:val="0"/>
                <w:sz w:val="21"/>
                <w:szCs w:val="21"/>
                <w:highlight w:val="none"/>
                <w:lang w:val="en-US" w:eastAsia="zh-CN"/>
              </w:rPr>
              <w:t>机场进场路</w:t>
            </w:r>
          </w:p>
        </w:tc>
        <w:tc>
          <w:tcPr>
            <w:tcW w:w="346" w:type="pct"/>
            <w:vMerge w:val="restart"/>
            <w:shd w:val="clear" w:color="auto" w:fill="auto"/>
            <w:vAlign w:val="center"/>
          </w:tcPr>
          <w:p w14:paraId="48E2A7F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kern w:val="0"/>
                <w:sz w:val="21"/>
                <w:szCs w:val="21"/>
                <w:highlight w:val="none"/>
                <w:shd w:val="clear" w:color="auto" w:fill="auto"/>
                <w:lang w:val="en-US" w:eastAsia="zh-CN"/>
              </w:rPr>
            </w:pPr>
            <w:r>
              <w:rPr>
                <w:color w:val="000000" w:themeColor="text1"/>
                <w:kern w:val="0"/>
                <w:sz w:val="21"/>
                <w:szCs w:val="21"/>
                <w:highlight w:val="none"/>
                <w:shd w:val="clear" w:color="auto" w:fill="auto"/>
              </w:rPr>
              <w:t>202</w:t>
            </w:r>
            <w:r>
              <w:rPr>
                <w:rFonts w:hint="eastAsia"/>
                <w:color w:val="000000" w:themeColor="text1"/>
                <w:kern w:val="0"/>
                <w:sz w:val="21"/>
                <w:szCs w:val="21"/>
                <w:highlight w:val="none"/>
                <w:shd w:val="clear" w:color="auto" w:fill="auto"/>
                <w:lang w:val="en-US" w:eastAsia="zh-CN"/>
              </w:rPr>
              <w:t>7</w:t>
            </w:r>
          </w:p>
        </w:tc>
        <w:tc>
          <w:tcPr>
            <w:tcW w:w="267" w:type="pct"/>
            <w:tcBorders>
              <w:right w:val="single" w:color="000000" w:sz="2" w:space="0"/>
            </w:tcBorders>
            <w:shd w:val="clear" w:color="auto" w:fill="auto"/>
            <w:vAlign w:val="center"/>
          </w:tcPr>
          <w:p w14:paraId="31FC578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r>
              <w:rPr>
                <w:color w:val="000000" w:themeColor="text1"/>
                <w:kern w:val="0"/>
                <w:sz w:val="21"/>
                <w:szCs w:val="21"/>
                <w:highlight w:val="none"/>
                <w:shd w:val="clear" w:color="auto" w:fill="auto"/>
              </w:rPr>
              <w:t>昼</w:t>
            </w:r>
          </w:p>
        </w:tc>
        <w:tc>
          <w:tcPr>
            <w:tcW w:w="356" w:type="pct"/>
            <w:tcBorders>
              <w:left w:val="single" w:color="000000" w:sz="2" w:space="0"/>
            </w:tcBorders>
            <w:shd w:val="clear" w:color="auto" w:fill="auto"/>
            <w:vAlign w:val="center"/>
          </w:tcPr>
          <w:p w14:paraId="0DF764F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49.53</w:t>
            </w:r>
          </w:p>
        </w:tc>
        <w:tc>
          <w:tcPr>
            <w:tcW w:w="405" w:type="pct"/>
            <w:shd w:val="clear" w:color="auto" w:fill="auto"/>
            <w:vAlign w:val="center"/>
          </w:tcPr>
          <w:p w14:paraId="0A93963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43.79</w:t>
            </w:r>
          </w:p>
        </w:tc>
        <w:tc>
          <w:tcPr>
            <w:tcW w:w="346" w:type="pct"/>
            <w:shd w:val="clear" w:color="auto" w:fill="auto"/>
            <w:vAlign w:val="center"/>
          </w:tcPr>
          <w:p w14:paraId="3063617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42.09</w:t>
            </w:r>
          </w:p>
        </w:tc>
        <w:tc>
          <w:tcPr>
            <w:tcW w:w="332" w:type="pct"/>
            <w:shd w:val="clear" w:color="auto" w:fill="auto"/>
            <w:vAlign w:val="center"/>
          </w:tcPr>
          <w:p w14:paraId="5DCBCB9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40.71</w:t>
            </w:r>
          </w:p>
        </w:tc>
        <w:tc>
          <w:tcPr>
            <w:tcW w:w="378" w:type="pct"/>
            <w:shd w:val="clear" w:color="auto" w:fill="auto"/>
            <w:vAlign w:val="center"/>
          </w:tcPr>
          <w:p w14:paraId="6824787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38.52</w:t>
            </w:r>
          </w:p>
        </w:tc>
        <w:tc>
          <w:tcPr>
            <w:tcW w:w="378" w:type="pct"/>
            <w:shd w:val="clear" w:color="auto" w:fill="auto"/>
            <w:vAlign w:val="center"/>
          </w:tcPr>
          <w:p w14:paraId="6AF80B8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36.80</w:t>
            </w:r>
          </w:p>
        </w:tc>
        <w:tc>
          <w:tcPr>
            <w:tcW w:w="378" w:type="pct"/>
            <w:shd w:val="clear" w:color="auto" w:fill="auto"/>
            <w:vAlign w:val="center"/>
          </w:tcPr>
          <w:p w14:paraId="04A0144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35.37</w:t>
            </w:r>
          </w:p>
        </w:tc>
        <w:tc>
          <w:tcPr>
            <w:tcW w:w="378" w:type="pct"/>
            <w:shd w:val="clear" w:color="auto" w:fill="auto"/>
            <w:vAlign w:val="center"/>
          </w:tcPr>
          <w:p w14:paraId="3F0D66D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34.15</w:t>
            </w:r>
          </w:p>
        </w:tc>
        <w:tc>
          <w:tcPr>
            <w:tcW w:w="378" w:type="pct"/>
            <w:shd w:val="clear" w:color="auto" w:fill="auto"/>
            <w:vAlign w:val="center"/>
          </w:tcPr>
          <w:p w14:paraId="6B20F39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color w:val="000000" w:themeColor="text1"/>
                <w:sz w:val="21"/>
                <w:szCs w:val="21"/>
                <w:highlight w:val="none"/>
                <w:shd w:val="clear" w:color="auto" w:fill="auto"/>
                <w:lang w:val="en-US" w:eastAsia="zh-CN"/>
              </w:rPr>
              <w:t>33.09</w:t>
            </w:r>
          </w:p>
        </w:tc>
        <w:tc>
          <w:tcPr>
            <w:tcW w:w="378" w:type="pct"/>
            <w:shd w:val="clear" w:color="auto" w:fill="auto"/>
            <w:vAlign w:val="center"/>
          </w:tcPr>
          <w:p w14:paraId="29DEE8D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color w:val="000000" w:themeColor="text1"/>
                <w:sz w:val="21"/>
                <w:szCs w:val="21"/>
                <w:highlight w:val="none"/>
                <w:shd w:val="clear" w:color="auto" w:fill="auto"/>
                <w:lang w:val="en-US" w:eastAsia="zh-CN"/>
              </w:rPr>
              <w:t>32.13</w:t>
            </w:r>
          </w:p>
        </w:tc>
        <w:tc>
          <w:tcPr>
            <w:tcW w:w="387" w:type="pct"/>
            <w:shd w:val="clear" w:color="auto" w:fill="auto"/>
            <w:vAlign w:val="center"/>
          </w:tcPr>
          <w:p w14:paraId="120FDA4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color w:val="000000" w:themeColor="text1"/>
                <w:sz w:val="21"/>
                <w:szCs w:val="21"/>
                <w:highlight w:val="none"/>
                <w:shd w:val="clear" w:color="auto" w:fill="auto"/>
                <w:lang w:val="en-US" w:eastAsia="zh-CN"/>
              </w:rPr>
              <w:t>31.27</w:t>
            </w:r>
          </w:p>
        </w:tc>
      </w:tr>
      <w:tr w14:paraId="1F0C1C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85" w:type="pct"/>
            <w:vMerge w:val="continue"/>
            <w:shd w:val="clear" w:color="auto" w:fill="auto"/>
            <w:vAlign w:val="center"/>
          </w:tcPr>
          <w:p w14:paraId="2048E70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346" w:type="pct"/>
            <w:vMerge w:val="continue"/>
            <w:shd w:val="clear" w:color="auto" w:fill="auto"/>
            <w:vAlign w:val="center"/>
          </w:tcPr>
          <w:p w14:paraId="67D9D3F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267" w:type="pct"/>
            <w:tcBorders>
              <w:right w:val="single" w:color="000000" w:sz="2" w:space="0"/>
            </w:tcBorders>
            <w:shd w:val="clear" w:color="auto" w:fill="auto"/>
            <w:vAlign w:val="center"/>
          </w:tcPr>
          <w:p w14:paraId="2B477F8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r>
              <w:rPr>
                <w:color w:val="000000" w:themeColor="text1"/>
                <w:kern w:val="0"/>
                <w:sz w:val="21"/>
                <w:szCs w:val="21"/>
                <w:highlight w:val="none"/>
                <w:shd w:val="clear" w:color="auto" w:fill="auto"/>
              </w:rPr>
              <w:t>夜</w:t>
            </w:r>
          </w:p>
        </w:tc>
        <w:tc>
          <w:tcPr>
            <w:tcW w:w="356" w:type="pct"/>
            <w:tcBorders>
              <w:left w:val="single" w:color="000000" w:sz="2" w:space="0"/>
            </w:tcBorders>
            <w:shd w:val="clear" w:color="auto" w:fill="auto"/>
            <w:vAlign w:val="center"/>
          </w:tcPr>
          <w:p w14:paraId="7653E74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43.08</w:t>
            </w:r>
          </w:p>
        </w:tc>
        <w:tc>
          <w:tcPr>
            <w:tcW w:w="405" w:type="pct"/>
            <w:shd w:val="clear" w:color="auto" w:fill="auto"/>
            <w:vAlign w:val="center"/>
          </w:tcPr>
          <w:p w14:paraId="12F71C2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37.34</w:t>
            </w:r>
          </w:p>
        </w:tc>
        <w:tc>
          <w:tcPr>
            <w:tcW w:w="346" w:type="pct"/>
            <w:shd w:val="clear" w:color="auto" w:fill="auto"/>
            <w:vAlign w:val="center"/>
          </w:tcPr>
          <w:p w14:paraId="7820E8A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35.64</w:t>
            </w:r>
          </w:p>
        </w:tc>
        <w:tc>
          <w:tcPr>
            <w:tcW w:w="332" w:type="pct"/>
            <w:shd w:val="clear" w:color="auto" w:fill="auto"/>
            <w:vAlign w:val="center"/>
          </w:tcPr>
          <w:p w14:paraId="347BFC8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34.26</w:t>
            </w:r>
          </w:p>
        </w:tc>
        <w:tc>
          <w:tcPr>
            <w:tcW w:w="378" w:type="pct"/>
            <w:shd w:val="clear" w:color="auto" w:fill="auto"/>
            <w:vAlign w:val="center"/>
          </w:tcPr>
          <w:p w14:paraId="1F6F9F5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32.07</w:t>
            </w:r>
          </w:p>
        </w:tc>
        <w:tc>
          <w:tcPr>
            <w:tcW w:w="378" w:type="pct"/>
            <w:shd w:val="clear" w:color="auto" w:fill="auto"/>
            <w:vAlign w:val="center"/>
          </w:tcPr>
          <w:p w14:paraId="44799A3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30.35</w:t>
            </w:r>
          </w:p>
        </w:tc>
        <w:tc>
          <w:tcPr>
            <w:tcW w:w="378" w:type="pct"/>
            <w:shd w:val="clear" w:color="auto" w:fill="auto"/>
            <w:vAlign w:val="center"/>
          </w:tcPr>
          <w:p w14:paraId="1615DC8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28.92</w:t>
            </w:r>
          </w:p>
        </w:tc>
        <w:tc>
          <w:tcPr>
            <w:tcW w:w="378" w:type="pct"/>
            <w:shd w:val="clear" w:color="auto" w:fill="auto"/>
            <w:vAlign w:val="center"/>
          </w:tcPr>
          <w:p w14:paraId="2E3983B5">
            <w:pPr>
              <w:keepNext w:val="0"/>
              <w:keepLines w:val="0"/>
              <w:pageBreakBefore w:val="0"/>
              <w:kinsoku/>
              <w:wordWrap/>
              <w:overflowPunct/>
              <w:topLinePunct w:val="0"/>
              <w:autoSpaceDE/>
              <w:autoSpaceDN/>
              <w:bidi w:val="0"/>
              <w:adjustRightInd w:val="0"/>
              <w:snapToGrid w:val="0"/>
              <w:spacing w:line="240" w:lineRule="auto"/>
              <w:ind w:firstLine="0" w:firstLineChars="0"/>
              <w:jc w:val="both"/>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27.70</w:t>
            </w:r>
          </w:p>
        </w:tc>
        <w:tc>
          <w:tcPr>
            <w:tcW w:w="378" w:type="pct"/>
            <w:shd w:val="clear" w:color="auto" w:fill="auto"/>
            <w:vAlign w:val="center"/>
          </w:tcPr>
          <w:p w14:paraId="3641045E">
            <w:pPr>
              <w:keepNext w:val="0"/>
              <w:keepLines w:val="0"/>
              <w:pageBreakBefore w:val="0"/>
              <w:kinsoku/>
              <w:wordWrap/>
              <w:overflowPunct/>
              <w:topLinePunct w:val="0"/>
              <w:autoSpaceDE/>
              <w:autoSpaceDN/>
              <w:bidi w:val="0"/>
              <w:adjustRightInd w:val="0"/>
              <w:snapToGrid w:val="0"/>
              <w:spacing w:line="240" w:lineRule="auto"/>
              <w:ind w:firstLine="0" w:firstLineChars="0"/>
              <w:jc w:val="both"/>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26.63</w:t>
            </w:r>
          </w:p>
        </w:tc>
        <w:tc>
          <w:tcPr>
            <w:tcW w:w="378" w:type="pct"/>
            <w:shd w:val="clear" w:color="auto" w:fill="auto"/>
            <w:vAlign w:val="center"/>
          </w:tcPr>
          <w:p w14:paraId="3063A6C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25.68</w:t>
            </w:r>
          </w:p>
        </w:tc>
        <w:tc>
          <w:tcPr>
            <w:tcW w:w="387" w:type="pct"/>
            <w:shd w:val="clear" w:color="auto" w:fill="auto"/>
            <w:vAlign w:val="center"/>
          </w:tcPr>
          <w:p w14:paraId="1DB0757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24.82</w:t>
            </w:r>
          </w:p>
        </w:tc>
      </w:tr>
      <w:tr w14:paraId="6EA7C5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28" w:type="dxa"/>
            <w:bottom w:w="0" w:type="dxa"/>
            <w:right w:w="28" w:type="dxa"/>
          </w:tblCellMar>
        </w:tblPrEx>
        <w:trPr>
          <w:trHeight w:val="340" w:hRule="atLeast"/>
        </w:trPr>
        <w:tc>
          <w:tcPr>
            <w:tcW w:w="285" w:type="pct"/>
            <w:vMerge w:val="continue"/>
            <w:shd w:val="clear" w:color="auto" w:fill="auto"/>
            <w:vAlign w:val="center"/>
          </w:tcPr>
          <w:p w14:paraId="39E5B73C">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346" w:type="pct"/>
            <w:vMerge w:val="restart"/>
            <w:shd w:val="clear" w:color="auto" w:fill="auto"/>
            <w:vAlign w:val="center"/>
          </w:tcPr>
          <w:p w14:paraId="053452F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kern w:val="0"/>
                <w:sz w:val="21"/>
                <w:szCs w:val="21"/>
                <w:highlight w:val="none"/>
                <w:shd w:val="clear" w:color="auto" w:fill="auto"/>
                <w:lang w:val="en-US" w:eastAsia="zh-CN"/>
              </w:rPr>
            </w:pPr>
            <w:r>
              <w:rPr>
                <w:color w:val="000000" w:themeColor="text1"/>
                <w:kern w:val="0"/>
                <w:sz w:val="21"/>
                <w:szCs w:val="21"/>
                <w:highlight w:val="none"/>
                <w:shd w:val="clear" w:color="auto" w:fill="auto"/>
              </w:rPr>
              <w:t>20</w:t>
            </w:r>
            <w:r>
              <w:rPr>
                <w:rFonts w:hint="eastAsia"/>
                <w:color w:val="000000" w:themeColor="text1"/>
                <w:kern w:val="0"/>
                <w:sz w:val="21"/>
                <w:szCs w:val="21"/>
                <w:highlight w:val="none"/>
                <w:shd w:val="clear" w:color="auto" w:fill="auto"/>
                <w:lang w:val="en-US" w:eastAsia="zh-CN"/>
              </w:rPr>
              <w:t>33</w:t>
            </w:r>
          </w:p>
        </w:tc>
        <w:tc>
          <w:tcPr>
            <w:tcW w:w="267" w:type="pct"/>
            <w:tcBorders>
              <w:right w:val="single" w:color="000000" w:sz="2" w:space="0"/>
            </w:tcBorders>
            <w:shd w:val="clear" w:color="auto" w:fill="auto"/>
            <w:vAlign w:val="center"/>
          </w:tcPr>
          <w:p w14:paraId="583A2E5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r>
              <w:rPr>
                <w:color w:val="000000" w:themeColor="text1"/>
                <w:kern w:val="0"/>
                <w:sz w:val="21"/>
                <w:szCs w:val="21"/>
                <w:highlight w:val="none"/>
                <w:shd w:val="clear" w:color="auto" w:fill="auto"/>
              </w:rPr>
              <w:t>昼</w:t>
            </w:r>
          </w:p>
        </w:tc>
        <w:tc>
          <w:tcPr>
            <w:tcW w:w="356" w:type="pct"/>
            <w:tcBorders>
              <w:left w:val="single" w:color="000000" w:sz="2" w:space="0"/>
            </w:tcBorders>
            <w:shd w:val="clear" w:color="auto" w:fill="auto"/>
            <w:vAlign w:val="center"/>
          </w:tcPr>
          <w:p w14:paraId="45E60C7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55.34</w:t>
            </w:r>
          </w:p>
        </w:tc>
        <w:tc>
          <w:tcPr>
            <w:tcW w:w="405" w:type="pct"/>
            <w:shd w:val="clear" w:color="auto" w:fill="auto"/>
            <w:vAlign w:val="center"/>
          </w:tcPr>
          <w:p w14:paraId="20A6890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49.60</w:t>
            </w:r>
          </w:p>
        </w:tc>
        <w:tc>
          <w:tcPr>
            <w:tcW w:w="346" w:type="pct"/>
            <w:shd w:val="clear" w:color="auto" w:fill="auto"/>
            <w:vAlign w:val="center"/>
          </w:tcPr>
          <w:p w14:paraId="21A8C07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47.90</w:t>
            </w:r>
          </w:p>
        </w:tc>
        <w:tc>
          <w:tcPr>
            <w:tcW w:w="332" w:type="pct"/>
            <w:shd w:val="clear" w:color="auto" w:fill="auto"/>
            <w:vAlign w:val="center"/>
          </w:tcPr>
          <w:p w14:paraId="305A29D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46.52</w:t>
            </w:r>
          </w:p>
        </w:tc>
        <w:tc>
          <w:tcPr>
            <w:tcW w:w="378" w:type="pct"/>
            <w:shd w:val="clear" w:color="auto" w:fill="auto"/>
            <w:vAlign w:val="center"/>
          </w:tcPr>
          <w:p w14:paraId="4C885E6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44.33</w:t>
            </w:r>
          </w:p>
        </w:tc>
        <w:tc>
          <w:tcPr>
            <w:tcW w:w="378" w:type="pct"/>
            <w:shd w:val="clear" w:color="auto" w:fill="auto"/>
            <w:vAlign w:val="center"/>
          </w:tcPr>
          <w:p w14:paraId="1AEDC92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42.60</w:t>
            </w:r>
          </w:p>
        </w:tc>
        <w:tc>
          <w:tcPr>
            <w:tcW w:w="378" w:type="pct"/>
            <w:shd w:val="clear" w:color="auto" w:fill="auto"/>
            <w:vAlign w:val="center"/>
          </w:tcPr>
          <w:p w14:paraId="7200077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41.18</w:t>
            </w:r>
          </w:p>
        </w:tc>
        <w:tc>
          <w:tcPr>
            <w:tcW w:w="378" w:type="pct"/>
            <w:shd w:val="clear" w:color="auto" w:fill="auto"/>
            <w:vAlign w:val="center"/>
          </w:tcPr>
          <w:p w14:paraId="27D38DE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39.96</w:t>
            </w:r>
          </w:p>
        </w:tc>
        <w:tc>
          <w:tcPr>
            <w:tcW w:w="378" w:type="pct"/>
            <w:shd w:val="clear" w:color="auto" w:fill="auto"/>
            <w:vAlign w:val="center"/>
          </w:tcPr>
          <w:p w14:paraId="5E9BCA2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38.89</w:t>
            </w:r>
          </w:p>
        </w:tc>
        <w:tc>
          <w:tcPr>
            <w:tcW w:w="378" w:type="pct"/>
            <w:shd w:val="clear" w:color="auto" w:fill="auto"/>
            <w:vAlign w:val="center"/>
          </w:tcPr>
          <w:p w14:paraId="4C35127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37.94</w:t>
            </w:r>
          </w:p>
        </w:tc>
        <w:tc>
          <w:tcPr>
            <w:tcW w:w="387" w:type="pct"/>
            <w:shd w:val="clear" w:color="auto" w:fill="auto"/>
            <w:vAlign w:val="center"/>
          </w:tcPr>
          <w:p w14:paraId="2DEA5CE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37.08</w:t>
            </w:r>
          </w:p>
        </w:tc>
      </w:tr>
      <w:tr w14:paraId="27456E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85" w:type="pct"/>
            <w:vMerge w:val="continue"/>
            <w:shd w:val="clear" w:color="auto" w:fill="auto"/>
            <w:vAlign w:val="center"/>
          </w:tcPr>
          <w:p w14:paraId="7687B73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346" w:type="pct"/>
            <w:vMerge w:val="continue"/>
            <w:shd w:val="clear" w:color="auto" w:fill="auto"/>
            <w:vAlign w:val="center"/>
          </w:tcPr>
          <w:p w14:paraId="511ECAD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267" w:type="pct"/>
            <w:tcBorders>
              <w:right w:val="single" w:color="000000" w:sz="2" w:space="0"/>
            </w:tcBorders>
            <w:shd w:val="clear" w:color="auto" w:fill="auto"/>
            <w:vAlign w:val="center"/>
          </w:tcPr>
          <w:p w14:paraId="584328A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r>
              <w:rPr>
                <w:color w:val="000000" w:themeColor="text1"/>
                <w:kern w:val="0"/>
                <w:sz w:val="21"/>
                <w:szCs w:val="21"/>
                <w:highlight w:val="none"/>
                <w:shd w:val="clear" w:color="auto" w:fill="auto"/>
              </w:rPr>
              <w:t>夜</w:t>
            </w:r>
          </w:p>
        </w:tc>
        <w:tc>
          <w:tcPr>
            <w:tcW w:w="356" w:type="pct"/>
            <w:tcBorders>
              <w:left w:val="single" w:color="000000" w:sz="2" w:space="0"/>
            </w:tcBorders>
            <w:shd w:val="clear" w:color="auto" w:fill="auto"/>
            <w:vAlign w:val="center"/>
          </w:tcPr>
          <w:p w14:paraId="3E488EA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48.76</w:t>
            </w:r>
          </w:p>
        </w:tc>
        <w:tc>
          <w:tcPr>
            <w:tcW w:w="405" w:type="pct"/>
            <w:shd w:val="clear" w:color="auto" w:fill="auto"/>
            <w:vAlign w:val="center"/>
          </w:tcPr>
          <w:p w14:paraId="5460269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43.01</w:t>
            </w:r>
          </w:p>
        </w:tc>
        <w:tc>
          <w:tcPr>
            <w:tcW w:w="346" w:type="pct"/>
            <w:shd w:val="clear" w:color="auto" w:fill="auto"/>
            <w:vAlign w:val="center"/>
          </w:tcPr>
          <w:p w14:paraId="1668CE4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41.32</w:t>
            </w:r>
          </w:p>
        </w:tc>
        <w:tc>
          <w:tcPr>
            <w:tcW w:w="332" w:type="pct"/>
            <w:shd w:val="clear" w:color="auto" w:fill="auto"/>
            <w:vAlign w:val="center"/>
          </w:tcPr>
          <w:p w14:paraId="69D3FD9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39.94</w:t>
            </w:r>
          </w:p>
        </w:tc>
        <w:tc>
          <w:tcPr>
            <w:tcW w:w="378" w:type="pct"/>
            <w:shd w:val="clear" w:color="auto" w:fill="auto"/>
            <w:vAlign w:val="center"/>
          </w:tcPr>
          <w:p w14:paraId="6F407A6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37.74</w:t>
            </w:r>
          </w:p>
        </w:tc>
        <w:tc>
          <w:tcPr>
            <w:tcW w:w="378" w:type="pct"/>
            <w:shd w:val="clear" w:color="auto" w:fill="auto"/>
            <w:vAlign w:val="center"/>
          </w:tcPr>
          <w:p w14:paraId="6CF1ADE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36.02</w:t>
            </w:r>
          </w:p>
        </w:tc>
        <w:tc>
          <w:tcPr>
            <w:tcW w:w="378" w:type="pct"/>
            <w:shd w:val="clear" w:color="auto" w:fill="auto"/>
            <w:vAlign w:val="center"/>
          </w:tcPr>
          <w:p w14:paraId="4ABEC19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34.60</w:t>
            </w:r>
          </w:p>
        </w:tc>
        <w:tc>
          <w:tcPr>
            <w:tcW w:w="378" w:type="pct"/>
            <w:shd w:val="clear" w:color="auto" w:fill="auto"/>
            <w:vAlign w:val="center"/>
          </w:tcPr>
          <w:p w14:paraId="17B85F2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33.38</w:t>
            </w:r>
          </w:p>
        </w:tc>
        <w:tc>
          <w:tcPr>
            <w:tcW w:w="378" w:type="pct"/>
            <w:shd w:val="clear" w:color="auto" w:fill="auto"/>
            <w:vAlign w:val="center"/>
          </w:tcPr>
          <w:p w14:paraId="4BC7EAE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32.31</w:t>
            </w:r>
          </w:p>
        </w:tc>
        <w:tc>
          <w:tcPr>
            <w:tcW w:w="378" w:type="pct"/>
            <w:shd w:val="clear" w:color="auto" w:fill="auto"/>
            <w:vAlign w:val="center"/>
          </w:tcPr>
          <w:p w14:paraId="24E477F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31.36</w:t>
            </w:r>
          </w:p>
        </w:tc>
        <w:tc>
          <w:tcPr>
            <w:tcW w:w="387" w:type="pct"/>
            <w:shd w:val="clear" w:color="auto" w:fill="auto"/>
            <w:vAlign w:val="center"/>
          </w:tcPr>
          <w:p w14:paraId="14E7919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30.50</w:t>
            </w:r>
          </w:p>
        </w:tc>
      </w:tr>
      <w:tr w14:paraId="618937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85" w:type="pct"/>
            <w:vMerge w:val="continue"/>
            <w:shd w:val="clear" w:color="auto" w:fill="auto"/>
            <w:vAlign w:val="center"/>
          </w:tcPr>
          <w:p w14:paraId="0D16858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346" w:type="pct"/>
            <w:vMerge w:val="restart"/>
            <w:shd w:val="clear" w:color="auto" w:fill="auto"/>
            <w:vAlign w:val="center"/>
          </w:tcPr>
          <w:p w14:paraId="0730B24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kern w:val="0"/>
                <w:sz w:val="21"/>
                <w:szCs w:val="21"/>
                <w:highlight w:val="none"/>
                <w:shd w:val="clear" w:color="auto" w:fill="auto"/>
                <w:lang w:val="en-US" w:eastAsia="zh-CN"/>
              </w:rPr>
            </w:pPr>
            <w:r>
              <w:rPr>
                <w:color w:val="000000" w:themeColor="text1"/>
                <w:kern w:val="0"/>
                <w:sz w:val="21"/>
                <w:szCs w:val="21"/>
                <w:highlight w:val="none"/>
                <w:shd w:val="clear" w:color="auto" w:fill="auto"/>
              </w:rPr>
              <w:t>20</w:t>
            </w:r>
            <w:r>
              <w:rPr>
                <w:rFonts w:hint="eastAsia"/>
                <w:color w:val="000000" w:themeColor="text1"/>
                <w:kern w:val="0"/>
                <w:sz w:val="21"/>
                <w:szCs w:val="21"/>
                <w:highlight w:val="none"/>
                <w:shd w:val="clear" w:color="auto" w:fill="auto"/>
                <w:lang w:val="en-US" w:eastAsia="zh-CN"/>
              </w:rPr>
              <w:t>41</w:t>
            </w:r>
          </w:p>
        </w:tc>
        <w:tc>
          <w:tcPr>
            <w:tcW w:w="267" w:type="pct"/>
            <w:tcBorders>
              <w:right w:val="single" w:color="000000" w:sz="2" w:space="0"/>
            </w:tcBorders>
            <w:shd w:val="clear" w:color="auto" w:fill="auto"/>
            <w:vAlign w:val="center"/>
          </w:tcPr>
          <w:p w14:paraId="2387768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r>
              <w:rPr>
                <w:color w:val="000000" w:themeColor="text1"/>
                <w:kern w:val="0"/>
                <w:sz w:val="21"/>
                <w:szCs w:val="21"/>
                <w:highlight w:val="none"/>
                <w:shd w:val="clear" w:color="auto" w:fill="auto"/>
              </w:rPr>
              <w:t>昼</w:t>
            </w:r>
          </w:p>
        </w:tc>
        <w:tc>
          <w:tcPr>
            <w:tcW w:w="356" w:type="pct"/>
            <w:tcBorders>
              <w:left w:val="single" w:color="000000" w:sz="2" w:space="0"/>
            </w:tcBorders>
            <w:shd w:val="clear" w:color="auto" w:fill="auto"/>
            <w:vAlign w:val="center"/>
          </w:tcPr>
          <w:p w14:paraId="2F66576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63.61</w:t>
            </w:r>
          </w:p>
        </w:tc>
        <w:tc>
          <w:tcPr>
            <w:tcW w:w="405" w:type="pct"/>
            <w:shd w:val="clear" w:color="auto" w:fill="auto"/>
            <w:vAlign w:val="center"/>
          </w:tcPr>
          <w:p w14:paraId="1C97429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58.82</w:t>
            </w:r>
          </w:p>
        </w:tc>
        <w:tc>
          <w:tcPr>
            <w:tcW w:w="346" w:type="pct"/>
            <w:shd w:val="clear" w:color="auto" w:fill="auto"/>
            <w:vAlign w:val="center"/>
          </w:tcPr>
          <w:p w14:paraId="328AB48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57.35</w:t>
            </w:r>
          </w:p>
        </w:tc>
        <w:tc>
          <w:tcPr>
            <w:tcW w:w="332" w:type="pct"/>
            <w:shd w:val="clear" w:color="auto" w:fill="auto"/>
            <w:vAlign w:val="center"/>
          </w:tcPr>
          <w:p w14:paraId="4AC4FFB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56.13</w:t>
            </w:r>
          </w:p>
        </w:tc>
        <w:tc>
          <w:tcPr>
            <w:tcW w:w="378" w:type="pct"/>
            <w:shd w:val="clear" w:color="auto" w:fill="auto"/>
            <w:vAlign w:val="center"/>
          </w:tcPr>
          <w:p w14:paraId="74DBBE7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54.20</w:t>
            </w:r>
          </w:p>
        </w:tc>
        <w:tc>
          <w:tcPr>
            <w:tcW w:w="378" w:type="pct"/>
            <w:shd w:val="clear" w:color="auto" w:fill="auto"/>
            <w:vAlign w:val="center"/>
          </w:tcPr>
          <w:p w14:paraId="52A7F64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52.68</w:t>
            </w:r>
          </w:p>
        </w:tc>
        <w:tc>
          <w:tcPr>
            <w:tcW w:w="378" w:type="pct"/>
            <w:shd w:val="clear" w:color="auto" w:fill="auto"/>
            <w:vAlign w:val="center"/>
          </w:tcPr>
          <w:p w14:paraId="4ED2F95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51.42</w:t>
            </w:r>
          </w:p>
        </w:tc>
        <w:tc>
          <w:tcPr>
            <w:tcW w:w="378" w:type="pct"/>
            <w:shd w:val="clear" w:color="auto" w:fill="auto"/>
            <w:vAlign w:val="center"/>
          </w:tcPr>
          <w:p w14:paraId="70074B9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50.34</w:t>
            </w:r>
          </w:p>
        </w:tc>
        <w:tc>
          <w:tcPr>
            <w:tcW w:w="378" w:type="pct"/>
            <w:shd w:val="clear" w:color="auto" w:fill="auto"/>
            <w:vAlign w:val="center"/>
          </w:tcPr>
          <w:p w14:paraId="090C93E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49.40</w:t>
            </w:r>
          </w:p>
        </w:tc>
        <w:tc>
          <w:tcPr>
            <w:tcW w:w="378" w:type="pct"/>
            <w:shd w:val="clear" w:color="auto" w:fill="auto"/>
            <w:vAlign w:val="center"/>
          </w:tcPr>
          <w:p w14:paraId="438362E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48.55</w:t>
            </w:r>
          </w:p>
        </w:tc>
        <w:tc>
          <w:tcPr>
            <w:tcW w:w="387" w:type="pct"/>
            <w:shd w:val="clear" w:color="auto" w:fill="auto"/>
            <w:vAlign w:val="center"/>
          </w:tcPr>
          <w:p w14:paraId="640B97A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47.78</w:t>
            </w:r>
          </w:p>
        </w:tc>
      </w:tr>
      <w:tr w14:paraId="1402A1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28" w:type="dxa"/>
            <w:bottom w:w="0" w:type="dxa"/>
            <w:right w:w="28" w:type="dxa"/>
          </w:tblCellMar>
        </w:tblPrEx>
        <w:trPr>
          <w:trHeight w:val="340" w:hRule="atLeast"/>
        </w:trPr>
        <w:tc>
          <w:tcPr>
            <w:tcW w:w="285" w:type="pct"/>
            <w:vMerge w:val="continue"/>
            <w:shd w:val="clear" w:color="auto" w:fill="auto"/>
            <w:vAlign w:val="center"/>
          </w:tcPr>
          <w:p w14:paraId="61B2569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346" w:type="pct"/>
            <w:vMerge w:val="continue"/>
            <w:shd w:val="clear" w:color="auto" w:fill="auto"/>
            <w:vAlign w:val="center"/>
          </w:tcPr>
          <w:p w14:paraId="7812E04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p>
        </w:tc>
        <w:tc>
          <w:tcPr>
            <w:tcW w:w="267" w:type="pct"/>
            <w:tcBorders>
              <w:right w:val="single" w:color="000000" w:sz="2" w:space="0"/>
            </w:tcBorders>
            <w:shd w:val="clear" w:color="auto" w:fill="auto"/>
            <w:vAlign w:val="center"/>
          </w:tcPr>
          <w:p w14:paraId="7F3718E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shd w:val="clear" w:color="auto" w:fill="auto"/>
              </w:rPr>
            </w:pPr>
            <w:r>
              <w:rPr>
                <w:color w:val="000000" w:themeColor="text1"/>
                <w:kern w:val="0"/>
                <w:sz w:val="21"/>
                <w:szCs w:val="21"/>
                <w:highlight w:val="none"/>
                <w:shd w:val="clear" w:color="auto" w:fill="auto"/>
              </w:rPr>
              <w:t>夜</w:t>
            </w:r>
          </w:p>
        </w:tc>
        <w:tc>
          <w:tcPr>
            <w:tcW w:w="356" w:type="pct"/>
            <w:tcBorders>
              <w:left w:val="single" w:color="000000" w:sz="2" w:space="0"/>
            </w:tcBorders>
            <w:shd w:val="clear" w:color="auto" w:fill="auto"/>
            <w:vAlign w:val="center"/>
          </w:tcPr>
          <w:p w14:paraId="01B9C62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bCs/>
                <w:color w:val="000000" w:themeColor="text1"/>
                <w:sz w:val="21"/>
                <w:szCs w:val="21"/>
                <w:highlight w:val="none"/>
                <w:shd w:val="clear" w:color="auto" w:fill="auto"/>
                <w:lang w:val="en-US" w:eastAsia="zh-CN"/>
              </w:rPr>
              <w:t>56.98</w:t>
            </w:r>
          </w:p>
        </w:tc>
        <w:tc>
          <w:tcPr>
            <w:tcW w:w="405" w:type="pct"/>
            <w:shd w:val="clear" w:color="auto" w:fill="auto"/>
            <w:vAlign w:val="center"/>
          </w:tcPr>
          <w:p w14:paraId="30041B2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52.20</w:t>
            </w:r>
          </w:p>
        </w:tc>
        <w:tc>
          <w:tcPr>
            <w:tcW w:w="346" w:type="pct"/>
            <w:shd w:val="clear" w:color="auto" w:fill="auto"/>
            <w:vAlign w:val="center"/>
          </w:tcPr>
          <w:p w14:paraId="3B15A5E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50.72</w:t>
            </w:r>
          </w:p>
        </w:tc>
        <w:tc>
          <w:tcPr>
            <w:tcW w:w="332" w:type="pct"/>
            <w:shd w:val="clear" w:color="auto" w:fill="auto"/>
            <w:vAlign w:val="center"/>
          </w:tcPr>
          <w:p w14:paraId="5593EF3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49.50</w:t>
            </w:r>
          </w:p>
        </w:tc>
        <w:tc>
          <w:tcPr>
            <w:tcW w:w="378" w:type="pct"/>
            <w:shd w:val="clear" w:color="auto" w:fill="auto"/>
            <w:vAlign w:val="center"/>
          </w:tcPr>
          <w:p w14:paraId="0D61085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b w:val="0"/>
                <w:bCs w:val="0"/>
                <w:color w:val="000000" w:themeColor="text1"/>
                <w:sz w:val="21"/>
                <w:szCs w:val="21"/>
                <w:highlight w:val="none"/>
                <w:shd w:val="clear" w:color="auto" w:fill="auto"/>
                <w:lang w:val="en-US" w:eastAsia="zh-CN"/>
              </w:rPr>
            </w:pPr>
            <w:r>
              <w:rPr>
                <w:rFonts w:hint="eastAsia"/>
                <w:b w:val="0"/>
                <w:bCs w:val="0"/>
                <w:color w:val="000000" w:themeColor="text1"/>
                <w:sz w:val="21"/>
                <w:szCs w:val="21"/>
                <w:highlight w:val="none"/>
                <w:shd w:val="clear" w:color="auto" w:fill="auto"/>
                <w:lang w:val="en-US" w:eastAsia="zh-CN"/>
              </w:rPr>
              <w:t>47.57</w:t>
            </w:r>
          </w:p>
        </w:tc>
        <w:tc>
          <w:tcPr>
            <w:tcW w:w="378" w:type="pct"/>
            <w:shd w:val="clear" w:color="auto" w:fill="auto"/>
            <w:vAlign w:val="center"/>
          </w:tcPr>
          <w:p w14:paraId="6D50FAA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46.05</w:t>
            </w:r>
          </w:p>
        </w:tc>
        <w:tc>
          <w:tcPr>
            <w:tcW w:w="378" w:type="pct"/>
            <w:shd w:val="clear" w:color="auto" w:fill="auto"/>
            <w:vAlign w:val="center"/>
          </w:tcPr>
          <w:p w14:paraId="2FFFE5E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44.79</w:t>
            </w:r>
          </w:p>
        </w:tc>
        <w:tc>
          <w:tcPr>
            <w:tcW w:w="378" w:type="pct"/>
            <w:shd w:val="clear" w:color="auto" w:fill="auto"/>
            <w:vAlign w:val="center"/>
          </w:tcPr>
          <w:p w14:paraId="0D790D1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43.71</w:t>
            </w:r>
          </w:p>
        </w:tc>
        <w:tc>
          <w:tcPr>
            <w:tcW w:w="378" w:type="pct"/>
            <w:shd w:val="clear" w:color="auto" w:fill="auto"/>
            <w:vAlign w:val="center"/>
          </w:tcPr>
          <w:p w14:paraId="47F0933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42.77</w:t>
            </w:r>
          </w:p>
        </w:tc>
        <w:tc>
          <w:tcPr>
            <w:tcW w:w="378" w:type="pct"/>
            <w:shd w:val="clear" w:color="auto" w:fill="auto"/>
            <w:vAlign w:val="center"/>
          </w:tcPr>
          <w:p w14:paraId="6B38C5D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41.92</w:t>
            </w:r>
          </w:p>
        </w:tc>
        <w:tc>
          <w:tcPr>
            <w:tcW w:w="387" w:type="pct"/>
            <w:shd w:val="clear" w:color="auto" w:fill="auto"/>
            <w:vAlign w:val="center"/>
          </w:tcPr>
          <w:p w14:paraId="0FDBA0E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color w:val="000000" w:themeColor="text1"/>
                <w:sz w:val="21"/>
                <w:szCs w:val="21"/>
                <w:highlight w:val="none"/>
                <w:shd w:val="clear" w:color="auto" w:fill="auto"/>
                <w:lang w:val="en-US" w:eastAsia="zh-CN"/>
              </w:rPr>
            </w:pPr>
            <w:r>
              <w:rPr>
                <w:rFonts w:hint="eastAsia"/>
                <w:color w:val="000000" w:themeColor="text1"/>
                <w:sz w:val="21"/>
                <w:szCs w:val="21"/>
                <w:highlight w:val="none"/>
                <w:shd w:val="clear" w:color="auto" w:fill="auto"/>
                <w:lang w:val="en-US" w:eastAsia="zh-CN"/>
              </w:rPr>
              <w:t>41.16</w:t>
            </w:r>
          </w:p>
        </w:tc>
      </w:tr>
    </w:tbl>
    <w:p w14:paraId="3DF9BDC1">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w:instrText>
      </w:r>
      <w:r>
        <w:rPr>
          <w:rFonts w:hint="eastAsia"/>
          <w:color w:val="000000" w:themeColor="text1"/>
          <w:highlight w:val="none"/>
        </w:rPr>
        <w:instrText xml:space="preserve">= 2 \* GB3</w:instrText>
      </w:r>
      <w:r>
        <w:rPr>
          <w:color w:val="000000" w:themeColor="text1"/>
          <w:highlight w:val="none"/>
        </w:rPr>
        <w:instrText xml:space="preserve"> </w:instrText>
      </w:r>
      <w:r>
        <w:rPr>
          <w:color w:val="000000" w:themeColor="text1"/>
          <w:highlight w:val="none"/>
        </w:rPr>
        <w:fldChar w:fldCharType="separate"/>
      </w:r>
      <w:r>
        <w:rPr>
          <w:rFonts w:hint="eastAsia"/>
          <w:color w:val="000000" w:themeColor="text1"/>
          <w:highlight w:val="none"/>
        </w:rPr>
        <w:t>②</w:t>
      </w:r>
      <w:r>
        <w:rPr>
          <w:color w:val="000000" w:themeColor="text1"/>
          <w:highlight w:val="none"/>
        </w:rPr>
        <w:fldChar w:fldCharType="end"/>
      </w:r>
      <w:r>
        <w:rPr>
          <w:color w:val="000000" w:themeColor="text1"/>
          <w:highlight w:val="none"/>
        </w:rPr>
        <w:t>交通噪声达标距离及声功能区达标分析</w:t>
      </w:r>
    </w:p>
    <w:p w14:paraId="00AAF76E">
      <w:pPr>
        <w:pageBreakBefore w:val="0"/>
        <w:wordWrap/>
        <w:topLinePunct w:val="0"/>
        <w:bidi w:val="0"/>
        <w:spacing w:line="360" w:lineRule="auto"/>
        <w:rPr>
          <w:color w:val="000000" w:themeColor="text1"/>
          <w:highlight w:val="none"/>
        </w:rPr>
      </w:pPr>
      <w:r>
        <w:rPr>
          <w:rFonts w:hint="eastAsia"/>
          <w:color w:val="000000" w:themeColor="text1"/>
          <w:highlight w:val="none"/>
        </w:rPr>
        <w:t>根据上述预测结果，</w:t>
      </w:r>
      <w:r>
        <w:rPr>
          <w:color w:val="000000" w:themeColor="text1"/>
          <w:highlight w:val="none"/>
        </w:rPr>
        <w:t>本项目不考虑建筑物和树林的遮挡屏蔽、背景噪声、路基高差等因素，在考虑地面衰减和空气吸收衰减作用下，各路段运营期功能区达标情况见表5.</w:t>
      </w:r>
      <w:r>
        <w:rPr>
          <w:rFonts w:hint="eastAsia"/>
          <w:color w:val="000000" w:themeColor="text1"/>
          <w:highlight w:val="none"/>
        </w:rPr>
        <w:t>2</w:t>
      </w:r>
      <w:r>
        <w:rPr>
          <w:color w:val="000000" w:themeColor="text1"/>
          <w:highlight w:val="none"/>
        </w:rPr>
        <w:t>-</w:t>
      </w:r>
      <w:r>
        <w:rPr>
          <w:rFonts w:hint="eastAsia"/>
          <w:color w:val="000000" w:themeColor="text1"/>
          <w:highlight w:val="none"/>
          <w:lang w:val="en-US" w:eastAsia="zh-CN"/>
        </w:rPr>
        <w:t>8</w:t>
      </w:r>
      <w:r>
        <w:rPr>
          <w:color w:val="000000" w:themeColor="text1"/>
          <w:highlight w:val="none"/>
        </w:rPr>
        <w:t>。</w:t>
      </w:r>
    </w:p>
    <w:p w14:paraId="0C5D5616">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表5.</w:t>
      </w:r>
      <w:r>
        <w:rPr>
          <w:rFonts w:hint="eastAsia"/>
          <w:b/>
          <w:color w:val="000000" w:themeColor="text1"/>
          <w:highlight w:val="none"/>
        </w:rPr>
        <w:t>2</w:t>
      </w:r>
      <w:r>
        <w:rPr>
          <w:b/>
          <w:color w:val="000000" w:themeColor="text1"/>
          <w:highlight w:val="none"/>
        </w:rPr>
        <w:t>-</w:t>
      </w:r>
      <w:r>
        <w:rPr>
          <w:rFonts w:hint="eastAsia"/>
          <w:b/>
          <w:color w:val="000000" w:themeColor="text1"/>
          <w:highlight w:val="none"/>
          <w:lang w:val="en-US" w:eastAsia="zh-CN"/>
        </w:rPr>
        <w:t>8</w:t>
      </w:r>
      <w:r>
        <w:rPr>
          <w:b/>
          <w:color w:val="000000" w:themeColor="text1"/>
          <w:highlight w:val="none"/>
        </w:rPr>
        <w:t xml:space="preserve">  </w:t>
      </w:r>
      <w:r>
        <w:rPr>
          <w:rFonts w:hint="eastAsia"/>
          <w:b/>
          <w:color w:val="000000" w:themeColor="text1"/>
          <w:highlight w:val="none"/>
          <w:lang w:val="en-US" w:eastAsia="zh-CN"/>
        </w:rPr>
        <w:t>运营</w:t>
      </w:r>
      <w:r>
        <w:rPr>
          <w:b/>
          <w:color w:val="000000" w:themeColor="text1"/>
          <w:highlight w:val="none"/>
        </w:rPr>
        <w:t>期各路段声功能区达标情况</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70"/>
        <w:gridCol w:w="818"/>
        <w:gridCol w:w="926"/>
        <w:gridCol w:w="2830"/>
        <w:gridCol w:w="2869"/>
      </w:tblGrid>
      <w:tr w14:paraId="2B2D0E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523" w:type="pct"/>
            <w:vMerge w:val="restart"/>
            <w:tcBorders>
              <w:tl2br w:val="nil"/>
              <w:tr2bl w:val="nil"/>
            </w:tcBorders>
            <w:noWrap/>
            <w:vAlign w:val="center"/>
          </w:tcPr>
          <w:p w14:paraId="68225D6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路段</w:t>
            </w:r>
          </w:p>
        </w:tc>
        <w:tc>
          <w:tcPr>
            <w:tcW w:w="492" w:type="pct"/>
            <w:vMerge w:val="restart"/>
            <w:tcBorders>
              <w:tl2br w:val="nil"/>
              <w:tr2bl w:val="nil"/>
            </w:tcBorders>
            <w:noWrap w:val="0"/>
            <w:vAlign w:val="center"/>
          </w:tcPr>
          <w:p w14:paraId="178D4A4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年份</w:t>
            </w:r>
          </w:p>
        </w:tc>
        <w:tc>
          <w:tcPr>
            <w:tcW w:w="556" w:type="pct"/>
            <w:vMerge w:val="restart"/>
            <w:tcBorders>
              <w:tl2br w:val="nil"/>
              <w:tr2bl w:val="nil"/>
            </w:tcBorders>
            <w:noWrap w:val="0"/>
            <w:vAlign w:val="center"/>
          </w:tcPr>
          <w:p w14:paraId="781FC99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时段</w:t>
            </w:r>
          </w:p>
        </w:tc>
        <w:tc>
          <w:tcPr>
            <w:tcW w:w="1702" w:type="pct"/>
            <w:tcBorders>
              <w:tl2br w:val="nil"/>
              <w:tr2bl w:val="nil"/>
            </w:tcBorders>
            <w:noWrap w:val="0"/>
            <w:vAlign w:val="center"/>
          </w:tcPr>
          <w:p w14:paraId="34F80DF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2</w:t>
            </w:r>
            <w:r>
              <w:rPr>
                <w:rFonts w:hint="default" w:ascii="Times New Roman" w:hAnsi="Times New Roman" w:cs="Times New Roman"/>
                <w:color w:val="000000" w:themeColor="text1"/>
                <w:sz w:val="21"/>
                <w:szCs w:val="21"/>
                <w:highlight w:val="none"/>
                <w:shd w:val="clear" w:color="auto" w:fill="auto"/>
                <w:lang w:val="en-US" w:eastAsia="zh-CN"/>
              </w:rPr>
              <w:t>类标准达标距离/m</w:t>
            </w:r>
          </w:p>
        </w:tc>
        <w:tc>
          <w:tcPr>
            <w:tcW w:w="1725" w:type="pct"/>
            <w:tcBorders>
              <w:tl2br w:val="nil"/>
              <w:tr2bl w:val="nil"/>
            </w:tcBorders>
            <w:noWrap w:val="0"/>
            <w:vAlign w:val="center"/>
          </w:tcPr>
          <w:p w14:paraId="52AEFAD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4a</w:t>
            </w:r>
            <w:r>
              <w:rPr>
                <w:rFonts w:hint="default" w:ascii="Times New Roman" w:hAnsi="Times New Roman" w:cs="Times New Roman"/>
                <w:color w:val="000000" w:themeColor="text1"/>
                <w:sz w:val="21"/>
                <w:szCs w:val="21"/>
                <w:highlight w:val="none"/>
                <w:shd w:val="clear" w:color="auto" w:fill="auto"/>
                <w:lang w:val="en-US" w:eastAsia="zh-CN"/>
              </w:rPr>
              <w:t>类标准达标距离/m</w:t>
            </w:r>
          </w:p>
        </w:tc>
      </w:tr>
      <w:tr w14:paraId="6DB61F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523" w:type="pct"/>
            <w:vMerge w:val="continue"/>
            <w:tcBorders>
              <w:tl2br w:val="nil"/>
              <w:tr2bl w:val="nil"/>
            </w:tcBorders>
            <w:noWrap w:val="0"/>
            <w:vAlign w:val="center"/>
          </w:tcPr>
          <w:p w14:paraId="7EA2273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492" w:type="pct"/>
            <w:vMerge w:val="continue"/>
            <w:tcBorders>
              <w:tl2br w:val="nil"/>
              <w:tr2bl w:val="nil"/>
            </w:tcBorders>
            <w:noWrap w:val="0"/>
            <w:vAlign w:val="center"/>
          </w:tcPr>
          <w:p w14:paraId="31DB620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556" w:type="pct"/>
            <w:vMerge w:val="continue"/>
            <w:tcBorders>
              <w:tl2br w:val="nil"/>
              <w:tr2bl w:val="nil"/>
            </w:tcBorders>
            <w:noWrap w:val="0"/>
            <w:vAlign w:val="center"/>
          </w:tcPr>
          <w:p w14:paraId="1F8150F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1702" w:type="pct"/>
            <w:tcBorders>
              <w:tl2br w:val="nil"/>
              <w:tr2bl w:val="nil"/>
            </w:tcBorders>
            <w:noWrap w:val="0"/>
            <w:vAlign w:val="center"/>
          </w:tcPr>
          <w:p w14:paraId="1E30B28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距离道路边界线</w:t>
            </w:r>
            <w:r>
              <w:rPr>
                <w:rFonts w:hint="eastAsia" w:ascii="Times New Roman" w:hAnsi="Times New Roman" w:cs="Times New Roman"/>
                <w:color w:val="000000" w:themeColor="text1"/>
                <w:sz w:val="21"/>
                <w:szCs w:val="21"/>
                <w:highlight w:val="none"/>
                <w:shd w:val="clear" w:color="auto" w:fill="auto"/>
                <w:lang w:val="en-US" w:eastAsia="zh-CN"/>
              </w:rPr>
              <w:t>40m外</w:t>
            </w:r>
          </w:p>
        </w:tc>
        <w:tc>
          <w:tcPr>
            <w:tcW w:w="1725" w:type="pct"/>
            <w:tcBorders>
              <w:tl2br w:val="nil"/>
              <w:tr2bl w:val="nil"/>
            </w:tcBorders>
            <w:noWrap w:val="0"/>
            <w:vAlign w:val="center"/>
          </w:tcPr>
          <w:p w14:paraId="1640BAB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距离道路边界线</w:t>
            </w:r>
            <w:r>
              <w:rPr>
                <w:rFonts w:hint="eastAsia" w:ascii="Times New Roman" w:hAnsi="Times New Roman" w:cs="Times New Roman"/>
                <w:color w:val="000000" w:themeColor="text1"/>
                <w:sz w:val="21"/>
                <w:szCs w:val="21"/>
                <w:highlight w:val="none"/>
                <w:shd w:val="clear" w:color="auto" w:fill="auto"/>
                <w:lang w:val="en-US" w:eastAsia="zh-CN"/>
              </w:rPr>
              <w:t>40m内</w:t>
            </w:r>
          </w:p>
        </w:tc>
      </w:tr>
      <w:tr w14:paraId="70A5BF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23" w:type="pct"/>
            <w:vMerge w:val="restart"/>
            <w:tcBorders>
              <w:tl2br w:val="nil"/>
              <w:tr2bl w:val="nil"/>
            </w:tcBorders>
            <w:noWrap/>
            <w:vAlign w:val="center"/>
          </w:tcPr>
          <w:p w14:paraId="537108F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机场进场路</w:t>
            </w:r>
          </w:p>
        </w:tc>
        <w:tc>
          <w:tcPr>
            <w:tcW w:w="492" w:type="pct"/>
            <w:vMerge w:val="restart"/>
            <w:tcBorders>
              <w:tl2br w:val="nil"/>
              <w:tr2bl w:val="nil"/>
            </w:tcBorders>
            <w:noWrap w:val="0"/>
            <w:vAlign w:val="center"/>
          </w:tcPr>
          <w:p w14:paraId="2516895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202</w:t>
            </w:r>
            <w:r>
              <w:rPr>
                <w:rFonts w:hint="eastAsia" w:ascii="Times New Roman" w:hAnsi="Times New Roman" w:cs="Times New Roman"/>
                <w:color w:val="000000" w:themeColor="text1"/>
                <w:sz w:val="21"/>
                <w:szCs w:val="21"/>
                <w:highlight w:val="none"/>
                <w:shd w:val="clear" w:color="auto" w:fill="auto"/>
                <w:lang w:val="en-US" w:eastAsia="zh-CN"/>
              </w:rPr>
              <w:t>7</w:t>
            </w:r>
          </w:p>
        </w:tc>
        <w:tc>
          <w:tcPr>
            <w:tcW w:w="556" w:type="pct"/>
            <w:tcBorders>
              <w:tl2br w:val="nil"/>
              <w:tr2bl w:val="nil"/>
            </w:tcBorders>
            <w:noWrap w:val="0"/>
            <w:vAlign w:val="center"/>
          </w:tcPr>
          <w:p w14:paraId="56D6E71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昼间</w:t>
            </w:r>
          </w:p>
        </w:tc>
        <w:tc>
          <w:tcPr>
            <w:tcW w:w="1702" w:type="pct"/>
            <w:tcBorders>
              <w:tl2br w:val="nil"/>
              <w:tr2bl w:val="nil"/>
            </w:tcBorders>
            <w:noWrap w:val="0"/>
            <w:vAlign w:val="center"/>
          </w:tcPr>
          <w:p w14:paraId="42CA48D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功能区均达标</w:t>
            </w:r>
          </w:p>
        </w:tc>
        <w:tc>
          <w:tcPr>
            <w:tcW w:w="1725" w:type="pct"/>
            <w:tcBorders>
              <w:tl2br w:val="nil"/>
              <w:tr2bl w:val="nil"/>
            </w:tcBorders>
            <w:noWrap w:val="0"/>
            <w:vAlign w:val="center"/>
          </w:tcPr>
          <w:p w14:paraId="09EA96D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r>
      <w:tr w14:paraId="3AEE98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23" w:type="pct"/>
            <w:vMerge w:val="continue"/>
            <w:tcBorders>
              <w:tl2br w:val="nil"/>
              <w:tr2bl w:val="nil"/>
            </w:tcBorders>
            <w:noWrap w:val="0"/>
            <w:vAlign w:val="center"/>
          </w:tcPr>
          <w:p w14:paraId="62711D5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492" w:type="pct"/>
            <w:vMerge w:val="continue"/>
            <w:tcBorders>
              <w:tl2br w:val="nil"/>
              <w:tr2bl w:val="nil"/>
            </w:tcBorders>
            <w:noWrap w:val="0"/>
            <w:vAlign w:val="center"/>
          </w:tcPr>
          <w:p w14:paraId="6EC42B7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556" w:type="pct"/>
            <w:tcBorders>
              <w:tl2br w:val="nil"/>
              <w:tr2bl w:val="nil"/>
            </w:tcBorders>
            <w:noWrap w:val="0"/>
            <w:vAlign w:val="center"/>
          </w:tcPr>
          <w:p w14:paraId="73A4C22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夜间</w:t>
            </w:r>
          </w:p>
        </w:tc>
        <w:tc>
          <w:tcPr>
            <w:tcW w:w="1702" w:type="pct"/>
            <w:tcBorders>
              <w:tl2br w:val="nil"/>
              <w:tr2bl w:val="nil"/>
            </w:tcBorders>
            <w:noWrap w:val="0"/>
            <w:vAlign w:val="center"/>
          </w:tcPr>
          <w:p w14:paraId="5780BDF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c>
          <w:tcPr>
            <w:tcW w:w="1725" w:type="pct"/>
            <w:tcBorders>
              <w:tl2br w:val="nil"/>
              <w:tr2bl w:val="nil"/>
            </w:tcBorders>
            <w:noWrap w:val="0"/>
            <w:vAlign w:val="center"/>
          </w:tcPr>
          <w:p w14:paraId="0A9FA93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r>
      <w:tr w14:paraId="79FAB2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23" w:type="pct"/>
            <w:vMerge w:val="continue"/>
            <w:tcBorders>
              <w:tl2br w:val="nil"/>
              <w:tr2bl w:val="nil"/>
            </w:tcBorders>
            <w:noWrap w:val="0"/>
            <w:vAlign w:val="center"/>
          </w:tcPr>
          <w:p w14:paraId="08D1EBA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492" w:type="pct"/>
            <w:vMerge w:val="restart"/>
            <w:tcBorders>
              <w:tl2br w:val="nil"/>
              <w:tr2bl w:val="nil"/>
            </w:tcBorders>
            <w:noWrap w:val="0"/>
            <w:vAlign w:val="center"/>
          </w:tcPr>
          <w:p w14:paraId="7C2BED1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2033</w:t>
            </w:r>
          </w:p>
        </w:tc>
        <w:tc>
          <w:tcPr>
            <w:tcW w:w="556" w:type="pct"/>
            <w:tcBorders>
              <w:tl2br w:val="nil"/>
              <w:tr2bl w:val="nil"/>
            </w:tcBorders>
            <w:noWrap w:val="0"/>
            <w:vAlign w:val="center"/>
          </w:tcPr>
          <w:p w14:paraId="60027F3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昼间</w:t>
            </w:r>
          </w:p>
        </w:tc>
        <w:tc>
          <w:tcPr>
            <w:tcW w:w="1702" w:type="pct"/>
            <w:tcBorders>
              <w:tl2br w:val="nil"/>
              <w:tr2bl w:val="nil"/>
            </w:tcBorders>
            <w:noWrap w:val="0"/>
            <w:vAlign w:val="center"/>
          </w:tcPr>
          <w:p w14:paraId="6D66B5C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c>
          <w:tcPr>
            <w:tcW w:w="1725" w:type="pct"/>
            <w:tcBorders>
              <w:tl2br w:val="nil"/>
              <w:tr2bl w:val="nil"/>
            </w:tcBorders>
            <w:noWrap w:val="0"/>
            <w:vAlign w:val="center"/>
          </w:tcPr>
          <w:p w14:paraId="00777ED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r>
      <w:tr w14:paraId="7E044F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23" w:type="pct"/>
            <w:vMerge w:val="continue"/>
            <w:tcBorders>
              <w:tl2br w:val="nil"/>
              <w:tr2bl w:val="nil"/>
            </w:tcBorders>
            <w:noWrap w:val="0"/>
            <w:vAlign w:val="center"/>
          </w:tcPr>
          <w:p w14:paraId="3A794A8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492" w:type="pct"/>
            <w:vMerge w:val="continue"/>
            <w:tcBorders>
              <w:tl2br w:val="nil"/>
              <w:tr2bl w:val="nil"/>
            </w:tcBorders>
            <w:noWrap w:val="0"/>
            <w:vAlign w:val="center"/>
          </w:tcPr>
          <w:p w14:paraId="15B3AAD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556" w:type="pct"/>
            <w:tcBorders>
              <w:tl2br w:val="nil"/>
              <w:tr2bl w:val="nil"/>
            </w:tcBorders>
            <w:noWrap w:val="0"/>
            <w:vAlign w:val="center"/>
          </w:tcPr>
          <w:p w14:paraId="175C95E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夜间</w:t>
            </w:r>
          </w:p>
        </w:tc>
        <w:tc>
          <w:tcPr>
            <w:tcW w:w="1702" w:type="pct"/>
            <w:tcBorders>
              <w:tl2br w:val="nil"/>
              <w:tr2bl w:val="nil"/>
            </w:tcBorders>
            <w:noWrap w:val="0"/>
            <w:vAlign w:val="center"/>
          </w:tcPr>
          <w:p w14:paraId="495292E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c>
          <w:tcPr>
            <w:tcW w:w="1725" w:type="pct"/>
            <w:tcBorders>
              <w:tl2br w:val="nil"/>
              <w:tr2bl w:val="nil"/>
            </w:tcBorders>
            <w:shd w:val="clear" w:color="auto" w:fill="auto"/>
            <w:noWrap w:val="0"/>
            <w:vAlign w:val="center"/>
          </w:tcPr>
          <w:p w14:paraId="5333A9A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r>
      <w:tr w14:paraId="0F7D83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23" w:type="pct"/>
            <w:vMerge w:val="continue"/>
            <w:tcBorders>
              <w:tl2br w:val="nil"/>
              <w:tr2bl w:val="nil"/>
            </w:tcBorders>
            <w:noWrap w:val="0"/>
            <w:vAlign w:val="center"/>
          </w:tcPr>
          <w:p w14:paraId="7B8D80A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492" w:type="pct"/>
            <w:vMerge w:val="restart"/>
            <w:tcBorders>
              <w:tl2br w:val="nil"/>
              <w:tr2bl w:val="nil"/>
            </w:tcBorders>
            <w:noWrap w:val="0"/>
            <w:vAlign w:val="center"/>
          </w:tcPr>
          <w:p w14:paraId="74F9E4E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20</w:t>
            </w:r>
            <w:r>
              <w:rPr>
                <w:rFonts w:hint="eastAsia" w:ascii="Times New Roman" w:hAnsi="Times New Roman" w:cs="Times New Roman"/>
                <w:color w:val="000000" w:themeColor="text1"/>
                <w:sz w:val="21"/>
                <w:szCs w:val="21"/>
                <w:highlight w:val="none"/>
                <w:shd w:val="clear" w:color="auto" w:fill="auto"/>
                <w:lang w:val="en-US" w:eastAsia="zh-CN"/>
              </w:rPr>
              <w:t>41</w:t>
            </w:r>
          </w:p>
        </w:tc>
        <w:tc>
          <w:tcPr>
            <w:tcW w:w="556" w:type="pct"/>
            <w:tcBorders>
              <w:tl2br w:val="nil"/>
              <w:tr2bl w:val="nil"/>
            </w:tcBorders>
            <w:noWrap w:val="0"/>
            <w:vAlign w:val="center"/>
          </w:tcPr>
          <w:p w14:paraId="27E3B81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昼间</w:t>
            </w:r>
          </w:p>
        </w:tc>
        <w:tc>
          <w:tcPr>
            <w:tcW w:w="1702" w:type="pct"/>
            <w:tcBorders>
              <w:tl2br w:val="nil"/>
              <w:tr2bl w:val="nil"/>
            </w:tcBorders>
            <w:shd w:val="clear" w:color="auto" w:fill="auto"/>
            <w:noWrap w:val="0"/>
            <w:vAlign w:val="center"/>
          </w:tcPr>
          <w:p w14:paraId="4858DCA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c>
          <w:tcPr>
            <w:tcW w:w="1725" w:type="pct"/>
            <w:tcBorders>
              <w:tl2br w:val="nil"/>
              <w:tr2bl w:val="nil"/>
            </w:tcBorders>
            <w:shd w:val="clear" w:color="auto" w:fill="auto"/>
            <w:noWrap w:val="0"/>
            <w:vAlign w:val="center"/>
          </w:tcPr>
          <w:p w14:paraId="617E958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r>
      <w:tr w14:paraId="0D3D7B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23" w:type="pct"/>
            <w:vMerge w:val="continue"/>
            <w:tcBorders>
              <w:tl2br w:val="nil"/>
              <w:tr2bl w:val="nil"/>
            </w:tcBorders>
            <w:noWrap w:val="0"/>
            <w:vAlign w:val="center"/>
          </w:tcPr>
          <w:p w14:paraId="2594B9A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492" w:type="pct"/>
            <w:vMerge w:val="continue"/>
            <w:tcBorders>
              <w:tl2br w:val="nil"/>
              <w:tr2bl w:val="nil"/>
            </w:tcBorders>
            <w:noWrap w:val="0"/>
            <w:vAlign w:val="center"/>
          </w:tcPr>
          <w:p w14:paraId="3F2EBA9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p>
        </w:tc>
        <w:tc>
          <w:tcPr>
            <w:tcW w:w="556" w:type="pct"/>
            <w:tcBorders>
              <w:tl2br w:val="nil"/>
              <w:tr2bl w:val="nil"/>
            </w:tcBorders>
            <w:noWrap w:val="0"/>
            <w:vAlign w:val="center"/>
          </w:tcPr>
          <w:p w14:paraId="3F4E8BD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default" w:ascii="Times New Roman" w:hAnsi="Times New Roman" w:cs="Times New Roman"/>
                <w:color w:val="000000" w:themeColor="text1"/>
                <w:sz w:val="21"/>
                <w:szCs w:val="21"/>
                <w:highlight w:val="none"/>
                <w:shd w:val="clear" w:color="auto" w:fill="auto"/>
                <w:lang w:val="en-US" w:eastAsia="zh-CN"/>
              </w:rPr>
              <w:t>夜间</w:t>
            </w:r>
          </w:p>
        </w:tc>
        <w:tc>
          <w:tcPr>
            <w:tcW w:w="1702" w:type="pct"/>
            <w:tcBorders>
              <w:tl2br w:val="nil"/>
              <w:tr2bl w:val="nil"/>
            </w:tcBorders>
            <w:shd w:val="clear" w:color="auto" w:fill="auto"/>
            <w:noWrap w:val="0"/>
            <w:vAlign w:val="center"/>
          </w:tcPr>
          <w:p w14:paraId="761E6E5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shd w:val="clear" w:color="auto" w:fill="auto"/>
                <w:lang w:val="en-US" w:eastAsia="zh-CN" w:bidi="ar-SA"/>
              </w:rPr>
            </w:pPr>
            <w:r>
              <w:rPr>
                <w:rFonts w:hint="eastAsia" w:ascii="Times New Roman" w:hAnsi="Times New Roman" w:cs="Times New Roman"/>
                <w:color w:val="000000" w:themeColor="text1"/>
                <w:sz w:val="21"/>
                <w:szCs w:val="21"/>
                <w:highlight w:val="none"/>
                <w:shd w:val="clear" w:color="auto" w:fill="auto"/>
                <w:lang w:val="en-US" w:eastAsia="zh-CN"/>
              </w:rPr>
              <w:t>功能区均达标</w:t>
            </w:r>
          </w:p>
        </w:tc>
        <w:tc>
          <w:tcPr>
            <w:tcW w:w="1725" w:type="pct"/>
            <w:tcBorders>
              <w:tl2br w:val="nil"/>
              <w:tr2bl w:val="nil"/>
            </w:tcBorders>
            <w:noWrap w:val="0"/>
            <w:vAlign w:val="center"/>
          </w:tcPr>
          <w:p w14:paraId="59A2179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shd w:val="clear" w:color="auto" w:fill="auto"/>
                <w:lang w:val="en-US" w:eastAsia="zh-CN"/>
              </w:rPr>
            </w:pPr>
            <w:r>
              <w:rPr>
                <w:rFonts w:hint="eastAsia" w:ascii="Times New Roman" w:hAnsi="Times New Roman" w:cs="Times New Roman"/>
                <w:color w:val="000000" w:themeColor="text1"/>
                <w:sz w:val="21"/>
                <w:szCs w:val="21"/>
                <w:highlight w:val="none"/>
                <w:shd w:val="clear" w:color="auto" w:fill="auto"/>
                <w:lang w:val="en-US" w:eastAsia="zh-CN"/>
              </w:rPr>
              <w:t>远期夜间超标，达标距离</w:t>
            </w:r>
            <w:r>
              <w:rPr>
                <w:rFonts w:hint="eastAsia" w:cs="Times New Roman"/>
                <w:color w:val="000000" w:themeColor="text1"/>
                <w:sz w:val="21"/>
                <w:szCs w:val="21"/>
                <w:highlight w:val="none"/>
                <w:shd w:val="clear" w:color="auto" w:fill="auto"/>
                <w:lang w:val="en-US" w:eastAsia="zh-CN"/>
              </w:rPr>
              <w:t>30</w:t>
            </w:r>
            <w:r>
              <w:rPr>
                <w:rFonts w:hint="eastAsia" w:ascii="Times New Roman" w:hAnsi="Times New Roman" w:cs="Times New Roman"/>
                <w:color w:val="000000" w:themeColor="text1"/>
                <w:sz w:val="21"/>
                <w:szCs w:val="21"/>
                <w:highlight w:val="none"/>
                <w:shd w:val="clear" w:color="auto" w:fill="auto"/>
                <w:lang w:val="en-US" w:eastAsia="zh-CN"/>
              </w:rPr>
              <w:t>m</w:t>
            </w:r>
          </w:p>
        </w:tc>
      </w:tr>
    </w:tbl>
    <w:p w14:paraId="7E72B0D8">
      <w:pPr>
        <w:pageBreakBefore w:val="0"/>
        <w:wordWrap/>
        <w:topLinePunct w:val="0"/>
        <w:bidi w:val="0"/>
        <w:spacing w:line="360" w:lineRule="auto"/>
        <w:rPr>
          <w:color w:val="000000" w:themeColor="text1"/>
          <w:highlight w:val="none"/>
        </w:rPr>
      </w:pPr>
      <w:r>
        <w:rPr>
          <w:color w:val="000000" w:themeColor="text1"/>
          <w:highlight w:val="none"/>
        </w:rPr>
        <w:t>由表5.</w:t>
      </w:r>
      <w:r>
        <w:rPr>
          <w:rFonts w:hint="eastAsia"/>
          <w:color w:val="000000" w:themeColor="text1"/>
          <w:highlight w:val="none"/>
        </w:rPr>
        <w:t>2</w:t>
      </w:r>
      <w:r>
        <w:rPr>
          <w:color w:val="000000" w:themeColor="text1"/>
          <w:highlight w:val="none"/>
        </w:rPr>
        <w:t>-</w:t>
      </w:r>
      <w:r>
        <w:rPr>
          <w:rFonts w:hint="eastAsia"/>
          <w:color w:val="000000" w:themeColor="text1"/>
          <w:highlight w:val="none"/>
          <w:lang w:val="en-US" w:eastAsia="zh-CN"/>
        </w:rPr>
        <w:t>8</w:t>
      </w:r>
      <w:r>
        <w:rPr>
          <w:color w:val="000000" w:themeColor="text1"/>
          <w:highlight w:val="none"/>
        </w:rPr>
        <w:t>结果，可知本项目</w:t>
      </w:r>
      <w:r>
        <w:rPr>
          <w:rFonts w:hint="eastAsia"/>
          <w:color w:val="000000" w:themeColor="text1"/>
          <w:highlight w:val="none"/>
          <w:lang w:val="en-US" w:eastAsia="zh-CN"/>
        </w:rPr>
        <w:t>主线</w:t>
      </w:r>
      <w:r>
        <w:rPr>
          <w:color w:val="000000" w:themeColor="text1"/>
          <w:highlight w:val="none"/>
        </w:rPr>
        <w:t>沿线功能区达标情况如下：</w:t>
      </w:r>
    </w:p>
    <w:p w14:paraId="79A5E68E">
      <w:pPr>
        <w:pageBreakBefore w:val="0"/>
        <w:wordWrap/>
        <w:topLinePunct w:val="0"/>
        <w:bidi w:val="0"/>
        <w:spacing w:line="360" w:lineRule="auto"/>
        <w:rPr>
          <w:color w:val="000000" w:themeColor="text1"/>
          <w:highlight w:val="none"/>
        </w:rPr>
      </w:pPr>
      <w:r>
        <w:rPr>
          <w:rFonts w:hint="default"/>
          <w:color w:val="000000" w:themeColor="text1"/>
          <w:highlight w:val="none"/>
          <w:lang w:val="en-US" w:eastAsia="zh-CN"/>
        </w:rPr>
        <w:t>4a</w:t>
      </w:r>
      <w:r>
        <w:rPr>
          <w:rFonts w:hint="eastAsia"/>
          <w:color w:val="000000" w:themeColor="text1"/>
          <w:highlight w:val="none"/>
          <w:lang w:val="en-US" w:eastAsia="zh-CN"/>
        </w:rPr>
        <w:t>类声环境功能区近期昼间、夜间功能区均达标；中期昼间、夜间功能区均达标；远期昼间功能区达标、远期夜间超标，夜间达标距离道路边界线30m；2类声环境功能区近期昼间、夜间在功能区内均达标；中期昼间、夜间在功能区内均达标；远期昼间、夜间在功能区内均达标。</w:t>
      </w:r>
    </w:p>
    <w:p w14:paraId="1118FE3E">
      <w:pPr>
        <w:pageBreakBefore w:val="0"/>
        <w:wordWrap/>
        <w:topLinePunct w:val="0"/>
        <w:bidi w:val="0"/>
        <w:spacing w:line="360" w:lineRule="auto"/>
        <w:rPr>
          <w:color w:val="000000" w:themeColor="text1"/>
          <w:highlight w:val="none"/>
        </w:rPr>
      </w:pPr>
      <w:r>
        <w:rPr>
          <w:rFonts w:hint="eastAsia" w:cs="宋体"/>
          <w:color w:val="000000" w:themeColor="text1"/>
          <w:highlight w:val="none"/>
        </w:rPr>
        <w:t>③</w:t>
      </w:r>
      <w:r>
        <w:rPr>
          <w:color w:val="000000" w:themeColor="text1"/>
          <w:highlight w:val="none"/>
        </w:rPr>
        <w:t>典型路段等声级曲线图</w:t>
      </w:r>
    </w:p>
    <w:p w14:paraId="78A0BB93">
      <w:pPr>
        <w:pageBreakBefore w:val="0"/>
        <w:wordWrap/>
        <w:topLinePunct w:val="0"/>
        <w:bidi w:val="0"/>
        <w:spacing w:line="360" w:lineRule="auto"/>
        <w:rPr>
          <w:color w:val="000000" w:themeColor="text1"/>
          <w:highlight w:val="none"/>
        </w:rPr>
      </w:pPr>
      <w:r>
        <w:rPr>
          <w:color w:val="000000" w:themeColor="text1"/>
          <w:highlight w:val="none"/>
        </w:rPr>
        <w:t>本次评价选取</w:t>
      </w:r>
      <w:r>
        <w:rPr>
          <w:rFonts w:hint="eastAsia"/>
          <w:color w:val="000000" w:themeColor="text1"/>
          <w:highlight w:val="none"/>
          <w:lang w:val="en-US" w:eastAsia="zh-CN"/>
        </w:rPr>
        <w:t>跨铁路桥</w:t>
      </w:r>
      <w:r>
        <w:rPr>
          <w:color w:val="000000" w:themeColor="text1"/>
          <w:highlight w:val="none"/>
        </w:rPr>
        <w:t>路段，考虑路基形式</w:t>
      </w:r>
      <w:r>
        <w:rPr>
          <w:rFonts w:hint="eastAsia"/>
          <w:color w:val="000000" w:themeColor="text1"/>
          <w:highlight w:val="none"/>
          <w:lang w:val="en-US" w:eastAsia="zh-CN"/>
        </w:rPr>
        <w:t>及高差</w:t>
      </w:r>
      <w:r>
        <w:rPr>
          <w:color w:val="000000" w:themeColor="text1"/>
          <w:highlight w:val="none"/>
        </w:rPr>
        <w:t>影响，按营运近期（202</w:t>
      </w:r>
      <w:r>
        <w:rPr>
          <w:rFonts w:hint="eastAsia"/>
          <w:color w:val="000000" w:themeColor="text1"/>
          <w:highlight w:val="none"/>
          <w:lang w:val="en-US" w:eastAsia="zh-CN"/>
        </w:rPr>
        <w:t>7</w:t>
      </w:r>
      <w:r>
        <w:rPr>
          <w:color w:val="000000" w:themeColor="text1"/>
          <w:highlight w:val="none"/>
        </w:rPr>
        <w:t>年）、中期（203</w:t>
      </w:r>
      <w:r>
        <w:rPr>
          <w:rFonts w:hint="eastAsia"/>
          <w:color w:val="000000" w:themeColor="text1"/>
          <w:highlight w:val="none"/>
          <w:lang w:val="en-US" w:eastAsia="zh-CN"/>
        </w:rPr>
        <w:t>3</w:t>
      </w:r>
      <w:r>
        <w:rPr>
          <w:color w:val="000000" w:themeColor="text1"/>
          <w:highlight w:val="none"/>
        </w:rPr>
        <w:t>年）、远期（20</w:t>
      </w:r>
      <w:r>
        <w:rPr>
          <w:rFonts w:hint="eastAsia"/>
          <w:color w:val="000000" w:themeColor="text1"/>
          <w:highlight w:val="none"/>
          <w:lang w:val="en-US" w:eastAsia="zh-CN"/>
        </w:rPr>
        <w:t>41</w:t>
      </w:r>
      <w:r>
        <w:rPr>
          <w:color w:val="000000" w:themeColor="text1"/>
          <w:highlight w:val="none"/>
        </w:rPr>
        <w:t>年）绘制</w:t>
      </w:r>
      <w:r>
        <w:rPr>
          <w:rFonts w:hint="eastAsia"/>
          <w:color w:val="000000" w:themeColor="text1"/>
          <w:highlight w:val="none"/>
          <w:lang w:val="en-US" w:eastAsia="zh-CN"/>
        </w:rPr>
        <w:t>该</w:t>
      </w:r>
      <w:r>
        <w:rPr>
          <w:color w:val="000000" w:themeColor="text1"/>
          <w:highlight w:val="none"/>
        </w:rPr>
        <w:t>路段昼间、夜间贡献值水平向等声级线图。</w:t>
      </w:r>
    </w:p>
    <w:p w14:paraId="3D427FB5">
      <w:pPr>
        <w:pageBreakBefore w:val="0"/>
        <w:wordWrap/>
        <w:topLinePunct w:val="0"/>
        <w:bidi w:val="0"/>
        <w:spacing w:line="360" w:lineRule="auto"/>
        <w:ind w:firstLine="0" w:firstLineChars="0"/>
        <w:jc w:val="center"/>
        <w:rPr>
          <w:rFonts w:hint="eastAsia" w:eastAsia="宋体"/>
          <w:b/>
          <w:snapToGrid w:val="0"/>
          <w:color w:val="000000" w:themeColor="text1"/>
          <w:highlight w:val="none"/>
          <w:lang w:eastAsia="zh-CN"/>
        </w:rPr>
      </w:pPr>
      <w:r>
        <w:rPr>
          <w:rFonts w:hint="eastAsia" w:eastAsia="宋体"/>
          <w:b/>
          <w:snapToGrid w:val="0"/>
          <w:color w:val="000000" w:themeColor="text1"/>
          <w:highlight w:val="none"/>
          <w:lang w:eastAsia="zh-CN"/>
        </w:rPr>
        <w:drawing>
          <wp:inline distT="0" distB="0" distL="114300" distR="114300">
            <wp:extent cx="5277485" cy="3067050"/>
            <wp:effectExtent l="0" t="0" r="0" b="0"/>
            <wp:docPr id="20" name="图片 20" descr="近期昼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近期昼间"/>
                    <pic:cNvPicPr>
                      <a:picLocks noChangeAspect="1"/>
                    </pic:cNvPicPr>
                  </pic:nvPicPr>
                  <pic:blipFill>
                    <a:blip r:embed="rId77"/>
                    <a:srcRect b="6286"/>
                    <a:stretch>
                      <a:fillRect/>
                    </a:stretch>
                  </pic:blipFill>
                  <pic:spPr>
                    <a:xfrm>
                      <a:off x="0" y="0"/>
                      <a:ext cx="5277485" cy="3067050"/>
                    </a:xfrm>
                    <a:prstGeom prst="rect">
                      <a:avLst/>
                    </a:prstGeom>
                  </pic:spPr>
                </pic:pic>
              </a:graphicData>
            </a:graphic>
          </wp:inline>
        </w:drawing>
      </w:r>
    </w:p>
    <w:p w14:paraId="38EF4CEE">
      <w:pPr>
        <w:pageBreakBefore w:val="0"/>
        <w:wordWrap/>
        <w:topLinePunct w:val="0"/>
        <w:bidi w:val="0"/>
        <w:spacing w:line="360" w:lineRule="auto"/>
        <w:ind w:firstLine="0" w:firstLineChars="0"/>
        <w:jc w:val="center"/>
        <w:rPr>
          <w:b/>
          <w:snapToGrid w:val="0"/>
          <w:color w:val="000000" w:themeColor="text1"/>
          <w:highlight w:val="none"/>
        </w:rPr>
      </w:pPr>
      <w:r>
        <w:rPr>
          <w:b/>
          <w:snapToGrid w:val="0"/>
          <w:color w:val="000000" w:themeColor="text1"/>
          <w:highlight w:val="none"/>
        </w:rPr>
        <w:t>图5.</w:t>
      </w:r>
      <w:r>
        <w:rPr>
          <w:rFonts w:hint="eastAsia"/>
          <w:b/>
          <w:snapToGrid w:val="0"/>
          <w:color w:val="000000" w:themeColor="text1"/>
          <w:highlight w:val="none"/>
        </w:rPr>
        <w:t>2</w:t>
      </w:r>
      <w:r>
        <w:rPr>
          <w:b/>
          <w:snapToGrid w:val="0"/>
          <w:color w:val="000000" w:themeColor="text1"/>
          <w:highlight w:val="none"/>
        </w:rPr>
        <w:t>-</w:t>
      </w:r>
      <w:r>
        <w:rPr>
          <w:rFonts w:hint="eastAsia"/>
          <w:b/>
          <w:snapToGrid w:val="0"/>
          <w:color w:val="000000" w:themeColor="text1"/>
          <w:highlight w:val="none"/>
          <w:lang w:val="en-US" w:eastAsia="zh-CN"/>
        </w:rPr>
        <w:t>7</w:t>
      </w:r>
      <w:r>
        <w:rPr>
          <w:b/>
          <w:snapToGrid w:val="0"/>
          <w:color w:val="000000" w:themeColor="text1"/>
          <w:highlight w:val="none"/>
        </w:rPr>
        <w:t xml:space="preserve">  202</w:t>
      </w:r>
      <w:r>
        <w:rPr>
          <w:rFonts w:hint="eastAsia"/>
          <w:b/>
          <w:snapToGrid w:val="0"/>
          <w:color w:val="000000" w:themeColor="text1"/>
          <w:highlight w:val="none"/>
          <w:lang w:val="en-US" w:eastAsia="zh-CN"/>
        </w:rPr>
        <w:t>7</w:t>
      </w:r>
      <w:r>
        <w:rPr>
          <w:b/>
          <w:snapToGrid w:val="0"/>
          <w:color w:val="000000" w:themeColor="text1"/>
          <w:highlight w:val="none"/>
        </w:rPr>
        <w:t>年近期昼间噪声等值线图</w:t>
      </w:r>
    </w:p>
    <w:p w14:paraId="7CEAF0CF">
      <w:pPr>
        <w:pageBreakBefore w:val="0"/>
        <w:wordWrap/>
        <w:topLinePunct w:val="0"/>
        <w:bidi w:val="0"/>
        <w:spacing w:line="360" w:lineRule="auto"/>
        <w:ind w:firstLine="0" w:firstLineChars="0"/>
        <w:jc w:val="center"/>
        <w:rPr>
          <w:rFonts w:hint="eastAsia" w:eastAsia="宋体"/>
          <w:b/>
          <w:snapToGrid w:val="0"/>
          <w:color w:val="000000" w:themeColor="text1"/>
          <w:highlight w:val="none"/>
          <w:lang w:eastAsia="zh-CN"/>
        </w:rPr>
      </w:pPr>
      <w:r>
        <w:rPr>
          <w:rFonts w:hint="eastAsia" w:eastAsia="宋体"/>
          <w:b/>
          <w:snapToGrid w:val="0"/>
          <w:color w:val="000000" w:themeColor="text1"/>
          <w:highlight w:val="none"/>
          <w:lang w:eastAsia="zh-CN"/>
        </w:rPr>
        <w:drawing>
          <wp:inline distT="0" distB="0" distL="114300" distR="114300">
            <wp:extent cx="5267960" cy="3023870"/>
            <wp:effectExtent l="0" t="0" r="0" b="0"/>
            <wp:docPr id="21" name="图片 21" descr="近期夜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近期夜间"/>
                    <pic:cNvPicPr>
                      <a:picLocks noChangeAspect="1"/>
                    </pic:cNvPicPr>
                  </pic:nvPicPr>
                  <pic:blipFill>
                    <a:blip r:embed="rId78"/>
                    <a:srcRect b="6019"/>
                    <a:stretch>
                      <a:fillRect/>
                    </a:stretch>
                  </pic:blipFill>
                  <pic:spPr>
                    <a:xfrm>
                      <a:off x="0" y="0"/>
                      <a:ext cx="5267960" cy="3023870"/>
                    </a:xfrm>
                    <a:prstGeom prst="rect">
                      <a:avLst/>
                    </a:prstGeom>
                  </pic:spPr>
                </pic:pic>
              </a:graphicData>
            </a:graphic>
          </wp:inline>
        </w:drawing>
      </w:r>
    </w:p>
    <w:p w14:paraId="0E1F5349">
      <w:pPr>
        <w:pageBreakBefore w:val="0"/>
        <w:wordWrap/>
        <w:topLinePunct w:val="0"/>
        <w:bidi w:val="0"/>
        <w:spacing w:line="360" w:lineRule="auto"/>
        <w:ind w:firstLine="0" w:firstLineChars="0"/>
        <w:jc w:val="center"/>
        <w:rPr>
          <w:b/>
          <w:snapToGrid w:val="0"/>
          <w:color w:val="000000" w:themeColor="text1"/>
          <w:highlight w:val="none"/>
        </w:rPr>
      </w:pPr>
      <w:r>
        <w:rPr>
          <w:b/>
          <w:snapToGrid w:val="0"/>
          <w:color w:val="000000" w:themeColor="text1"/>
          <w:highlight w:val="none"/>
        </w:rPr>
        <w:t>图5.</w:t>
      </w:r>
      <w:r>
        <w:rPr>
          <w:rFonts w:hint="eastAsia"/>
          <w:b/>
          <w:snapToGrid w:val="0"/>
          <w:color w:val="000000" w:themeColor="text1"/>
          <w:highlight w:val="none"/>
        </w:rPr>
        <w:t>2</w:t>
      </w:r>
      <w:r>
        <w:rPr>
          <w:b/>
          <w:snapToGrid w:val="0"/>
          <w:color w:val="000000" w:themeColor="text1"/>
          <w:highlight w:val="none"/>
        </w:rPr>
        <w:t>-</w:t>
      </w:r>
      <w:r>
        <w:rPr>
          <w:rFonts w:hint="eastAsia"/>
          <w:b/>
          <w:snapToGrid w:val="0"/>
          <w:color w:val="000000" w:themeColor="text1"/>
          <w:highlight w:val="none"/>
          <w:lang w:val="en-US" w:eastAsia="zh-CN"/>
        </w:rPr>
        <w:t>8</w:t>
      </w:r>
      <w:r>
        <w:rPr>
          <w:b/>
          <w:snapToGrid w:val="0"/>
          <w:color w:val="000000" w:themeColor="text1"/>
          <w:highlight w:val="none"/>
        </w:rPr>
        <w:t xml:space="preserve">  202</w:t>
      </w:r>
      <w:r>
        <w:rPr>
          <w:rFonts w:hint="eastAsia"/>
          <w:b/>
          <w:snapToGrid w:val="0"/>
          <w:color w:val="000000" w:themeColor="text1"/>
          <w:highlight w:val="none"/>
          <w:lang w:val="en-US" w:eastAsia="zh-CN"/>
        </w:rPr>
        <w:t>7</w:t>
      </w:r>
      <w:r>
        <w:rPr>
          <w:b/>
          <w:snapToGrid w:val="0"/>
          <w:color w:val="000000" w:themeColor="text1"/>
          <w:highlight w:val="none"/>
        </w:rPr>
        <w:t>年近期夜间噪声等值线图</w:t>
      </w:r>
    </w:p>
    <w:p w14:paraId="5C0EB77D">
      <w:pPr>
        <w:pStyle w:val="42"/>
        <w:pageBreakBefore w:val="0"/>
        <w:wordWrap/>
        <w:topLinePunct w:val="0"/>
        <w:bidi w:val="0"/>
        <w:spacing w:line="360" w:lineRule="auto"/>
        <w:rPr>
          <w:rFonts w:hint="eastAsia" w:ascii="Times New Roman" w:eastAsia="宋体"/>
          <w:color w:val="000000" w:themeColor="text1"/>
          <w:szCs w:val="32"/>
          <w:highlight w:val="none"/>
          <w:lang w:eastAsia="zh-CN"/>
        </w:rPr>
      </w:pPr>
    </w:p>
    <w:p w14:paraId="422D27BE">
      <w:pPr>
        <w:pStyle w:val="42"/>
        <w:pageBreakBefore w:val="0"/>
        <w:wordWrap/>
        <w:topLinePunct w:val="0"/>
        <w:bidi w:val="0"/>
        <w:spacing w:line="360" w:lineRule="auto"/>
        <w:rPr>
          <w:rFonts w:hint="eastAsia" w:ascii="Times New Roman" w:eastAsia="宋体"/>
          <w:color w:val="000000" w:themeColor="text1"/>
          <w:szCs w:val="32"/>
          <w:highlight w:val="none"/>
          <w:lang w:eastAsia="zh-CN"/>
        </w:rPr>
      </w:pPr>
      <w:r>
        <w:rPr>
          <w:rFonts w:hint="eastAsia" w:ascii="Times New Roman" w:eastAsia="宋体"/>
          <w:color w:val="000000" w:themeColor="text1"/>
          <w:szCs w:val="32"/>
          <w:highlight w:val="none"/>
          <w:lang w:eastAsia="zh-CN"/>
        </w:rPr>
        <w:drawing>
          <wp:inline distT="0" distB="0" distL="114300" distR="114300">
            <wp:extent cx="5277485" cy="2874010"/>
            <wp:effectExtent l="0" t="0" r="0" b="0"/>
            <wp:docPr id="23" name="图片 23" descr="中期昼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中期昼间"/>
                    <pic:cNvPicPr>
                      <a:picLocks noChangeAspect="1"/>
                    </pic:cNvPicPr>
                  </pic:nvPicPr>
                  <pic:blipFill>
                    <a:blip r:embed="rId79"/>
                    <a:srcRect b="5353"/>
                    <a:stretch>
                      <a:fillRect/>
                    </a:stretch>
                  </pic:blipFill>
                  <pic:spPr>
                    <a:xfrm>
                      <a:off x="0" y="0"/>
                      <a:ext cx="5277485" cy="2874010"/>
                    </a:xfrm>
                    <a:prstGeom prst="rect">
                      <a:avLst/>
                    </a:prstGeom>
                  </pic:spPr>
                </pic:pic>
              </a:graphicData>
            </a:graphic>
          </wp:inline>
        </w:drawing>
      </w:r>
    </w:p>
    <w:p w14:paraId="06F9C6DC">
      <w:pPr>
        <w:pageBreakBefore w:val="0"/>
        <w:wordWrap/>
        <w:topLinePunct w:val="0"/>
        <w:bidi w:val="0"/>
        <w:spacing w:line="360" w:lineRule="auto"/>
        <w:ind w:firstLine="0" w:firstLineChars="0"/>
        <w:jc w:val="center"/>
        <w:rPr>
          <w:b/>
          <w:snapToGrid w:val="0"/>
          <w:color w:val="000000" w:themeColor="text1"/>
          <w:highlight w:val="none"/>
        </w:rPr>
      </w:pPr>
      <w:r>
        <w:rPr>
          <w:b/>
          <w:snapToGrid w:val="0"/>
          <w:color w:val="000000" w:themeColor="text1"/>
          <w:highlight w:val="none"/>
        </w:rPr>
        <w:t>图5.</w:t>
      </w:r>
      <w:r>
        <w:rPr>
          <w:rFonts w:hint="eastAsia"/>
          <w:b/>
          <w:snapToGrid w:val="0"/>
          <w:color w:val="000000" w:themeColor="text1"/>
          <w:highlight w:val="none"/>
        </w:rPr>
        <w:t>2</w:t>
      </w:r>
      <w:r>
        <w:rPr>
          <w:b/>
          <w:snapToGrid w:val="0"/>
          <w:color w:val="000000" w:themeColor="text1"/>
          <w:highlight w:val="none"/>
        </w:rPr>
        <w:t>-</w:t>
      </w:r>
      <w:r>
        <w:rPr>
          <w:rFonts w:hint="eastAsia"/>
          <w:b/>
          <w:snapToGrid w:val="0"/>
          <w:color w:val="000000" w:themeColor="text1"/>
          <w:highlight w:val="none"/>
          <w:lang w:val="en-US" w:eastAsia="zh-CN"/>
        </w:rPr>
        <w:t>9</w:t>
      </w:r>
      <w:r>
        <w:rPr>
          <w:b/>
          <w:snapToGrid w:val="0"/>
          <w:color w:val="000000" w:themeColor="text1"/>
          <w:highlight w:val="none"/>
        </w:rPr>
        <w:t xml:space="preserve">  203</w:t>
      </w:r>
      <w:r>
        <w:rPr>
          <w:rFonts w:hint="eastAsia"/>
          <w:b/>
          <w:snapToGrid w:val="0"/>
          <w:color w:val="000000" w:themeColor="text1"/>
          <w:highlight w:val="none"/>
          <w:lang w:val="en-US" w:eastAsia="zh-CN"/>
        </w:rPr>
        <w:t>3</w:t>
      </w:r>
      <w:r>
        <w:rPr>
          <w:b/>
          <w:snapToGrid w:val="0"/>
          <w:color w:val="000000" w:themeColor="text1"/>
          <w:highlight w:val="none"/>
        </w:rPr>
        <w:t>年中期昼间噪声等值线图</w:t>
      </w:r>
    </w:p>
    <w:p w14:paraId="5248AB0E">
      <w:pPr>
        <w:pageBreakBefore w:val="0"/>
        <w:wordWrap/>
        <w:topLinePunct w:val="0"/>
        <w:bidi w:val="0"/>
        <w:spacing w:line="360" w:lineRule="auto"/>
        <w:ind w:firstLine="0" w:firstLineChars="0"/>
        <w:jc w:val="center"/>
        <w:rPr>
          <w:rFonts w:hint="eastAsia" w:eastAsia="宋体"/>
          <w:b/>
          <w:snapToGrid w:val="0"/>
          <w:color w:val="000000" w:themeColor="text1"/>
          <w:highlight w:val="none"/>
          <w:lang w:eastAsia="zh-CN"/>
        </w:rPr>
      </w:pPr>
      <w:r>
        <w:rPr>
          <w:rFonts w:hint="eastAsia" w:eastAsia="宋体"/>
          <w:b/>
          <w:snapToGrid w:val="0"/>
          <w:color w:val="000000" w:themeColor="text1"/>
          <w:highlight w:val="none"/>
          <w:lang w:eastAsia="zh-CN"/>
        </w:rPr>
        <w:drawing>
          <wp:inline distT="0" distB="0" distL="114300" distR="114300">
            <wp:extent cx="5278120" cy="3099435"/>
            <wp:effectExtent l="0" t="0" r="17780" b="5715"/>
            <wp:docPr id="24" name="图片 24" descr="中期夜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中期夜间"/>
                    <pic:cNvPicPr>
                      <a:picLocks noChangeAspect="1"/>
                    </pic:cNvPicPr>
                  </pic:nvPicPr>
                  <pic:blipFill>
                    <a:blip r:embed="rId80"/>
                    <a:stretch>
                      <a:fillRect/>
                    </a:stretch>
                  </pic:blipFill>
                  <pic:spPr>
                    <a:xfrm>
                      <a:off x="0" y="0"/>
                      <a:ext cx="5278120" cy="3099435"/>
                    </a:xfrm>
                    <a:prstGeom prst="rect">
                      <a:avLst/>
                    </a:prstGeom>
                  </pic:spPr>
                </pic:pic>
              </a:graphicData>
            </a:graphic>
          </wp:inline>
        </w:drawing>
      </w:r>
    </w:p>
    <w:p w14:paraId="17B33537">
      <w:pPr>
        <w:pageBreakBefore w:val="0"/>
        <w:wordWrap/>
        <w:topLinePunct w:val="0"/>
        <w:bidi w:val="0"/>
        <w:spacing w:line="360" w:lineRule="auto"/>
        <w:ind w:firstLine="0" w:firstLineChars="0"/>
        <w:jc w:val="center"/>
        <w:rPr>
          <w:b/>
          <w:snapToGrid w:val="0"/>
          <w:color w:val="000000" w:themeColor="text1"/>
          <w:highlight w:val="none"/>
        </w:rPr>
      </w:pPr>
      <w:r>
        <w:rPr>
          <w:b/>
          <w:snapToGrid w:val="0"/>
          <w:color w:val="000000" w:themeColor="text1"/>
          <w:highlight w:val="none"/>
        </w:rPr>
        <w:t>图5.</w:t>
      </w:r>
      <w:r>
        <w:rPr>
          <w:rFonts w:hint="eastAsia"/>
          <w:b/>
          <w:snapToGrid w:val="0"/>
          <w:color w:val="000000" w:themeColor="text1"/>
          <w:highlight w:val="none"/>
        </w:rPr>
        <w:t>2</w:t>
      </w:r>
      <w:r>
        <w:rPr>
          <w:b/>
          <w:snapToGrid w:val="0"/>
          <w:color w:val="000000" w:themeColor="text1"/>
          <w:highlight w:val="none"/>
        </w:rPr>
        <w:t>-</w:t>
      </w:r>
      <w:r>
        <w:rPr>
          <w:rFonts w:hint="eastAsia"/>
          <w:b/>
          <w:snapToGrid w:val="0"/>
          <w:color w:val="000000" w:themeColor="text1"/>
          <w:highlight w:val="none"/>
          <w:lang w:val="en-US" w:eastAsia="zh-CN"/>
        </w:rPr>
        <w:t>10</w:t>
      </w:r>
      <w:r>
        <w:rPr>
          <w:b/>
          <w:snapToGrid w:val="0"/>
          <w:color w:val="000000" w:themeColor="text1"/>
          <w:highlight w:val="none"/>
        </w:rPr>
        <w:t xml:space="preserve">  203</w:t>
      </w:r>
      <w:r>
        <w:rPr>
          <w:rFonts w:hint="eastAsia"/>
          <w:b/>
          <w:snapToGrid w:val="0"/>
          <w:color w:val="000000" w:themeColor="text1"/>
          <w:highlight w:val="none"/>
          <w:lang w:val="en-US" w:eastAsia="zh-CN"/>
        </w:rPr>
        <w:t>3</w:t>
      </w:r>
      <w:r>
        <w:rPr>
          <w:b/>
          <w:snapToGrid w:val="0"/>
          <w:color w:val="000000" w:themeColor="text1"/>
          <w:highlight w:val="none"/>
        </w:rPr>
        <w:t>年中期夜间噪声等值线图</w:t>
      </w:r>
    </w:p>
    <w:p w14:paraId="14A07C20">
      <w:pPr>
        <w:pageBreakBefore w:val="0"/>
        <w:wordWrap/>
        <w:topLinePunct w:val="0"/>
        <w:bidi w:val="0"/>
        <w:spacing w:line="360" w:lineRule="auto"/>
        <w:ind w:left="0" w:leftChars="0" w:firstLine="0" w:firstLineChars="0"/>
        <w:jc w:val="center"/>
        <w:rPr>
          <w:rFonts w:hint="eastAsia" w:eastAsia="宋体"/>
          <w:color w:val="000000" w:themeColor="text1"/>
          <w:szCs w:val="32"/>
          <w:highlight w:val="none"/>
          <w:lang w:eastAsia="zh-CN"/>
        </w:rPr>
      </w:pPr>
      <w:r>
        <w:rPr>
          <w:rFonts w:hint="eastAsia" w:eastAsia="宋体"/>
          <w:color w:val="000000" w:themeColor="text1"/>
          <w:szCs w:val="32"/>
          <w:highlight w:val="none"/>
          <w:lang w:eastAsia="zh-CN"/>
        </w:rPr>
        <w:drawing>
          <wp:inline distT="0" distB="0" distL="114300" distR="114300">
            <wp:extent cx="5274310" cy="3112770"/>
            <wp:effectExtent l="0" t="0" r="2540" b="11430"/>
            <wp:docPr id="42" name="图片 42" descr="远期昼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远期昼间"/>
                    <pic:cNvPicPr>
                      <a:picLocks noChangeAspect="1"/>
                    </pic:cNvPicPr>
                  </pic:nvPicPr>
                  <pic:blipFill>
                    <a:blip r:embed="rId81"/>
                    <a:stretch>
                      <a:fillRect/>
                    </a:stretch>
                  </pic:blipFill>
                  <pic:spPr>
                    <a:xfrm>
                      <a:off x="0" y="0"/>
                      <a:ext cx="5274310" cy="3112770"/>
                    </a:xfrm>
                    <a:prstGeom prst="rect">
                      <a:avLst/>
                    </a:prstGeom>
                  </pic:spPr>
                </pic:pic>
              </a:graphicData>
            </a:graphic>
          </wp:inline>
        </w:drawing>
      </w:r>
    </w:p>
    <w:p w14:paraId="5A034498">
      <w:pPr>
        <w:pageBreakBefore w:val="0"/>
        <w:wordWrap/>
        <w:topLinePunct w:val="0"/>
        <w:bidi w:val="0"/>
        <w:spacing w:line="360" w:lineRule="auto"/>
        <w:ind w:firstLine="0" w:firstLineChars="0"/>
        <w:jc w:val="center"/>
        <w:rPr>
          <w:b/>
          <w:snapToGrid w:val="0"/>
          <w:color w:val="000000" w:themeColor="text1"/>
          <w:highlight w:val="none"/>
        </w:rPr>
      </w:pPr>
      <w:r>
        <w:rPr>
          <w:b/>
          <w:snapToGrid w:val="0"/>
          <w:color w:val="000000" w:themeColor="text1"/>
          <w:highlight w:val="none"/>
        </w:rPr>
        <w:t>图5.</w:t>
      </w:r>
      <w:r>
        <w:rPr>
          <w:rFonts w:hint="eastAsia"/>
          <w:b/>
          <w:snapToGrid w:val="0"/>
          <w:color w:val="000000" w:themeColor="text1"/>
          <w:highlight w:val="none"/>
        </w:rPr>
        <w:t>2</w:t>
      </w:r>
      <w:r>
        <w:rPr>
          <w:b/>
          <w:snapToGrid w:val="0"/>
          <w:color w:val="000000" w:themeColor="text1"/>
          <w:highlight w:val="none"/>
        </w:rPr>
        <w:t>-</w:t>
      </w:r>
      <w:r>
        <w:rPr>
          <w:rFonts w:hint="eastAsia"/>
          <w:b/>
          <w:snapToGrid w:val="0"/>
          <w:color w:val="000000" w:themeColor="text1"/>
          <w:highlight w:val="none"/>
          <w:lang w:val="en-US" w:eastAsia="zh-CN"/>
        </w:rPr>
        <w:t>11</w:t>
      </w:r>
      <w:r>
        <w:rPr>
          <w:b/>
          <w:snapToGrid w:val="0"/>
          <w:color w:val="000000" w:themeColor="text1"/>
          <w:highlight w:val="none"/>
        </w:rPr>
        <w:t xml:space="preserve">  20</w:t>
      </w:r>
      <w:r>
        <w:rPr>
          <w:rFonts w:hint="eastAsia"/>
          <w:b/>
          <w:snapToGrid w:val="0"/>
          <w:color w:val="000000" w:themeColor="text1"/>
          <w:highlight w:val="none"/>
          <w:lang w:val="en-US" w:eastAsia="zh-CN"/>
        </w:rPr>
        <w:t>41</w:t>
      </w:r>
      <w:r>
        <w:rPr>
          <w:b/>
          <w:snapToGrid w:val="0"/>
          <w:color w:val="000000" w:themeColor="text1"/>
          <w:highlight w:val="none"/>
        </w:rPr>
        <w:t>年远期昼间噪声等值线图</w:t>
      </w:r>
    </w:p>
    <w:p w14:paraId="68C6BA80">
      <w:pPr>
        <w:pStyle w:val="42"/>
        <w:pageBreakBefore w:val="0"/>
        <w:wordWrap/>
        <w:topLinePunct w:val="0"/>
        <w:bidi w:val="0"/>
        <w:spacing w:line="360" w:lineRule="auto"/>
        <w:rPr>
          <w:rFonts w:hint="eastAsia" w:ascii="Times New Roman" w:eastAsia="宋体"/>
          <w:color w:val="000000" w:themeColor="text1"/>
          <w:szCs w:val="32"/>
          <w:highlight w:val="none"/>
          <w:lang w:eastAsia="zh-CN"/>
        </w:rPr>
      </w:pPr>
      <w:r>
        <w:rPr>
          <w:rFonts w:hint="eastAsia" w:ascii="Times New Roman" w:eastAsia="宋体"/>
          <w:color w:val="000000" w:themeColor="text1"/>
          <w:szCs w:val="32"/>
          <w:highlight w:val="none"/>
          <w:lang w:eastAsia="zh-CN"/>
        </w:rPr>
        <w:drawing>
          <wp:inline distT="0" distB="0" distL="114300" distR="114300">
            <wp:extent cx="5277485" cy="2919730"/>
            <wp:effectExtent l="0" t="0" r="0" b="0"/>
            <wp:docPr id="47" name="图片 47" descr="远期夜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远期夜间"/>
                    <pic:cNvPicPr>
                      <a:picLocks noChangeAspect="1"/>
                    </pic:cNvPicPr>
                  </pic:nvPicPr>
                  <pic:blipFill>
                    <a:blip r:embed="rId82"/>
                    <a:srcRect b="3848"/>
                    <a:stretch>
                      <a:fillRect/>
                    </a:stretch>
                  </pic:blipFill>
                  <pic:spPr>
                    <a:xfrm>
                      <a:off x="0" y="0"/>
                      <a:ext cx="5277485" cy="2919730"/>
                    </a:xfrm>
                    <a:prstGeom prst="rect">
                      <a:avLst/>
                    </a:prstGeom>
                  </pic:spPr>
                </pic:pic>
              </a:graphicData>
            </a:graphic>
          </wp:inline>
        </w:drawing>
      </w:r>
    </w:p>
    <w:p w14:paraId="042CDE08">
      <w:pPr>
        <w:pageBreakBefore w:val="0"/>
        <w:wordWrap/>
        <w:topLinePunct w:val="0"/>
        <w:bidi w:val="0"/>
        <w:spacing w:line="360" w:lineRule="auto"/>
        <w:ind w:firstLine="0" w:firstLineChars="0"/>
        <w:jc w:val="center"/>
        <w:rPr>
          <w:b/>
          <w:snapToGrid w:val="0"/>
          <w:color w:val="000000" w:themeColor="text1"/>
          <w:highlight w:val="none"/>
        </w:rPr>
      </w:pPr>
      <w:r>
        <w:rPr>
          <w:b/>
          <w:snapToGrid w:val="0"/>
          <w:color w:val="000000" w:themeColor="text1"/>
          <w:highlight w:val="none"/>
        </w:rPr>
        <w:t>图5.</w:t>
      </w:r>
      <w:r>
        <w:rPr>
          <w:rFonts w:hint="eastAsia"/>
          <w:b/>
          <w:snapToGrid w:val="0"/>
          <w:color w:val="000000" w:themeColor="text1"/>
          <w:highlight w:val="none"/>
        </w:rPr>
        <w:t>2</w:t>
      </w:r>
      <w:r>
        <w:rPr>
          <w:b/>
          <w:snapToGrid w:val="0"/>
          <w:color w:val="000000" w:themeColor="text1"/>
          <w:highlight w:val="none"/>
        </w:rPr>
        <w:t>-</w:t>
      </w:r>
      <w:r>
        <w:rPr>
          <w:rFonts w:hint="eastAsia"/>
          <w:b/>
          <w:snapToGrid w:val="0"/>
          <w:color w:val="000000" w:themeColor="text1"/>
          <w:highlight w:val="none"/>
          <w:lang w:val="en-US" w:eastAsia="zh-CN"/>
        </w:rPr>
        <w:t>12</w:t>
      </w:r>
      <w:r>
        <w:rPr>
          <w:b/>
          <w:snapToGrid w:val="0"/>
          <w:color w:val="000000" w:themeColor="text1"/>
          <w:highlight w:val="none"/>
        </w:rPr>
        <w:t xml:space="preserve">  20</w:t>
      </w:r>
      <w:r>
        <w:rPr>
          <w:rFonts w:hint="eastAsia"/>
          <w:b/>
          <w:snapToGrid w:val="0"/>
          <w:color w:val="000000" w:themeColor="text1"/>
          <w:highlight w:val="none"/>
          <w:lang w:val="en-US" w:eastAsia="zh-CN"/>
        </w:rPr>
        <w:t>41</w:t>
      </w:r>
      <w:r>
        <w:rPr>
          <w:b/>
          <w:snapToGrid w:val="0"/>
          <w:color w:val="000000" w:themeColor="text1"/>
          <w:highlight w:val="none"/>
        </w:rPr>
        <w:t>年远期夜间噪声等值线图</w:t>
      </w:r>
    </w:p>
    <w:p w14:paraId="69CAEE2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5.2.2.</w:t>
      </w:r>
      <w:r>
        <w:rPr>
          <w:rFonts w:hint="eastAsia"/>
          <w:color w:val="000000" w:themeColor="text1"/>
          <w:highlight w:val="none"/>
          <w:lang w:val="en-US" w:eastAsia="zh-CN"/>
        </w:rPr>
        <w:t>2</w:t>
      </w:r>
      <w:r>
        <w:rPr>
          <w:color w:val="000000" w:themeColor="text1"/>
          <w:highlight w:val="none"/>
        </w:rPr>
        <w:t>结论</w:t>
      </w:r>
    </w:p>
    <w:p w14:paraId="024F70C3">
      <w:pPr>
        <w:pageBreakBefore w:val="0"/>
        <w:wordWrap/>
        <w:topLinePunct w:val="0"/>
        <w:bidi w:val="0"/>
        <w:spacing w:line="360" w:lineRule="auto"/>
        <w:rPr>
          <w:rFonts w:hint="default" w:ascii="Times New Roman" w:hAnsi="Times New Roman" w:cs="宋体"/>
          <w:color w:val="000000" w:themeColor="text1"/>
          <w:highlight w:val="none"/>
          <w:lang w:val="en-US" w:eastAsia="zh-CN"/>
        </w:rPr>
      </w:pPr>
      <w:r>
        <w:rPr>
          <w:rFonts w:hint="default" w:ascii="Times New Roman" w:hAnsi="Times New Roman" w:cs="宋体"/>
          <w:color w:val="000000" w:themeColor="text1"/>
          <w:highlight w:val="none"/>
          <w:lang w:val="en-US" w:eastAsia="zh-CN"/>
        </w:rPr>
        <w:t>运营近期（202</w:t>
      </w:r>
      <w:r>
        <w:rPr>
          <w:rFonts w:hint="eastAsia" w:ascii="Times New Roman" w:hAnsi="Times New Roman" w:cs="宋体"/>
          <w:color w:val="000000" w:themeColor="text1"/>
          <w:highlight w:val="none"/>
          <w:lang w:val="en-US" w:eastAsia="zh-CN"/>
        </w:rPr>
        <w:t>7</w:t>
      </w:r>
      <w:r>
        <w:rPr>
          <w:rFonts w:hint="default" w:ascii="Times New Roman" w:hAnsi="Times New Roman" w:cs="宋体"/>
          <w:color w:val="000000" w:themeColor="text1"/>
          <w:highlight w:val="none"/>
          <w:lang w:val="en-US" w:eastAsia="zh-CN"/>
        </w:rPr>
        <w:t>年），</w:t>
      </w:r>
      <w:r>
        <w:rPr>
          <w:rFonts w:hint="eastAsia" w:ascii="Times New Roman" w:hAnsi="Times New Roman" w:cs="宋体"/>
          <w:color w:val="000000" w:themeColor="text1"/>
          <w:highlight w:val="none"/>
          <w:lang w:val="en-US" w:eastAsia="zh-CN"/>
        </w:rPr>
        <w:t>2</w:t>
      </w:r>
      <w:r>
        <w:rPr>
          <w:rFonts w:hint="default" w:ascii="Times New Roman" w:hAnsi="Times New Roman" w:cs="宋体"/>
          <w:color w:val="000000" w:themeColor="text1"/>
          <w:highlight w:val="none"/>
          <w:lang w:val="en-US" w:eastAsia="zh-CN"/>
        </w:rPr>
        <w:t>类区昼间、夜间在</w:t>
      </w:r>
      <w:r>
        <w:rPr>
          <w:rFonts w:hint="eastAsia" w:ascii="Times New Roman" w:hAnsi="Times New Roman" w:cs="宋体"/>
          <w:color w:val="000000" w:themeColor="text1"/>
          <w:highlight w:val="none"/>
          <w:lang w:val="en-US" w:eastAsia="zh-CN"/>
        </w:rPr>
        <w:t>功能区</w:t>
      </w:r>
      <w:r>
        <w:rPr>
          <w:rFonts w:hint="default" w:ascii="Times New Roman" w:hAnsi="Times New Roman" w:cs="宋体"/>
          <w:color w:val="000000" w:themeColor="text1"/>
          <w:highlight w:val="none"/>
          <w:lang w:val="en-US" w:eastAsia="zh-CN"/>
        </w:rPr>
        <w:t>内达标</w:t>
      </w:r>
      <w:r>
        <w:rPr>
          <w:rFonts w:hint="eastAsia" w:ascii="Times New Roman" w:hAnsi="Times New Roman" w:cs="宋体"/>
          <w:color w:val="000000" w:themeColor="text1"/>
          <w:highlight w:val="none"/>
          <w:lang w:val="en-US" w:eastAsia="zh-CN"/>
        </w:rPr>
        <w:t>；4a类区昼间</w:t>
      </w:r>
      <w:r>
        <w:rPr>
          <w:rFonts w:hint="eastAsia" w:cs="宋体"/>
          <w:color w:val="000000" w:themeColor="text1"/>
          <w:highlight w:val="none"/>
          <w:lang w:val="en-US" w:eastAsia="zh-CN"/>
        </w:rPr>
        <w:t>、夜间</w:t>
      </w:r>
      <w:r>
        <w:rPr>
          <w:rFonts w:hint="eastAsia" w:ascii="Times New Roman" w:hAnsi="Times New Roman" w:cs="宋体"/>
          <w:color w:val="000000" w:themeColor="text1"/>
          <w:highlight w:val="none"/>
          <w:lang w:val="en-US" w:eastAsia="zh-CN"/>
        </w:rPr>
        <w:t>在功能区达标</w:t>
      </w:r>
      <w:r>
        <w:rPr>
          <w:rFonts w:hint="default" w:ascii="Times New Roman" w:hAnsi="Times New Roman" w:cs="宋体"/>
          <w:color w:val="000000" w:themeColor="text1"/>
          <w:highlight w:val="none"/>
          <w:lang w:val="en-US" w:eastAsia="zh-CN"/>
        </w:rPr>
        <w:t>。</w:t>
      </w:r>
    </w:p>
    <w:p w14:paraId="37CB939A">
      <w:pPr>
        <w:pageBreakBefore w:val="0"/>
        <w:wordWrap/>
        <w:topLinePunct w:val="0"/>
        <w:bidi w:val="0"/>
        <w:spacing w:line="360" w:lineRule="auto"/>
        <w:rPr>
          <w:rFonts w:hint="default" w:ascii="Times New Roman" w:hAnsi="Times New Roman" w:cs="宋体"/>
          <w:color w:val="000000" w:themeColor="text1"/>
          <w:highlight w:val="none"/>
          <w:lang w:val="en-US" w:eastAsia="zh-CN"/>
        </w:rPr>
      </w:pPr>
      <w:r>
        <w:rPr>
          <w:rFonts w:hint="default" w:ascii="Times New Roman" w:hAnsi="Times New Roman" w:cs="宋体"/>
          <w:color w:val="000000" w:themeColor="text1"/>
          <w:highlight w:val="none"/>
          <w:lang w:val="en-US" w:eastAsia="zh-CN"/>
        </w:rPr>
        <w:t>运营中期（</w:t>
      </w:r>
      <w:r>
        <w:rPr>
          <w:rFonts w:hint="eastAsia" w:ascii="Times New Roman" w:hAnsi="Times New Roman" w:cs="宋体"/>
          <w:color w:val="000000" w:themeColor="text1"/>
          <w:highlight w:val="none"/>
          <w:lang w:val="en-US" w:eastAsia="zh-CN"/>
        </w:rPr>
        <w:t>2033</w:t>
      </w:r>
      <w:r>
        <w:rPr>
          <w:rFonts w:hint="default" w:ascii="Times New Roman" w:hAnsi="Times New Roman" w:cs="宋体"/>
          <w:color w:val="000000" w:themeColor="text1"/>
          <w:highlight w:val="none"/>
          <w:lang w:val="en-US" w:eastAsia="zh-CN"/>
        </w:rPr>
        <w:t>年），</w:t>
      </w:r>
      <w:r>
        <w:rPr>
          <w:rFonts w:hint="eastAsia" w:ascii="Times New Roman" w:hAnsi="Times New Roman" w:cs="宋体"/>
          <w:color w:val="000000" w:themeColor="text1"/>
          <w:highlight w:val="none"/>
          <w:lang w:val="en-US" w:eastAsia="zh-CN"/>
        </w:rPr>
        <w:t>2</w:t>
      </w:r>
      <w:r>
        <w:rPr>
          <w:rFonts w:hint="default" w:ascii="Times New Roman" w:hAnsi="Times New Roman" w:cs="宋体"/>
          <w:color w:val="000000" w:themeColor="text1"/>
          <w:highlight w:val="none"/>
          <w:lang w:val="en-US" w:eastAsia="zh-CN"/>
        </w:rPr>
        <w:t>类区昼间、夜间在</w:t>
      </w:r>
      <w:r>
        <w:rPr>
          <w:rFonts w:hint="eastAsia" w:ascii="Times New Roman" w:hAnsi="Times New Roman" w:cs="宋体"/>
          <w:color w:val="000000" w:themeColor="text1"/>
          <w:highlight w:val="none"/>
          <w:lang w:val="en-US" w:eastAsia="zh-CN"/>
        </w:rPr>
        <w:t>功能区</w:t>
      </w:r>
      <w:r>
        <w:rPr>
          <w:rFonts w:hint="default" w:ascii="Times New Roman" w:hAnsi="Times New Roman" w:cs="宋体"/>
          <w:color w:val="000000" w:themeColor="text1"/>
          <w:highlight w:val="none"/>
          <w:lang w:val="en-US" w:eastAsia="zh-CN"/>
        </w:rPr>
        <w:t>内达标</w:t>
      </w:r>
      <w:r>
        <w:rPr>
          <w:rFonts w:hint="eastAsia" w:ascii="Times New Roman" w:hAnsi="Times New Roman" w:cs="宋体"/>
          <w:color w:val="000000" w:themeColor="text1"/>
          <w:highlight w:val="none"/>
          <w:lang w:val="en-US" w:eastAsia="zh-CN"/>
        </w:rPr>
        <w:t>；4a类区昼间</w:t>
      </w:r>
      <w:r>
        <w:rPr>
          <w:rFonts w:hint="eastAsia" w:cs="宋体"/>
          <w:color w:val="000000" w:themeColor="text1"/>
          <w:highlight w:val="none"/>
          <w:lang w:val="en-US" w:eastAsia="zh-CN"/>
        </w:rPr>
        <w:t>、夜间</w:t>
      </w:r>
      <w:r>
        <w:rPr>
          <w:rFonts w:hint="eastAsia" w:ascii="Times New Roman" w:hAnsi="Times New Roman" w:cs="宋体"/>
          <w:color w:val="000000" w:themeColor="text1"/>
          <w:highlight w:val="none"/>
          <w:lang w:val="en-US" w:eastAsia="zh-CN"/>
        </w:rPr>
        <w:t>在功能区达标</w:t>
      </w:r>
      <w:r>
        <w:rPr>
          <w:rFonts w:hint="default" w:ascii="Times New Roman" w:hAnsi="Times New Roman" w:cs="宋体"/>
          <w:color w:val="000000" w:themeColor="text1"/>
          <w:highlight w:val="none"/>
          <w:lang w:val="en-US" w:eastAsia="zh-CN"/>
        </w:rPr>
        <w:t>。</w:t>
      </w:r>
    </w:p>
    <w:p w14:paraId="1C5C3BD6">
      <w:pPr>
        <w:pageBreakBefore w:val="0"/>
        <w:wordWrap/>
        <w:topLinePunct w:val="0"/>
        <w:bidi w:val="0"/>
        <w:spacing w:line="360" w:lineRule="auto"/>
        <w:rPr>
          <w:rFonts w:hint="default" w:ascii="Times New Roman" w:hAnsi="Times New Roman" w:cs="宋体"/>
          <w:color w:val="000000" w:themeColor="text1"/>
          <w:highlight w:val="none"/>
          <w:lang w:val="en-US" w:eastAsia="zh-CN"/>
        </w:rPr>
      </w:pPr>
      <w:r>
        <w:rPr>
          <w:rFonts w:hint="default" w:ascii="Times New Roman" w:hAnsi="Times New Roman" w:cs="宋体"/>
          <w:color w:val="000000" w:themeColor="text1"/>
          <w:highlight w:val="none"/>
          <w:lang w:val="en-US" w:eastAsia="zh-CN"/>
        </w:rPr>
        <w:t>运营远期（20</w:t>
      </w:r>
      <w:r>
        <w:rPr>
          <w:rFonts w:hint="eastAsia" w:ascii="Times New Roman" w:hAnsi="Times New Roman" w:cs="宋体"/>
          <w:color w:val="000000" w:themeColor="text1"/>
          <w:highlight w:val="none"/>
          <w:lang w:val="en-US" w:eastAsia="zh-CN"/>
        </w:rPr>
        <w:t>41</w:t>
      </w:r>
      <w:r>
        <w:rPr>
          <w:rFonts w:hint="default" w:ascii="Times New Roman" w:hAnsi="Times New Roman" w:cs="宋体"/>
          <w:color w:val="000000" w:themeColor="text1"/>
          <w:highlight w:val="none"/>
          <w:lang w:val="en-US" w:eastAsia="zh-CN"/>
        </w:rPr>
        <w:t>年），</w:t>
      </w:r>
      <w:r>
        <w:rPr>
          <w:rFonts w:hint="eastAsia" w:ascii="Times New Roman" w:hAnsi="Times New Roman" w:cs="宋体"/>
          <w:color w:val="000000" w:themeColor="text1"/>
          <w:highlight w:val="none"/>
          <w:lang w:val="en-US" w:eastAsia="zh-CN"/>
        </w:rPr>
        <w:t>2</w:t>
      </w:r>
      <w:r>
        <w:rPr>
          <w:rFonts w:hint="default" w:ascii="Times New Roman" w:hAnsi="Times New Roman" w:cs="宋体"/>
          <w:color w:val="000000" w:themeColor="text1"/>
          <w:highlight w:val="none"/>
          <w:lang w:val="en-US" w:eastAsia="zh-CN"/>
        </w:rPr>
        <w:t>类区昼间、夜间在</w:t>
      </w:r>
      <w:r>
        <w:rPr>
          <w:rFonts w:hint="eastAsia" w:ascii="Times New Roman" w:hAnsi="Times New Roman" w:cs="宋体"/>
          <w:color w:val="000000" w:themeColor="text1"/>
          <w:highlight w:val="none"/>
          <w:lang w:val="en-US" w:eastAsia="zh-CN"/>
        </w:rPr>
        <w:t>功能区</w:t>
      </w:r>
      <w:r>
        <w:rPr>
          <w:rFonts w:hint="default" w:ascii="Times New Roman" w:hAnsi="Times New Roman" w:cs="宋体"/>
          <w:color w:val="000000" w:themeColor="text1"/>
          <w:highlight w:val="none"/>
          <w:lang w:val="en-US" w:eastAsia="zh-CN"/>
        </w:rPr>
        <w:t>内达标</w:t>
      </w:r>
      <w:r>
        <w:rPr>
          <w:rFonts w:hint="eastAsia" w:ascii="Times New Roman" w:hAnsi="Times New Roman" w:cs="宋体"/>
          <w:color w:val="000000" w:themeColor="text1"/>
          <w:highlight w:val="none"/>
          <w:lang w:val="en-US" w:eastAsia="zh-CN"/>
        </w:rPr>
        <w:t>；4a类区昼间在功能区达标</w:t>
      </w:r>
      <w:r>
        <w:rPr>
          <w:rFonts w:hint="eastAsia" w:cs="宋体"/>
          <w:color w:val="000000" w:themeColor="text1"/>
          <w:highlight w:val="none"/>
          <w:lang w:val="en-US" w:eastAsia="zh-CN"/>
        </w:rPr>
        <w:t>，</w:t>
      </w:r>
      <w:r>
        <w:rPr>
          <w:rFonts w:hint="default" w:ascii="Times New Roman" w:hAnsi="Times New Roman" w:cs="宋体"/>
          <w:color w:val="000000" w:themeColor="text1"/>
          <w:highlight w:val="none"/>
          <w:lang w:val="en-US" w:eastAsia="zh-CN"/>
        </w:rPr>
        <w:t>夜间在</w:t>
      </w:r>
      <w:r>
        <w:rPr>
          <w:rFonts w:hint="eastAsia" w:cs="宋体"/>
          <w:color w:val="000000" w:themeColor="text1"/>
          <w:highlight w:val="none"/>
          <w:lang w:val="en-US" w:eastAsia="zh-CN"/>
        </w:rPr>
        <w:t>距离</w:t>
      </w:r>
      <w:r>
        <w:rPr>
          <w:rFonts w:hint="default" w:ascii="Times New Roman" w:hAnsi="Times New Roman" w:cs="宋体"/>
          <w:color w:val="000000" w:themeColor="text1"/>
          <w:highlight w:val="none"/>
          <w:lang w:val="en-US" w:eastAsia="zh-CN"/>
        </w:rPr>
        <w:t>道路边界线</w:t>
      </w:r>
      <w:r>
        <w:rPr>
          <w:rFonts w:hint="eastAsia" w:cs="宋体"/>
          <w:color w:val="000000" w:themeColor="text1"/>
          <w:highlight w:val="none"/>
          <w:lang w:val="en-US" w:eastAsia="zh-CN"/>
        </w:rPr>
        <w:t>30</w:t>
      </w:r>
      <w:r>
        <w:rPr>
          <w:rFonts w:hint="default" w:ascii="Times New Roman" w:hAnsi="Times New Roman" w:cs="宋体"/>
          <w:color w:val="000000" w:themeColor="text1"/>
          <w:highlight w:val="none"/>
          <w:lang w:val="en-US" w:eastAsia="zh-CN"/>
        </w:rPr>
        <w:t>m处达标。</w:t>
      </w:r>
    </w:p>
    <w:p w14:paraId="038796F0">
      <w:pPr>
        <w:pageBreakBefore w:val="0"/>
        <w:wordWrap/>
        <w:topLinePunct w:val="0"/>
        <w:bidi w:val="0"/>
        <w:spacing w:line="360" w:lineRule="auto"/>
        <w:rPr>
          <w:rFonts w:hint="eastAsia" w:ascii="Times New Roman" w:hAnsi="Times New Roman" w:cs="宋体"/>
          <w:color w:val="000000" w:themeColor="text1"/>
          <w:highlight w:val="none"/>
          <w:lang w:val="en-US" w:eastAsia="zh-CN"/>
        </w:rPr>
      </w:pPr>
      <w:r>
        <w:rPr>
          <w:rFonts w:hint="eastAsia" w:ascii="Times New Roman" w:hAnsi="Times New Roman" w:cs="宋体"/>
          <w:color w:val="000000" w:themeColor="text1"/>
          <w:highlight w:val="none"/>
          <w:lang w:val="en-US" w:eastAsia="zh-CN"/>
        </w:rPr>
        <w:t>由上表结果，可知本工程沿线功能区达标情况如下：</w:t>
      </w:r>
    </w:p>
    <w:p w14:paraId="18EA0B2E">
      <w:pPr>
        <w:pageBreakBefore w:val="0"/>
        <w:wordWrap/>
        <w:topLinePunct w:val="0"/>
        <w:bidi w:val="0"/>
        <w:spacing w:line="360" w:lineRule="auto"/>
        <w:rPr>
          <w:color w:val="000000" w:themeColor="text1"/>
          <w:highlight w:val="none"/>
        </w:rPr>
      </w:pPr>
      <w:r>
        <w:rPr>
          <w:rFonts w:hint="eastAsia" w:ascii="Times New Roman" w:hAnsi="Times New Roman" w:cs="宋体"/>
          <w:color w:val="000000" w:themeColor="text1"/>
          <w:highlight w:val="none"/>
          <w:lang w:val="en-US" w:eastAsia="zh-CN"/>
        </w:rPr>
        <w:t>在仅考虑距离衰减情况下，</w:t>
      </w:r>
      <w:r>
        <w:rPr>
          <w:rFonts w:hint="default"/>
          <w:color w:val="000000" w:themeColor="text1"/>
          <w:highlight w:val="none"/>
          <w:lang w:val="en-US" w:eastAsia="zh-CN"/>
        </w:rPr>
        <w:t>4a</w:t>
      </w:r>
      <w:r>
        <w:rPr>
          <w:rFonts w:hint="eastAsia"/>
          <w:color w:val="000000" w:themeColor="text1"/>
          <w:highlight w:val="none"/>
          <w:lang w:val="en-US" w:eastAsia="zh-CN"/>
        </w:rPr>
        <w:t>类声环境功能区近期昼间、夜间功能区均达标；中期昼间、夜间功能区均达标；远期昼间功能区达标、远期夜间超标，夜间达标距离道路边界线30m；2类声环境功能区近期昼间、夜间在功能区内均达标；中期昼间、夜间在功能区内均达标；远期昼间、夜间在功能区内均达标。</w:t>
      </w:r>
    </w:p>
    <w:p w14:paraId="4CC83196">
      <w:pPr>
        <w:pageBreakBefore w:val="0"/>
        <w:wordWrap/>
        <w:topLinePunct w:val="0"/>
        <w:bidi w:val="0"/>
        <w:spacing w:line="360" w:lineRule="auto"/>
        <w:rPr>
          <w:rFonts w:hint="eastAsia" w:ascii="Times New Roman" w:hAnsi="Times New Roman" w:cs="宋体"/>
          <w:color w:val="000000" w:themeColor="text1"/>
          <w:highlight w:val="none"/>
        </w:rPr>
      </w:pPr>
      <w:r>
        <w:rPr>
          <w:rFonts w:hint="eastAsia" w:ascii="Times New Roman" w:hAnsi="Times New Roman" w:cs="宋体"/>
          <w:color w:val="000000" w:themeColor="text1"/>
          <w:highlight w:val="none"/>
          <w:lang w:val="en-US" w:eastAsia="zh-CN"/>
        </w:rPr>
        <w:t>综上，本工程的建设对周围声环境影响可接受，但仍须进一步采取有效的交通噪声减缓措施来控制运营期的交通噪声影响，道路运营单位需预留环保资金，利用预留资金安装隔声窗以减轻道路噪声对附近村庄的影响。</w:t>
      </w:r>
    </w:p>
    <w:p w14:paraId="1F623973">
      <w:pPr>
        <w:pStyle w:val="3"/>
        <w:pageBreakBefore w:val="0"/>
        <w:wordWrap/>
        <w:topLinePunct w:val="0"/>
        <w:bidi w:val="0"/>
        <w:spacing w:line="360" w:lineRule="auto"/>
        <w:rPr>
          <w:color w:val="000000" w:themeColor="text1"/>
          <w:highlight w:val="none"/>
        </w:rPr>
      </w:pPr>
      <w:bookmarkStart w:id="372" w:name="_Toc15320"/>
      <w:bookmarkStart w:id="373" w:name="_Toc16849"/>
      <w:bookmarkStart w:id="374" w:name="_Toc5759"/>
      <w:bookmarkStart w:id="375" w:name="_Toc3633"/>
      <w:bookmarkStart w:id="376" w:name="_Toc6788"/>
      <w:r>
        <w:rPr>
          <w:rFonts w:hint="eastAsia"/>
          <w:color w:val="000000" w:themeColor="text1"/>
          <w:highlight w:val="none"/>
        </w:rPr>
        <w:t>5.3</w:t>
      </w:r>
      <w:r>
        <w:rPr>
          <w:color w:val="000000" w:themeColor="text1"/>
          <w:highlight w:val="none"/>
        </w:rPr>
        <w:t>环境空气</w:t>
      </w:r>
      <w:bookmarkEnd w:id="372"/>
      <w:bookmarkEnd w:id="373"/>
      <w:bookmarkEnd w:id="374"/>
      <w:bookmarkEnd w:id="375"/>
      <w:bookmarkEnd w:id="376"/>
    </w:p>
    <w:p w14:paraId="6B4722BD">
      <w:pPr>
        <w:pStyle w:val="4"/>
        <w:pageBreakBefore w:val="0"/>
        <w:wordWrap/>
        <w:topLinePunct w:val="0"/>
        <w:bidi w:val="0"/>
        <w:spacing w:before="120" w:line="360" w:lineRule="auto"/>
        <w:rPr>
          <w:color w:val="000000" w:themeColor="text1"/>
          <w:highlight w:val="none"/>
        </w:rPr>
      </w:pPr>
      <w:bookmarkStart w:id="377" w:name="_Toc6438"/>
      <w:bookmarkStart w:id="378" w:name="_Toc13566"/>
      <w:r>
        <w:rPr>
          <w:rFonts w:hint="eastAsia"/>
          <w:color w:val="000000" w:themeColor="text1"/>
          <w:highlight w:val="none"/>
        </w:rPr>
        <w:t>5.3.1</w:t>
      </w:r>
      <w:r>
        <w:rPr>
          <w:color w:val="000000" w:themeColor="text1"/>
          <w:highlight w:val="none"/>
        </w:rPr>
        <w:t>施工期</w:t>
      </w:r>
      <w:bookmarkEnd w:id="377"/>
      <w:bookmarkEnd w:id="378"/>
    </w:p>
    <w:p w14:paraId="7BF29B1D">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5.3.1.1</w:t>
      </w:r>
      <w:r>
        <w:rPr>
          <w:color w:val="000000" w:themeColor="text1"/>
          <w:highlight w:val="none"/>
        </w:rPr>
        <w:t>TSP的影响</w:t>
      </w:r>
    </w:p>
    <w:p w14:paraId="161B746D">
      <w:pPr>
        <w:pageBreakBefore w:val="0"/>
        <w:wordWrap/>
        <w:topLinePunct w:val="0"/>
        <w:bidi w:val="0"/>
        <w:spacing w:line="360" w:lineRule="auto"/>
        <w:rPr>
          <w:rFonts w:hint="eastAsia" w:cs="宋体"/>
          <w:color w:val="000000" w:themeColor="text1"/>
          <w:highlight w:val="none"/>
        </w:rPr>
      </w:pPr>
      <w:r>
        <w:rPr>
          <w:rFonts w:hint="eastAsia" w:cs="宋体"/>
          <w:color w:val="000000" w:themeColor="text1"/>
          <w:highlight w:val="none"/>
        </w:rPr>
        <w:t>道路工程建设过程中，将进行土方填挖、筑路材料的运输等作业工作。因此，施工期的空气污染主要是扬尘污染。筑路材料的运输、装卸过程中有粉尘散落;建筑材料堆放时，风吹会引起扬尘污染，尤其是在风速较大或装卸、汽车速度较快的情况下，粉尘的污染更为严重。</w:t>
      </w:r>
    </w:p>
    <w:p w14:paraId="38F23D77">
      <w:pPr>
        <w:pageBreakBefore w:val="0"/>
        <w:wordWrap/>
        <w:topLinePunct w:val="0"/>
        <w:bidi w:val="0"/>
        <w:spacing w:line="360" w:lineRule="auto"/>
        <w:rPr>
          <w:rFonts w:hint="eastAsia" w:cs="宋体"/>
          <w:color w:val="000000" w:themeColor="text1"/>
          <w:highlight w:val="none"/>
        </w:rPr>
      </w:pPr>
      <w:r>
        <w:rPr>
          <w:rFonts w:hint="eastAsia" w:cs="宋体"/>
          <w:color w:val="000000" w:themeColor="text1"/>
          <w:highlight w:val="none"/>
        </w:rPr>
        <w:t>此外，路面施工采用沥青混凝土结构，在沥青拌合和摊铺过程中会有少量的沥青烟挥发产生</w:t>
      </w:r>
      <w:r>
        <w:rPr>
          <w:rFonts w:hint="eastAsia" w:cs="宋体"/>
          <w:color w:val="000000" w:themeColor="text1"/>
          <w:highlight w:val="none"/>
          <w:lang w:eastAsia="zh-CN"/>
        </w:rPr>
        <w:t>；</w:t>
      </w:r>
      <w:r>
        <w:rPr>
          <w:rFonts w:hint="eastAsia" w:cs="宋体"/>
          <w:color w:val="000000" w:themeColor="text1"/>
          <w:highlight w:val="none"/>
        </w:rPr>
        <w:t>非道路移动施工机械和运输车辆排放废气也会对周围环境空气产生影响。</w:t>
      </w:r>
    </w:p>
    <w:p w14:paraId="67293C3A">
      <w:pPr>
        <w:pageBreakBefore w:val="0"/>
        <w:wordWrap/>
        <w:topLinePunct w:val="0"/>
        <w:bidi w:val="0"/>
        <w:spacing w:line="360" w:lineRule="auto"/>
        <w:rPr>
          <w:rFonts w:hint="eastAsia" w:cs="宋体"/>
          <w:color w:val="000000" w:themeColor="text1"/>
          <w:highlight w:val="none"/>
          <w:lang w:eastAsia="zh-CN"/>
        </w:rPr>
      </w:pPr>
      <w:r>
        <w:rPr>
          <w:rFonts w:hint="eastAsia" w:cs="宋体"/>
          <w:color w:val="000000" w:themeColor="text1"/>
          <w:highlight w:val="none"/>
          <w:lang w:eastAsia="zh-CN"/>
        </w:rPr>
        <w:t>（</w:t>
      </w:r>
      <w:r>
        <w:rPr>
          <w:rFonts w:hint="eastAsia" w:cs="宋体"/>
          <w:color w:val="000000" w:themeColor="text1"/>
          <w:highlight w:val="none"/>
          <w:lang w:val="en-US" w:eastAsia="zh-CN"/>
        </w:rPr>
        <w:t>1</w:t>
      </w:r>
      <w:r>
        <w:rPr>
          <w:rFonts w:hint="eastAsia" w:cs="宋体"/>
          <w:color w:val="000000" w:themeColor="text1"/>
          <w:highlight w:val="none"/>
          <w:lang w:eastAsia="zh-CN"/>
        </w:rPr>
        <w:t>）扬尘</w:t>
      </w:r>
    </w:p>
    <w:p w14:paraId="46A353AA">
      <w:pPr>
        <w:pageBreakBefore w:val="0"/>
        <w:wordWrap/>
        <w:topLinePunct w:val="0"/>
        <w:bidi w:val="0"/>
        <w:spacing w:line="360" w:lineRule="auto"/>
        <w:rPr>
          <w:rFonts w:hint="eastAsia" w:eastAsia="宋体" w:cs="宋体"/>
          <w:color w:val="000000" w:themeColor="text1"/>
          <w:highlight w:val="none"/>
          <w:lang w:eastAsia="zh-CN"/>
        </w:rPr>
      </w:pPr>
      <w:r>
        <w:rPr>
          <w:rFonts w:hint="eastAsia" w:cs="宋体"/>
          <w:color w:val="000000" w:themeColor="text1"/>
          <w:highlight w:val="none"/>
          <w:lang w:eastAsia="zh-CN"/>
        </w:rPr>
        <w:t>施工扬尘主要来自以下几个方面：①路基开挖、土地平整及路基填筑等施工过程如遇大风天气，会造成粉尘、扬尘等大气污染；②水泥、砂石、混凝土等建筑材料，如运输、装卸、储存方式不当，可能造成泄漏，产生扬尘污染；③物料运输车辆在施工场地运行过程中将产生大量尘土。</w:t>
      </w:r>
    </w:p>
    <w:p w14:paraId="7EEC8D66">
      <w:pPr>
        <w:pageBreakBefore w:val="0"/>
        <w:wordWrap/>
        <w:topLinePunct w:val="0"/>
        <w:bidi w:val="0"/>
        <w:spacing w:line="360" w:lineRule="auto"/>
        <w:rPr>
          <w:color w:val="000000" w:themeColor="text1"/>
          <w:highlight w:val="none"/>
        </w:rPr>
      </w:pPr>
      <w:r>
        <w:rPr>
          <w:rFonts w:hint="eastAsia" w:cs="宋体"/>
          <w:color w:val="000000" w:themeColor="text1"/>
          <w:highlight w:val="none"/>
        </w:rPr>
        <w:t>①</w:t>
      </w:r>
      <w:r>
        <w:rPr>
          <w:color w:val="000000" w:themeColor="text1"/>
          <w:highlight w:val="none"/>
        </w:rPr>
        <w:t>散体材料存储及运输扬尘</w:t>
      </w:r>
    </w:p>
    <w:p w14:paraId="7562EEED">
      <w:pPr>
        <w:pageBreakBefore w:val="0"/>
        <w:wordWrap/>
        <w:topLinePunct w:val="0"/>
        <w:bidi w:val="0"/>
        <w:spacing w:line="360" w:lineRule="auto"/>
        <w:rPr>
          <w:color w:val="000000" w:themeColor="text1"/>
          <w:highlight w:val="none"/>
        </w:rPr>
      </w:pPr>
      <w:r>
        <w:rPr>
          <w:rFonts w:hint="eastAsia"/>
          <w:color w:val="000000" w:themeColor="text1"/>
          <w:highlight w:val="none"/>
        </w:rPr>
        <w:t>根据类比分析，施工期如管理不善，TSP污染将较为严重。道路施工场地渣土堆存过程中，下风向100m处，TSP浓度为0.32mg/m</w:t>
      </w:r>
      <w:r>
        <w:rPr>
          <w:rFonts w:hint="eastAsia"/>
          <w:color w:val="000000" w:themeColor="text1"/>
          <w:highlight w:val="none"/>
          <w:vertAlign w:val="superscript"/>
        </w:rPr>
        <w:t>3</w:t>
      </w:r>
      <w:r>
        <w:rPr>
          <w:rFonts w:hint="eastAsia"/>
          <w:color w:val="000000" w:themeColor="text1"/>
          <w:highlight w:val="none"/>
          <w:lang w:eastAsia="zh-CN"/>
        </w:rPr>
        <w:t>；</w:t>
      </w:r>
      <w:r>
        <w:rPr>
          <w:rFonts w:hint="eastAsia"/>
          <w:color w:val="000000" w:themeColor="text1"/>
          <w:highlight w:val="none"/>
        </w:rPr>
        <w:t>路基开挖及基层施工过程中，下风向100m处，TSP浓度高达9.696mg/m</w:t>
      </w:r>
      <w:r>
        <w:rPr>
          <w:rFonts w:hint="eastAsia"/>
          <w:color w:val="000000" w:themeColor="text1"/>
          <w:highlight w:val="none"/>
          <w:vertAlign w:val="superscript"/>
        </w:rPr>
        <w:t>3</w:t>
      </w:r>
      <w:r>
        <w:rPr>
          <w:rFonts w:hint="eastAsia"/>
          <w:color w:val="000000" w:themeColor="text1"/>
          <w:highlight w:val="none"/>
          <w:lang w:eastAsia="zh-CN"/>
        </w:rPr>
        <w:t>；</w:t>
      </w:r>
      <w:r>
        <w:rPr>
          <w:rFonts w:hint="eastAsia"/>
          <w:color w:val="000000" w:themeColor="text1"/>
          <w:highlight w:val="none"/>
        </w:rPr>
        <w:t>车辆运输过程中，距现场150m处环境空气中TSP浓度达5.039mg/m</w:t>
      </w:r>
      <w:r>
        <w:rPr>
          <w:rFonts w:hint="eastAsia"/>
          <w:color w:val="000000" w:themeColor="text1"/>
          <w:highlight w:val="none"/>
          <w:vertAlign w:val="superscript"/>
        </w:rPr>
        <w:t>3</w:t>
      </w:r>
      <w:r>
        <w:rPr>
          <w:rFonts w:hint="eastAsia"/>
          <w:color w:val="000000" w:themeColor="text1"/>
          <w:highlight w:val="none"/>
        </w:rPr>
        <w:t>。但施工扬尘的影响周期短，随施工结束而消失。</w:t>
      </w:r>
    </w:p>
    <w:p w14:paraId="3781EB9C">
      <w:pPr>
        <w:pageBreakBefore w:val="0"/>
        <w:wordWrap/>
        <w:topLinePunct w:val="0"/>
        <w:bidi w:val="0"/>
        <w:spacing w:line="360" w:lineRule="auto"/>
        <w:rPr>
          <w:color w:val="000000" w:themeColor="text1"/>
          <w:highlight w:val="none"/>
        </w:rPr>
      </w:pPr>
      <w:r>
        <w:rPr>
          <w:rFonts w:hint="eastAsia" w:cs="宋体"/>
          <w:color w:val="000000" w:themeColor="text1"/>
          <w:highlight w:val="none"/>
        </w:rPr>
        <w:t>②</w:t>
      </w:r>
      <w:r>
        <w:rPr>
          <w:color w:val="000000" w:themeColor="text1"/>
          <w:highlight w:val="none"/>
        </w:rPr>
        <w:t>拌合站扬尘</w:t>
      </w:r>
    </w:p>
    <w:p w14:paraId="56505096">
      <w:pPr>
        <w:pageBreakBefore w:val="0"/>
        <w:wordWrap/>
        <w:topLinePunct w:val="0"/>
        <w:bidi w:val="0"/>
        <w:spacing w:line="360" w:lineRule="auto"/>
        <w:rPr>
          <w:color w:val="000000" w:themeColor="text1"/>
          <w:highlight w:val="none"/>
        </w:rPr>
      </w:pPr>
      <w:r>
        <w:rPr>
          <w:color w:val="000000" w:themeColor="text1"/>
          <w:highlight w:val="none"/>
        </w:rPr>
        <w:t>根据工程分析可知，拌合站扬尘对环境空气影响较为集中，便于管理，其影响范围可达下风向250m。拌合站采取防尘措施后可以有效控制扬尘污染，施工场界处扬尘满足《大气污染物综合排放标准》（GB16297-1996）规定的颗粒物无组织排放监控浓度1.0mg/m</w:t>
      </w:r>
      <w:r>
        <w:rPr>
          <w:color w:val="000000" w:themeColor="text1"/>
          <w:highlight w:val="none"/>
          <w:vertAlign w:val="superscript"/>
        </w:rPr>
        <w:t>3</w:t>
      </w:r>
      <w:r>
        <w:rPr>
          <w:color w:val="000000" w:themeColor="text1"/>
          <w:highlight w:val="none"/>
        </w:rPr>
        <w:t>要求。</w:t>
      </w:r>
    </w:p>
    <w:p w14:paraId="74902FB0">
      <w:pPr>
        <w:pageBreakBefore w:val="0"/>
        <w:wordWrap/>
        <w:topLinePunct w:val="0"/>
        <w:bidi w:val="0"/>
        <w:spacing w:line="360" w:lineRule="auto"/>
        <w:rPr>
          <w:color w:val="000000" w:themeColor="text1"/>
          <w:highlight w:val="none"/>
        </w:rPr>
      </w:pPr>
      <w:r>
        <w:rPr>
          <w:color w:val="000000" w:themeColor="text1"/>
          <w:highlight w:val="none"/>
        </w:rPr>
        <w:t>本项目</w:t>
      </w:r>
      <w:r>
        <w:rPr>
          <w:rFonts w:hint="eastAsia"/>
          <w:color w:val="000000" w:themeColor="text1"/>
          <w:highlight w:val="none"/>
        </w:rPr>
        <w:t>基层</w:t>
      </w:r>
      <w:r>
        <w:rPr>
          <w:color w:val="000000" w:themeColor="text1"/>
          <w:highlight w:val="none"/>
        </w:rPr>
        <w:t>拌合站周边</w:t>
      </w:r>
      <w:r>
        <w:rPr>
          <w:rFonts w:hint="eastAsia"/>
          <w:color w:val="000000" w:themeColor="text1"/>
          <w:highlight w:val="none"/>
          <w:lang w:val="en-US" w:eastAsia="zh-CN"/>
        </w:rPr>
        <w:t>3</w:t>
      </w:r>
      <w:r>
        <w:rPr>
          <w:color w:val="000000" w:themeColor="text1"/>
          <w:highlight w:val="none"/>
        </w:rPr>
        <w:t>00m范围内无居民分布，故拌合粉尘不会对项目区沿线居民产生不利影响。</w:t>
      </w:r>
    </w:p>
    <w:p w14:paraId="2772B54C">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5.3.1.2</w:t>
      </w:r>
      <w:r>
        <w:rPr>
          <w:color w:val="000000" w:themeColor="text1"/>
          <w:highlight w:val="none"/>
        </w:rPr>
        <w:t>沥青烟的影响</w:t>
      </w:r>
    </w:p>
    <w:p w14:paraId="6225B5F0">
      <w:pPr>
        <w:pageBreakBefore w:val="0"/>
        <w:wordWrap/>
        <w:topLinePunct w:val="0"/>
        <w:bidi w:val="0"/>
        <w:spacing w:line="360" w:lineRule="auto"/>
        <w:rPr>
          <w:color w:val="000000" w:themeColor="text1"/>
          <w:highlight w:val="none"/>
        </w:rPr>
      </w:pPr>
      <w:r>
        <w:rPr>
          <w:rFonts w:hint="eastAsia"/>
          <w:color w:val="000000" w:themeColor="text1"/>
          <w:highlight w:val="none"/>
        </w:rPr>
        <w:t>（1）有组织</w:t>
      </w:r>
      <w:r>
        <w:rPr>
          <w:color w:val="000000" w:themeColor="text1"/>
          <w:highlight w:val="none"/>
        </w:rPr>
        <w:t>废气</w:t>
      </w:r>
    </w:p>
    <w:p w14:paraId="223555B8">
      <w:pPr>
        <w:pageBreakBefore w:val="0"/>
        <w:wordWrap/>
        <w:topLinePunct w:val="0"/>
        <w:bidi w:val="0"/>
        <w:spacing w:line="360" w:lineRule="auto"/>
        <w:rPr>
          <w:color w:val="000000" w:themeColor="text1"/>
          <w:highlight w:val="none"/>
        </w:rPr>
      </w:pPr>
      <w:r>
        <w:rPr>
          <w:color w:val="000000" w:themeColor="text1"/>
          <w:highlight w:val="none"/>
        </w:rPr>
        <w:t>沥青混凝土拌合楼产生废气的装置主要为烘干滚筒、搅拌器，主要污染物为颗粒物（粉尘）、沥青烟、苯并芘</w:t>
      </w:r>
      <w:r>
        <w:rPr>
          <w:rFonts w:hint="eastAsia"/>
          <w:color w:val="000000" w:themeColor="text1"/>
          <w:highlight w:val="none"/>
        </w:rPr>
        <w:t>及</w:t>
      </w:r>
      <w:r>
        <w:rPr>
          <w:color w:val="000000" w:themeColor="text1"/>
          <w:highlight w:val="none"/>
        </w:rPr>
        <w:t>非甲烷总烃</w:t>
      </w:r>
      <w:r>
        <w:rPr>
          <w:rFonts w:hint="eastAsia"/>
          <w:color w:val="000000" w:themeColor="text1"/>
          <w:highlight w:val="none"/>
        </w:rPr>
        <w:t>等</w:t>
      </w:r>
      <w:r>
        <w:rPr>
          <w:color w:val="000000" w:themeColor="text1"/>
          <w:highlight w:val="none"/>
        </w:rPr>
        <w:t>。</w:t>
      </w:r>
      <w:r>
        <w:rPr>
          <w:rFonts w:hint="eastAsia"/>
          <w:color w:val="000000" w:themeColor="text1"/>
          <w:kern w:val="2"/>
          <w:sz w:val="24"/>
          <w:highlight w:val="none"/>
        </w:rPr>
        <w:t>沥青拌合站搅拌机楼采用全封闭设计，并设有沥青烟回收装置，采用风机将产生的沥青烟导入沥青拌合站的柴油燃烧器中燃烧，沥青烟处理效率可达99.5%以上，项目烘干滚筒产生的颗粒物与燃烧器产生废气通入搅拌楼里与搅拌楼废气一同引入除尘效率为99%的布袋除尘后净化沥青烟颗粒、苯并[a]芘等，处理后的混合气体通过引风机（总风量为10000m</w:t>
      </w:r>
      <w:r>
        <w:rPr>
          <w:rFonts w:hint="eastAsia"/>
          <w:color w:val="000000" w:themeColor="text1"/>
          <w:kern w:val="2"/>
          <w:sz w:val="24"/>
          <w:highlight w:val="none"/>
          <w:vertAlign w:val="superscript"/>
        </w:rPr>
        <w:t>3</w:t>
      </w:r>
      <w:r>
        <w:rPr>
          <w:rFonts w:hint="eastAsia"/>
          <w:color w:val="000000" w:themeColor="text1"/>
          <w:kern w:val="2"/>
          <w:sz w:val="24"/>
          <w:highlight w:val="none"/>
        </w:rPr>
        <w:t>/h）引至15m高排气筒（DA001）排放。</w:t>
      </w:r>
      <w:r>
        <w:rPr>
          <w:rFonts w:hint="eastAsia"/>
          <w:color w:val="000000" w:themeColor="text1"/>
          <w:highlight w:val="none"/>
        </w:rPr>
        <w:t>经处理后的拌合楼废气，颗粒物、</w:t>
      </w:r>
      <w:r>
        <w:rPr>
          <w:color w:val="000000" w:themeColor="text1"/>
          <w:highlight w:val="none"/>
        </w:rPr>
        <w:t>苯并芘</w:t>
      </w:r>
      <w:r>
        <w:rPr>
          <w:rFonts w:hint="eastAsia"/>
          <w:color w:val="000000" w:themeColor="text1"/>
          <w:highlight w:val="none"/>
        </w:rPr>
        <w:t>、</w:t>
      </w:r>
      <w:r>
        <w:rPr>
          <w:color w:val="000000" w:themeColor="text1"/>
          <w:highlight w:val="none"/>
        </w:rPr>
        <w:t>非甲烷总烃</w:t>
      </w:r>
      <w:r>
        <w:rPr>
          <w:rFonts w:hint="eastAsia"/>
          <w:color w:val="000000" w:themeColor="text1"/>
          <w:highlight w:val="none"/>
        </w:rPr>
        <w:t>、SO</w:t>
      </w:r>
      <w:r>
        <w:rPr>
          <w:rFonts w:hint="eastAsia"/>
          <w:color w:val="000000" w:themeColor="text1"/>
          <w:highlight w:val="none"/>
          <w:vertAlign w:val="subscript"/>
        </w:rPr>
        <w:t>2</w:t>
      </w:r>
      <w:r>
        <w:rPr>
          <w:rFonts w:hint="eastAsia"/>
          <w:color w:val="000000" w:themeColor="text1"/>
          <w:highlight w:val="none"/>
        </w:rPr>
        <w:t>、</w:t>
      </w:r>
      <w:r>
        <w:rPr>
          <w:rFonts w:hint="eastAsia" w:hAnsi="宋体"/>
          <w:color w:val="000000" w:themeColor="text1"/>
          <w:highlight w:val="none"/>
        </w:rPr>
        <w:t>NO</w:t>
      </w:r>
      <w:r>
        <w:rPr>
          <w:rFonts w:hint="eastAsia" w:hAnsi="宋体"/>
          <w:color w:val="000000" w:themeColor="text1"/>
          <w:highlight w:val="none"/>
          <w:vertAlign w:val="subscript"/>
        </w:rPr>
        <w:t>X</w:t>
      </w:r>
      <w:r>
        <w:rPr>
          <w:rFonts w:hint="eastAsia"/>
          <w:color w:val="000000" w:themeColor="text1"/>
          <w:highlight w:val="none"/>
        </w:rPr>
        <w:t>及沥青烟排放浓度</w:t>
      </w:r>
      <w:r>
        <w:rPr>
          <w:color w:val="000000" w:themeColor="text1"/>
          <w:highlight w:val="none"/>
        </w:rPr>
        <w:t>均满足《大气污染物综合排放标准》（GB 16297-2012）表2</w:t>
      </w:r>
      <w:r>
        <w:rPr>
          <w:rFonts w:hint="eastAsia"/>
          <w:color w:val="000000" w:themeColor="text1"/>
          <w:highlight w:val="none"/>
        </w:rPr>
        <w:t>中的</w:t>
      </w:r>
      <w:r>
        <w:rPr>
          <w:color w:val="000000" w:themeColor="text1"/>
          <w:highlight w:val="none"/>
        </w:rPr>
        <w:t>二级标准</w:t>
      </w:r>
      <w:r>
        <w:rPr>
          <w:rFonts w:hint="eastAsia"/>
          <w:color w:val="000000" w:themeColor="text1"/>
          <w:highlight w:val="none"/>
        </w:rPr>
        <w:t>及《水泥工业大气污染物排放标准》（GB4915-2013）中的颗粒物排放标准限值要求</w:t>
      </w:r>
      <w:r>
        <w:rPr>
          <w:rFonts w:hint="eastAsia" w:hAnsi="宋体"/>
          <w:color w:val="000000" w:themeColor="text1"/>
          <w:highlight w:val="none"/>
        </w:rPr>
        <w:t>，</w:t>
      </w:r>
      <w:r>
        <w:rPr>
          <w:color w:val="000000" w:themeColor="text1"/>
          <w:highlight w:val="none"/>
        </w:rPr>
        <w:t>对环境影响较小。结合本项目</w:t>
      </w:r>
      <w:r>
        <w:rPr>
          <w:rFonts w:hint="eastAsia"/>
          <w:color w:val="000000" w:themeColor="text1"/>
          <w:highlight w:val="none"/>
          <w:lang w:val="en-US" w:eastAsia="zh-CN"/>
        </w:rPr>
        <w:t>综合站场</w:t>
      </w:r>
      <w:r>
        <w:rPr>
          <w:color w:val="000000" w:themeColor="text1"/>
          <w:highlight w:val="none"/>
        </w:rPr>
        <w:t>周边可知，</w:t>
      </w:r>
      <w:r>
        <w:rPr>
          <w:rFonts w:hint="eastAsia"/>
          <w:color w:val="000000" w:themeColor="text1"/>
          <w:highlight w:val="none"/>
        </w:rPr>
        <w:t>3</w:t>
      </w:r>
      <w:r>
        <w:rPr>
          <w:color w:val="000000" w:themeColor="text1"/>
          <w:highlight w:val="none"/>
        </w:rPr>
        <w:t>00m范围内无居民区、学校、医院等大气环境敏感点，因此不会</w:t>
      </w:r>
      <w:r>
        <w:rPr>
          <w:rFonts w:hint="eastAsia"/>
          <w:color w:val="000000" w:themeColor="text1"/>
          <w:highlight w:val="none"/>
        </w:rPr>
        <w:t>对</w:t>
      </w:r>
      <w:r>
        <w:rPr>
          <w:color w:val="000000" w:themeColor="text1"/>
          <w:highlight w:val="none"/>
        </w:rPr>
        <w:t>居民生活环境</w:t>
      </w:r>
      <w:r>
        <w:rPr>
          <w:rFonts w:hint="eastAsia"/>
          <w:color w:val="000000" w:themeColor="text1"/>
          <w:highlight w:val="none"/>
        </w:rPr>
        <w:t>产生影响</w:t>
      </w:r>
      <w:r>
        <w:rPr>
          <w:color w:val="000000" w:themeColor="text1"/>
          <w:highlight w:val="none"/>
        </w:rPr>
        <w:t>。</w:t>
      </w:r>
    </w:p>
    <w:p w14:paraId="14BCCB1C">
      <w:pPr>
        <w:pageBreakBefore w:val="0"/>
        <w:wordWrap/>
        <w:topLinePunct w:val="0"/>
        <w:bidi w:val="0"/>
        <w:spacing w:line="360" w:lineRule="auto"/>
        <w:rPr>
          <w:color w:val="000000" w:themeColor="text1"/>
          <w:highlight w:val="none"/>
        </w:rPr>
      </w:pPr>
      <w:r>
        <w:rPr>
          <w:rFonts w:hint="eastAsia"/>
          <w:color w:val="000000" w:themeColor="text1"/>
          <w:highlight w:val="none"/>
        </w:rPr>
        <w:t>（2）</w:t>
      </w:r>
      <w:r>
        <w:rPr>
          <w:color w:val="000000" w:themeColor="text1"/>
          <w:highlight w:val="none"/>
        </w:rPr>
        <w:t>无组织废气</w:t>
      </w:r>
    </w:p>
    <w:p w14:paraId="0B5B25CA">
      <w:pPr>
        <w:pageBreakBefore w:val="0"/>
        <w:wordWrap/>
        <w:topLinePunct w:val="0"/>
        <w:bidi w:val="0"/>
        <w:spacing w:line="360" w:lineRule="auto"/>
        <w:rPr>
          <w:color w:val="000000" w:themeColor="text1"/>
          <w:highlight w:val="none"/>
        </w:rPr>
      </w:pPr>
      <w:r>
        <w:rPr>
          <w:color w:val="000000" w:themeColor="text1"/>
          <w:highlight w:val="none"/>
        </w:rPr>
        <w:t>无组织废气污染物颗粒物、</w:t>
      </w:r>
      <w:r>
        <w:rPr>
          <w:rFonts w:hint="eastAsia"/>
          <w:color w:val="000000" w:themeColor="text1"/>
          <w:highlight w:val="none"/>
        </w:rPr>
        <w:t>非甲烷总烃、SO</w:t>
      </w:r>
      <w:r>
        <w:rPr>
          <w:rFonts w:hint="eastAsia"/>
          <w:color w:val="000000" w:themeColor="text1"/>
          <w:highlight w:val="none"/>
          <w:vertAlign w:val="subscript"/>
        </w:rPr>
        <w:t>2</w:t>
      </w:r>
      <w:r>
        <w:rPr>
          <w:rFonts w:hint="eastAsia"/>
          <w:color w:val="000000" w:themeColor="text1"/>
          <w:highlight w:val="none"/>
        </w:rPr>
        <w:t>、</w:t>
      </w:r>
      <w:r>
        <w:rPr>
          <w:rFonts w:hint="eastAsia" w:hAnsi="宋体"/>
          <w:color w:val="000000" w:themeColor="text1"/>
          <w:highlight w:val="none"/>
        </w:rPr>
        <w:t>NO</w:t>
      </w:r>
      <w:r>
        <w:rPr>
          <w:rFonts w:hint="eastAsia" w:hAnsi="宋体"/>
          <w:color w:val="000000" w:themeColor="text1"/>
          <w:highlight w:val="none"/>
          <w:vertAlign w:val="subscript"/>
        </w:rPr>
        <w:t>X</w:t>
      </w:r>
      <w:r>
        <w:rPr>
          <w:rFonts w:hint="eastAsia" w:hAnsi="宋体"/>
          <w:color w:val="000000" w:themeColor="text1"/>
          <w:highlight w:val="none"/>
        </w:rPr>
        <w:t>、</w:t>
      </w:r>
      <w:r>
        <w:rPr>
          <w:color w:val="000000" w:themeColor="text1"/>
          <w:highlight w:val="none"/>
        </w:rPr>
        <w:t>苯并芘</w:t>
      </w:r>
      <w:r>
        <w:rPr>
          <w:rFonts w:hint="eastAsia"/>
          <w:color w:val="000000" w:themeColor="text1"/>
          <w:highlight w:val="none"/>
        </w:rPr>
        <w:t>及沥青烟排放浓度均</w:t>
      </w:r>
      <w:r>
        <w:rPr>
          <w:color w:val="000000" w:themeColor="text1"/>
          <w:highlight w:val="none"/>
        </w:rPr>
        <w:t>满足《大气污染物综合排放标准》（GB16297-2012）表2</w:t>
      </w:r>
      <w:r>
        <w:rPr>
          <w:rFonts w:hint="eastAsia"/>
          <w:color w:val="000000" w:themeColor="text1"/>
          <w:highlight w:val="none"/>
        </w:rPr>
        <w:t>中的二级</w:t>
      </w:r>
      <w:r>
        <w:rPr>
          <w:color w:val="000000" w:themeColor="text1"/>
          <w:highlight w:val="none"/>
        </w:rPr>
        <w:t>标准</w:t>
      </w:r>
      <w:r>
        <w:rPr>
          <w:rFonts w:hint="eastAsia"/>
          <w:color w:val="000000" w:themeColor="text1"/>
          <w:highlight w:val="none"/>
        </w:rPr>
        <w:t>及《水泥工业大气污染物排放标准》（GB4915-2013）中的颗粒物排放标准限值要求</w:t>
      </w:r>
      <w:r>
        <w:rPr>
          <w:color w:val="000000" w:themeColor="text1"/>
          <w:highlight w:val="none"/>
        </w:rPr>
        <w:t>，对环境影响不大。</w:t>
      </w:r>
    </w:p>
    <w:p w14:paraId="59D92843">
      <w:pPr>
        <w:pageBreakBefore w:val="0"/>
        <w:wordWrap/>
        <w:topLinePunct w:val="0"/>
        <w:bidi w:val="0"/>
        <w:spacing w:line="360" w:lineRule="auto"/>
        <w:rPr>
          <w:color w:val="000000" w:themeColor="text1"/>
          <w:highlight w:val="none"/>
        </w:rPr>
      </w:pPr>
      <w:r>
        <w:rPr>
          <w:rFonts w:hint="eastAsia"/>
          <w:color w:val="000000" w:themeColor="text1"/>
          <w:highlight w:val="none"/>
        </w:rPr>
        <w:t>综上所述，</w:t>
      </w:r>
      <w:r>
        <w:rPr>
          <w:color w:val="000000" w:themeColor="text1"/>
          <w:highlight w:val="none"/>
        </w:rPr>
        <w:t>本项目面层沥青拌合站周边300m范围内无居民分布，故不会对周围环境及敏感点产生影响。</w:t>
      </w:r>
    </w:p>
    <w:p w14:paraId="1F3F7807">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5.3.1.3施工机械和运输车辆</w:t>
      </w:r>
    </w:p>
    <w:p w14:paraId="295B5F34">
      <w:pPr>
        <w:pageBreakBefore w:val="0"/>
        <w:wordWrap/>
        <w:topLinePunct w:val="0"/>
        <w:bidi w:val="0"/>
        <w:spacing w:line="360" w:lineRule="auto"/>
        <w:rPr>
          <w:rFonts w:hint="eastAsia"/>
          <w:color w:val="000000" w:themeColor="text1"/>
          <w:highlight w:val="none"/>
        </w:rPr>
      </w:pPr>
      <w:bookmarkStart w:id="379" w:name="_Toc30267"/>
      <w:bookmarkStart w:id="380" w:name="_Toc11372"/>
      <w:r>
        <w:rPr>
          <w:rFonts w:hint="eastAsia"/>
          <w:color w:val="000000" w:themeColor="text1"/>
          <w:highlight w:val="none"/>
        </w:rPr>
        <w:t>项目施工时使用的车辆包括挖掘机、装载机、压路机、搅拌机、卡车等多种燃油施工车辆，施工物料运输使用运输车辆。项目施工机械和运输车辆排放的污染物主要有CO、NO</w:t>
      </w:r>
      <w:r>
        <w:rPr>
          <w:rFonts w:hint="eastAsia"/>
          <w:color w:val="000000" w:themeColor="text1"/>
          <w:highlight w:val="none"/>
          <w:lang w:val="en-US" w:eastAsia="zh-CN"/>
        </w:rPr>
        <w:t>x</w:t>
      </w:r>
      <w:r>
        <w:rPr>
          <w:rFonts w:hint="eastAsia"/>
          <w:color w:val="000000" w:themeColor="text1"/>
          <w:highlight w:val="none"/>
        </w:rPr>
        <w:t>、HC和颗粒物。</w:t>
      </w:r>
    </w:p>
    <w:p w14:paraId="57091AD2">
      <w:pPr>
        <w:pageBreakBefore w:val="0"/>
        <w:wordWrap/>
        <w:topLinePunct w:val="0"/>
        <w:bidi w:val="0"/>
        <w:spacing w:line="360" w:lineRule="auto"/>
        <w:rPr>
          <w:color w:val="000000" w:themeColor="text1"/>
          <w:highlight w:val="none"/>
        </w:rPr>
      </w:pPr>
      <w:r>
        <w:rPr>
          <w:rFonts w:hint="eastAsia"/>
          <w:color w:val="000000" w:themeColor="text1"/>
          <w:highlight w:val="none"/>
        </w:rPr>
        <w:t>类比连霍高速郑州至洛阳段公路施工现场检测结果，在距离现场50m处CO、NO</w:t>
      </w:r>
      <w:r>
        <w:rPr>
          <w:rFonts w:hint="eastAsia"/>
          <w:color w:val="000000" w:themeColor="text1"/>
          <w:highlight w:val="none"/>
          <w:lang w:val="en-US" w:eastAsia="zh-CN"/>
        </w:rPr>
        <w:t>x一</w:t>
      </w:r>
      <w:r>
        <w:rPr>
          <w:rFonts w:hint="eastAsia"/>
          <w:color w:val="000000" w:themeColor="text1"/>
          <w:highlight w:val="none"/>
        </w:rPr>
        <w:t>小时平均浓度分别为0.2mg/m</w:t>
      </w:r>
      <w:r>
        <w:rPr>
          <w:rFonts w:hint="eastAsia"/>
          <w:color w:val="000000" w:themeColor="text1"/>
          <w:highlight w:val="none"/>
          <w:vertAlign w:val="superscript"/>
        </w:rPr>
        <w:t>3</w:t>
      </w:r>
      <w:r>
        <w:rPr>
          <w:rFonts w:hint="eastAsia"/>
          <w:color w:val="000000" w:themeColor="text1"/>
          <w:highlight w:val="none"/>
        </w:rPr>
        <w:t>和0.13mg/m</w:t>
      </w:r>
      <w:r>
        <w:rPr>
          <w:rFonts w:hint="eastAsia"/>
          <w:color w:val="000000" w:themeColor="text1"/>
          <w:highlight w:val="none"/>
          <w:vertAlign w:val="superscript"/>
        </w:rPr>
        <w:t>3</w:t>
      </w:r>
      <w:r>
        <w:rPr>
          <w:rFonts w:hint="eastAsia"/>
          <w:color w:val="000000" w:themeColor="text1"/>
          <w:highlight w:val="none"/>
          <w:lang w:eastAsia="zh-CN"/>
        </w:rPr>
        <w:t>；</w:t>
      </w:r>
      <w:r>
        <w:rPr>
          <w:rFonts w:hint="eastAsia"/>
          <w:color w:val="000000" w:themeColor="text1"/>
          <w:highlight w:val="none"/>
        </w:rPr>
        <w:t>日平均浓度分别为0.13mg/m</w:t>
      </w:r>
      <w:r>
        <w:rPr>
          <w:rFonts w:hint="eastAsia"/>
          <w:color w:val="000000" w:themeColor="text1"/>
          <w:highlight w:val="none"/>
          <w:vertAlign w:val="superscript"/>
        </w:rPr>
        <w:t>3</w:t>
      </w:r>
      <w:r>
        <w:rPr>
          <w:rFonts w:hint="eastAsia"/>
          <w:color w:val="000000" w:themeColor="text1"/>
          <w:highlight w:val="none"/>
        </w:rPr>
        <w:t>和0.062mg/m</w:t>
      </w:r>
      <w:r>
        <w:rPr>
          <w:rFonts w:hint="eastAsia"/>
          <w:color w:val="000000" w:themeColor="text1"/>
          <w:highlight w:val="none"/>
          <w:vertAlign w:val="superscript"/>
        </w:rPr>
        <w:t>3</w:t>
      </w:r>
      <w:r>
        <w:rPr>
          <w:rFonts w:hint="eastAsia"/>
          <w:color w:val="000000" w:themeColor="text1"/>
          <w:highlight w:val="none"/>
        </w:rPr>
        <w:t>，均能满足《环境空气质量标准》</w:t>
      </w:r>
      <w:r>
        <w:rPr>
          <w:rFonts w:hint="eastAsia"/>
          <w:color w:val="000000" w:themeColor="text1"/>
          <w:highlight w:val="none"/>
          <w:lang w:eastAsia="zh-CN"/>
        </w:rPr>
        <w:t>（</w:t>
      </w:r>
      <w:r>
        <w:rPr>
          <w:rFonts w:hint="eastAsia"/>
          <w:color w:val="000000" w:themeColor="text1"/>
          <w:highlight w:val="none"/>
        </w:rPr>
        <w:t>GB3095-2012</w:t>
      </w:r>
      <w:r>
        <w:rPr>
          <w:rFonts w:hint="eastAsia"/>
          <w:color w:val="000000" w:themeColor="text1"/>
          <w:highlight w:val="none"/>
          <w:lang w:eastAsia="zh-CN"/>
        </w:rPr>
        <w:t>）</w:t>
      </w:r>
      <w:r>
        <w:rPr>
          <w:rFonts w:hint="eastAsia"/>
          <w:color w:val="000000" w:themeColor="text1"/>
          <w:highlight w:val="none"/>
        </w:rPr>
        <w:t>中二级标准的要求。虽然施工机械和运输车辆单车排放系数较大，但较分散且周边开阔，有利于气态污染物的扩散，施工废气排放对周围的环境空气影响不大。</w:t>
      </w:r>
    </w:p>
    <w:p w14:paraId="4FCBDA6A">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5.3.2</w:t>
      </w:r>
      <w:r>
        <w:rPr>
          <w:color w:val="000000" w:themeColor="text1"/>
          <w:highlight w:val="none"/>
        </w:rPr>
        <w:t>营运期</w:t>
      </w:r>
      <w:bookmarkEnd w:id="379"/>
      <w:bookmarkEnd w:id="380"/>
    </w:p>
    <w:p w14:paraId="3CB59A28">
      <w:pPr>
        <w:pageBreakBefore w:val="0"/>
        <w:wordWrap/>
        <w:topLinePunct w:val="0"/>
        <w:bidi w:val="0"/>
        <w:spacing w:line="360" w:lineRule="auto"/>
        <w:rPr>
          <w:color w:val="000000" w:themeColor="text1"/>
          <w:highlight w:val="none"/>
        </w:rPr>
      </w:pPr>
      <w:r>
        <w:rPr>
          <w:color w:val="000000" w:themeColor="text1"/>
          <w:highlight w:val="none"/>
        </w:rPr>
        <w:t>本项目建设公路为</w:t>
      </w:r>
      <w:r>
        <w:rPr>
          <w:rFonts w:hint="eastAsia"/>
          <w:color w:val="000000" w:themeColor="text1"/>
          <w:highlight w:val="none"/>
          <w:lang w:val="en-US" w:eastAsia="zh-CN"/>
        </w:rPr>
        <w:t>二级</w:t>
      </w:r>
      <w:r>
        <w:rPr>
          <w:color w:val="000000" w:themeColor="text1"/>
          <w:highlight w:val="none"/>
        </w:rPr>
        <w:t>公路，根据《环境影响评价技术导则 大气环境》（HJ2.2-2018）中第5.3.3.3条，</w:t>
      </w:r>
      <w:r>
        <w:rPr>
          <w:rFonts w:hint="eastAsia"/>
          <w:color w:val="000000" w:themeColor="text1"/>
          <w:highlight w:val="none"/>
          <w:lang w:eastAsia="zh-CN"/>
        </w:rPr>
        <w:t>“</w:t>
      </w:r>
      <w:r>
        <w:rPr>
          <w:color w:val="000000" w:themeColor="text1"/>
          <w:highlight w:val="none"/>
        </w:rPr>
        <w:t>对等级公路、铁路项目，分别按项目沿线主要集中式排放源（如服务区、</w:t>
      </w:r>
      <w:r>
        <w:rPr>
          <w:rFonts w:hint="eastAsia"/>
          <w:color w:val="000000" w:themeColor="text1"/>
          <w:highlight w:val="none"/>
        </w:rPr>
        <w:t>收费站</w:t>
      </w:r>
      <w:r>
        <w:rPr>
          <w:color w:val="000000" w:themeColor="text1"/>
          <w:highlight w:val="none"/>
        </w:rPr>
        <w:t>大气污染源）排放的污染物计算其评价等级</w:t>
      </w:r>
      <w:r>
        <w:rPr>
          <w:rFonts w:hint="eastAsia"/>
          <w:color w:val="000000" w:themeColor="text1"/>
          <w:highlight w:val="none"/>
          <w:lang w:eastAsia="zh-CN"/>
        </w:rPr>
        <w:t>”</w:t>
      </w:r>
      <w:r>
        <w:rPr>
          <w:color w:val="000000" w:themeColor="text1"/>
          <w:highlight w:val="none"/>
        </w:rPr>
        <w:t>。本项目</w:t>
      </w:r>
      <w:r>
        <w:rPr>
          <w:rFonts w:hint="eastAsia"/>
          <w:color w:val="000000" w:themeColor="text1"/>
          <w:highlight w:val="none"/>
          <w:lang w:val="en-US" w:eastAsia="zh-CN"/>
        </w:rPr>
        <w:t>无服务区、车站等主要集中式排放源，</w:t>
      </w:r>
      <w:r>
        <w:rPr>
          <w:color w:val="000000" w:themeColor="text1"/>
          <w:highlight w:val="none"/>
        </w:rPr>
        <w:t>因此确定环境空气评价工作等级为三级，本次不进行预测评价。</w:t>
      </w:r>
      <w:r>
        <w:rPr>
          <w:rFonts w:hint="eastAsia"/>
          <w:color w:val="000000" w:themeColor="text1"/>
          <w:highlight w:val="none"/>
          <w:lang w:val="en-US" w:eastAsia="zh-CN"/>
        </w:rPr>
        <w:t>且项目车流量相对较小，项目所在区域环境空气质量现状可满足《环境空气质量标准》（</w:t>
      </w:r>
      <w:r>
        <w:rPr>
          <w:rFonts w:hint="default"/>
          <w:color w:val="000000" w:themeColor="text1"/>
          <w:highlight w:val="none"/>
          <w:lang w:val="en-US" w:eastAsia="zh-CN"/>
        </w:rPr>
        <w:t>GB3095-2012</w:t>
      </w:r>
      <w:r>
        <w:rPr>
          <w:rFonts w:hint="eastAsia"/>
          <w:color w:val="000000" w:themeColor="text1"/>
          <w:highlight w:val="none"/>
          <w:lang w:val="en-US" w:eastAsia="zh-CN"/>
        </w:rPr>
        <w:t>）及其修改单中二级标准，因此运营期汽车尾气对沿线区域环境空气影响较小。</w:t>
      </w:r>
    </w:p>
    <w:p w14:paraId="3087D7B2">
      <w:pPr>
        <w:pStyle w:val="3"/>
        <w:pageBreakBefore w:val="0"/>
        <w:wordWrap/>
        <w:topLinePunct w:val="0"/>
        <w:bidi w:val="0"/>
        <w:spacing w:line="360" w:lineRule="auto"/>
        <w:rPr>
          <w:color w:val="000000" w:themeColor="text1"/>
          <w:highlight w:val="none"/>
        </w:rPr>
      </w:pPr>
      <w:bookmarkStart w:id="381" w:name="_Toc29633"/>
      <w:bookmarkStart w:id="382" w:name="_Toc18471"/>
      <w:bookmarkStart w:id="383" w:name="_Toc21642"/>
      <w:bookmarkStart w:id="384" w:name="_Toc27535"/>
      <w:bookmarkStart w:id="385" w:name="_Toc12198"/>
      <w:r>
        <w:rPr>
          <w:rFonts w:hint="eastAsia"/>
          <w:color w:val="000000" w:themeColor="text1"/>
          <w:highlight w:val="none"/>
        </w:rPr>
        <w:t>5.4</w:t>
      </w:r>
      <w:r>
        <w:rPr>
          <w:color w:val="000000" w:themeColor="text1"/>
          <w:highlight w:val="none"/>
        </w:rPr>
        <w:t>地表水</w:t>
      </w:r>
      <w:bookmarkEnd w:id="381"/>
      <w:bookmarkEnd w:id="382"/>
      <w:bookmarkEnd w:id="383"/>
      <w:bookmarkEnd w:id="384"/>
      <w:bookmarkEnd w:id="385"/>
    </w:p>
    <w:p w14:paraId="09614137">
      <w:pPr>
        <w:pStyle w:val="4"/>
        <w:pageBreakBefore w:val="0"/>
        <w:wordWrap/>
        <w:topLinePunct w:val="0"/>
        <w:bidi w:val="0"/>
        <w:spacing w:before="120" w:line="360" w:lineRule="auto"/>
        <w:rPr>
          <w:color w:val="000000" w:themeColor="text1"/>
          <w:highlight w:val="none"/>
        </w:rPr>
      </w:pPr>
      <w:bookmarkStart w:id="386" w:name="_Toc20052"/>
      <w:bookmarkStart w:id="387" w:name="_Toc14954"/>
      <w:r>
        <w:rPr>
          <w:rFonts w:hint="eastAsia"/>
          <w:color w:val="000000" w:themeColor="text1"/>
          <w:highlight w:val="none"/>
        </w:rPr>
        <w:t>5.4.1</w:t>
      </w:r>
      <w:r>
        <w:rPr>
          <w:color w:val="000000" w:themeColor="text1"/>
          <w:highlight w:val="none"/>
        </w:rPr>
        <w:t>施工期</w:t>
      </w:r>
      <w:bookmarkEnd w:id="386"/>
      <w:bookmarkEnd w:id="387"/>
    </w:p>
    <w:p w14:paraId="09A8EA22">
      <w:pPr>
        <w:pStyle w:val="92"/>
        <w:pageBreakBefore w:val="0"/>
        <w:wordWrap/>
        <w:topLinePunct w:val="0"/>
        <w:bidi w:val="0"/>
        <w:spacing w:line="360" w:lineRule="auto"/>
        <w:rPr>
          <w:bCs/>
          <w:color w:val="000000" w:themeColor="text1"/>
          <w:highlight w:val="none"/>
        </w:rPr>
      </w:pPr>
      <w:r>
        <w:rPr>
          <w:color w:val="000000" w:themeColor="text1"/>
          <w:highlight w:val="none"/>
        </w:rPr>
        <w:t>公路施工期对地表水环境的影响主要表现在各施工标段施工人员生活污水、施工生产废水及桥梁施工废水排放对当地河流水体的影响。</w:t>
      </w:r>
    </w:p>
    <w:p w14:paraId="3396F9AE">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5.4.1.1施工期</w:t>
      </w:r>
      <w:r>
        <w:rPr>
          <w:color w:val="000000" w:themeColor="text1"/>
          <w:highlight w:val="none"/>
        </w:rPr>
        <w:t>生活污水</w:t>
      </w:r>
    </w:p>
    <w:p w14:paraId="45CAB1F2">
      <w:pPr>
        <w:pageBreakBefore w:val="0"/>
        <w:wordWrap/>
        <w:topLinePunct w:val="0"/>
        <w:bidi w:val="0"/>
        <w:spacing w:line="360" w:lineRule="auto"/>
        <w:rPr>
          <w:color w:val="000000" w:themeColor="text1"/>
          <w:highlight w:val="none"/>
        </w:rPr>
      </w:pPr>
      <w:r>
        <w:rPr>
          <w:color w:val="000000" w:themeColor="text1"/>
          <w:highlight w:val="none"/>
        </w:rPr>
        <w:t>本项目设置集中施工场地</w:t>
      </w:r>
      <w:r>
        <w:rPr>
          <w:rFonts w:hint="eastAsia"/>
          <w:color w:val="000000" w:themeColor="text1"/>
          <w:highlight w:val="none"/>
          <w:lang w:val="en-US" w:eastAsia="zh-CN"/>
        </w:rPr>
        <w:t>1</w:t>
      </w:r>
      <w:r>
        <w:rPr>
          <w:color w:val="000000" w:themeColor="text1"/>
          <w:highlight w:val="none"/>
        </w:rPr>
        <w:t>处，施工生活污水主要污染物为COD、BOD</w:t>
      </w:r>
      <w:r>
        <w:rPr>
          <w:color w:val="000000" w:themeColor="text1"/>
          <w:highlight w:val="none"/>
          <w:vertAlign w:val="subscript"/>
        </w:rPr>
        <w:t>5</w:t>
      </w:r>
      <w:r>
        <w:rPr>
          <w:color w:val="000000" w:themeColor="text1"/>
          <w:highlight w:val="none"/>
        </w:rPr>
        <w:t>及SS，浓度分别为300mg/L、200mg/L及180mg/L。施工场地设置</w:t>
      </w:r>
      <w:r>
        <w:rPr>
          <w:rFonts w:hint="eastAsia"/>
          <w:color w:val="000000" w:themeColor="text1"/>
          <w:highlight w:val="none"/>
          <w:lang w:val="en-US" w:eastAsia="zh-CN"/>
        </w:rPr>
        <w:t>1</w:t>
      </w:r>
      <w:r>
        <w:rPr>
          <w:color w:val="000000" w:themeColor="text1"/>
          <w:highlight w:val="none"/>
        </w:rPr>
        <w:t>座防渗旱厕，生活污水排入防渗旱厕，</w:t>
      </w:r>
      <w:r>
        <w:rPr>
          <w:rFonts w:hint="eastAsia"/>
          <w:color w:val="000000" w:themeColor="text1"/>
          <w:highlight w:val="none"/>
        </w:rPr>
        <w:t>满足《污水综合排放标准》</w:t>
      </w:r>
      <w:r>
        <w:rPr>
          <w:color w:val="000000" w:themeColor="text1"/>
          <w:highlight w:val="none"/>
        </w:rPr>
        <w:t>（GB8978-1996）</w:t>
      </w:r>
      <w:r>
        <w:rPr>
          <w:rFonts w:hint="eastAsia"/>
          <w:color w:val="000000" w:themeColor="text1"/>
          <w:highlight w:val="none"/>
        </w:rPr>
        <w:t>三级标准后，</w:t>
      </w:r>
      <w:r>
        <w:rPr>
          <w:color w:val="000000" w:themeColor="text1"/>
          <w:highlight w:val="none"/>
        </w:rPr>
        <w:t>定期清掏，对地表水影响较小。</w:t>
      </w:r>
    </w:p>
    <w:p w14:paraId="4DCD457D">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5.4.1.2</w:t>
      </w:r>
      <w:r>
        <w:rPr>
          <w:color w:val="000000" w:themeColor="text1"/>
          <w:highlight w:val="none"/>
        </w:rPr>
        <w:t>施工场地生产废水</w:t>
      </w:r>
    </w:p>
    <w:p w14:paraId="22D69697">
      <w:pPr>
        <w:pageBreakBefore w:val="0"/>
        <w:wordWrap/>
        <w:topLinePunct w:val="0"/>
        <w:bidi w:val="0"/>
        <w:spacing w:line="360" w:lineRule="auto"/>
        <w:rPr>
          <w:color w:val="000000" w:themeColor="text1"/>
          <w:highlight w:val="none"/>
        </w:rPr>
      </w:pPr>
      <w:r>
        <w:rPr>
          <w:color w:val="000000" w:themeColor="text1"/>
          <w:highlight w:val="none"/>
        </w:rPr>
        <w:t>（1）混凝土拌合站冲洗废水</w:t>
      </w:r>
    </w:p>
    <w:p w14:paraId="11B1D887">
      <w:pPr>
        <w:pageBreakBefore w:val="0"/>
        <w:wordWrap/>
        <w:topLinePunct w:val="0"/>
        <w:bidi w:val="0"/>
        <w:spacing w:line="360" w:lineRule="auto"/>
        <w:rPr>
          <w:color w:val="000000" w:themeColor="text1"/>
          <w:highlight w:val="none"/>
        </w:rPr>
      </w:pPr>
      <w:r>
        <w:rPr>
          <w:color w:val="000000" w:themeColor="text1"/>
          <w:highlight w:val="none"/>
        </w:rPr>
        <w:t>本项目施工场地基层水泥混凝土拌合过程会有废水产生，主要污染物为SS，浓度约5000mg/L。本评价要求水泥混凝土冲洗废水经设置的临时沉淀池集中处理后，用于施工场地洒水降尘，不外排</w:t>
      </w:r>
      <w:r>
        <w:rPr>
          <w:rFonts w:hint="eastAsia"/>
          <w:color w:val="000000" w:themeColor="text1"/>
          <w:highlight w:val="none"/>
        </w:rPr>
        <w:t>，沉淀废渣运至弃渣场</w:t>
      </w:r>
      <w:r>
        <w:rPr>
          <w:color w:val="000000" w:themeColor="text1"/>
          <w:highlight w:val="none"/>
        </w:rPr>
        <w:t>。</w:t>
      </w:r>
    </w:p>
    <w:p w14:paraId="785AA568">
      <w:pPr>
        <w:pageBreakBefore w:val="0"/>
        <w:wordWrap/>
        <w:topLinePunct w:val="0"/>
        <w:bidi w:val="0"/>
        <w:spacing w:line="360" w:lineRule="auto"/>
        <w:rPr>
          <w:color w:val="000000" w:themeColor="text1"/>
          <w:highlight w:val="none"/>
        </w:rPr>
      </w:pPr>
      <w:r>
        <w:rPr>
          <w:color w:val="000000" w:themeColor="text1"/>
          <w:highlight w:val="none"/>
        </w:rPr>
        <w:t>（2）施工机械和车辆冲洗废水</w:t>
      </w:r>
    </w:p>
    <w:p w14:paraId="5D58DA68">
      <w:pPr>
        <w:pageBreakBefore w:val="0"/>
        <w:wordWrap/>
        <w:topLinePunct w:val="0"/>
        <w:bidi w:val="0"/>
        <w:spacing w:line="360" w:lineRule="auto"/>
        <w:rPr>
          <w:color w:val="000000" w:themeColor="text1"/>
          <w:highlight w:val="none"/>
        </w:rPr>
      </w:pPr>
      <w:r>
        <w:rPr>
          <w:color w:val="000000" w:themeColor="text1"/>
          <w:highlight w:val="none"/>
        </w:rPr>
        <w:t>本项目施工场地施工机械和车辆清洗废水中主要污染物为石油类和SS，污染物浓度分别为SS360mg/L、石油类200mg/L。本评价要求施工生产废水经设置的临时隔油沉淀池集中处理后，用于施工场地洒水降尘，不外排</w:t>
      </w:r>
      <w:r>
        <w:rPr>
          <w:rFonts w:hint="eastAsia"/>
          <w:color w:val="000000" w:themeColor="text1"/>
          <w:highlight w:val="none"/>
        </w:rPr>
        <w:t>，沉淀废渣运至弃渣场</w:t>
      </w:r>
      <w:r>
        <w:rPr>
          <w:color w:val="000000" w:themeColor="text1"/>
          <w:highlight w:val="none"/>
        </w:rPr>
        <w:t>。</w:t>
      </w:r>
    </w:p>
    <w:p w14:paraId="67AA77D2">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5.4.1.3</w:t>
      </w:r>
      <w:r>
        <w:rPr>
          <w:color w:val="000000" w:themeColor="text1"/>
          <w:highlight w:val="none"/>
        </w:rPr>
        <w:t>桥梁施工废水</w:t>
      </w:r>
    </w:p>
    <w:p w14:paraId="74DC1475">
      <w:pPr>
        <w:pageBreakBefore w:val="0"/>
        <w:wordWrap/>
        <w:topLinePunct w:val="0"/>
        <w:bidi w:val="0"/>
        <w:spacing w:line="360" w:lineRule="auto"/>
        <w:rPr>
          <w:color w:val="000000" w:themeColor="text1"/>
          <w:highlight w:val="none"/>
        </w:rPr>
      </w:pPr>
      <w:r>
        <w:rPr>
          <w:color w:val="000000" w:themeColor="text1"/>
          <w:highlight w:val="none"/>
        </w:rPr>
        <w:t>（1）围堰设置和拆除对地表水的影响</w:t>
      </w:r>
    </w:p>
    <w:p w14:paraId="31EE1567">
      <w:pPr>
        <w:pageBreakBefore w:val="0"/>
        <w:wordWrap/>
        <w:topLinePunct w:val="0"/>
        <w:bidi w:val="0"/>
        <w:spacing w:line="360" w:lineRule="auto"/>
        <w:rPr>
          <w:color w:val="000000" w:themeColor="text1"/>
          <w:highlight w:val="none"/>
        </w:rPr>
      </w:pPr>
      <w:r>
        <w:rPr>
          <w:color w:val="000000" w:themeColor="text1"/>
          <w:highlight w:val="none"/>
        </w:rPr>
        <w:t>本项目共有</w:t>
      </w:r>
      <w:r>
        <w:rPr>
          <w:rFonts w:hint="eastAsia"/>
          <w:color w:val="000000" w:themeColor="text1"/>
          <w:highlight w:val="none"/>
        </w:rPr>
        <w:t>1座中桥</w:t>
      </w:r>
      <w:r>
        <w:rPr>
          <w:color w:val="000000" w:themeColor="text1"/>
          <w:highlight w:val="none"/>
        </w:rPr>
        <w:t>水中设置桥墩，采用围堰施工，施工前期设置围堰和后期拆除围堰会扰动河底泥沙和沉积物造成局部水域悬浮物浓度增加，根据同类工程研究表明，围堰施工时，局部水域悬浮物浓度在80～160mg/L，但施工处下游100m范围外SS增量不超过50mg/L，对下游100m范围外水域水质影响较小，并且围堰施工工序短，围堰设置完工后对地表水影响逐渐消失。</w:t>
      </w:r>
    </w:p>
    <w:p w14:paraId="3379365C">
      <w:pPr>
        <w:pageBreakBefore w:val="0"/>
        <w:wordWrap/>
        <w:topLinePunct w:val="0"/>
        <w:bidi w:val="0"/>
        <w:spacing w:line="360" w:lineRule="auto"/>
        <w:rPr>
          <w:color w:val="000000" w:themeColor="text1"/>
          <w:highlight w:val="none"/>
        </w:rPr>
      </w:pPr>
      <w:r>
        <w:rPr>
          <w:color w:val="000000" w:themeColor="text1"/>
          <w:highlight w:val="none"/>
        </w:rPr>
        <w:t>（2）钻孔和清孔对地表水环境的影响</w:t>
      </w:r>
    </w:p>
    <w:p w14:paraId="0E40D9BE">
      <w:pPr>
        <w:pageBreakBefore w:val="0"/>
        <w:wordWrap/>
        <w:topLinePunct w:val="0"/>
        <w:bidi w:val="0"/>
        <w:spacing w:line="360" w:lineRule="auto"/>
        <w:rPr>
          <w:color w:val="000000" w:themeColor="text1"/>
          <w:highlight w:val="none"/>
        </w:rPr>
      </w:pPr>
      <w:r>
        <w:rPr>
          <w:rFonts w:hint="eastAsia"/>
          <w:color w:val="000000" w:themeColor="text1"/>
          <w:highlight w:val="none"/>
        </w:rPr>
        <w:t>本项目桥墩钻孔施工将产生泥浆和钻渣，</w:t>
      </w:r>
      <w:r>
        <w:rPr>
          <w:color w:val="000000" w:themeColor="text1"/>
          <w:highlight w:val="none"/>
        </w:rPr>
        <w:t>其中泥浆废水经泥浆分离机处理后泥浆重复回用、废水用于降尘；</w:t>
      </w:r>
      <w:r>
        <w:rPr>
          <w:rFonts w:hint="eastAsia"/>
          <w:color w:val="000000" w:themeColor="text1"/>
          <w:highlight w:val="none"/>
        </w:rPr>
        <w:t>根据武汉白沙洲长江大桥类比调查，采用泥浆沉淀池回收泥浆，泥浆污水中SS浓度由处理前1690mg/L降低至66mg/L。钻孔达到要求深度和满足质量要求后，立即清孔，所清除钻渣运至泥浆沉淀池沉淀处理，废水作为施工场地及施工道路洒水循环使用。施工结束后少量剩余废泥浆经干化后作为原施工场地内沉淀池等平整填埋使用。钻渣经沉淀后</w:t>
      </w:r>
      <w:r>
        <w:rPr>
          <w:color w:val="000000" w:themeColor="text1"/>
          <w:kern w:val="0"/>
          <w:highlight w:val="none"/>
        </w:rPr>
        <w:t>运至</w:t>
      </w:r>
      <w:r>
        <w:rPr>
          <w:rFonts w:hint="eastAsia"/>
          <w:color w:val="000000" w:themeColor="text1"/>
          <w:kern w:val="0"/>
          <w:highlight w:val="none"/>
        </w:rPr>
        <w:t>线路其他施工段</w:t>
      </w:r>
      <w:r>
        <w:rPr>
          <w:color w:val="000000" w:themeColor="text1"/>
          <w:kern w:val="0"/>
          <w:highlight w:val="none"/>
        </w:rPr>
        <w:t>作为填</w:t>
      </w:r>
      <w:r>
        <w:rPr>
          <w:rFonts w:hint="eastAsia"/>
          <w:color w:val="000000" w:themeColor="text1"/>
          <w:kern w:val="0"/>
          <w:highlight w:val="none"/>
        </w:rPr>
        <w:t>方使用</w:t>
      </w:r>
      <w:r>
        <w:rPr>
          <w:color w:val="000000" w:themeColor="text1"/>
          <w:kern w:val="0"/>
          <w:highlight w:val="none"/>
        </w:rPr>
        <w:t>。</w:t>
      </w:r>
      <w:r>
        <w:rPr>
          <w:rFonts w:hint="eastAsia"/>
          <w:color w:val="000000" w:themeColor="text1"/>
          <w:kern w:val="0"/>
          <w:highlight w:val="none"/>
        </w:rPr>
        <w:t>正产情况下</w:t>
      </w:r>
      <w:r>
        <w:rPr>
          <w:rFonts w:hint="eastAsia"/>
          <w:color w:val="000000" w:themeColor="text1"/>
          <w:highlight w:val="none"/>
        </w:rPr>
        <w:t>泥浆和钻渣不会对地表水环境产生影响。如发生钻孔漏浆及钻渣泄漏，会限制在围堰内，也不会对地表水产生影响。</w:t>
      </w:r>
    </w:p>
    <w:p w14:paraId="566CBAD5">
      <w:pPr>
        <w:pageBreakBefore w:val="0"/>
        <w:wordWrap/>
        <w:topLinePunct w:val="0"/>
        <w:bidi w:val="0"/>
        <w:spacing w:line="360" w:lineRule="auto"/>
        <w:rPr>
          <w:color w:val="000000" w:themeColor="text1"/>
          <w:highlight w:val="none"/>
        </w:rPr>
      </w:pPr>
      <w:r>
        <w:rPr>
          <w:color w:val="000000" w:themeColor="text1"/>
          <w:highlight w:val="none"/>
        </w:rPr>
        <w:t>（3）混凝土灌注对地表水环境的影响</w:t>
      </w:r>
    </w:p>
    <w:p w14:paraId="22C02F85">
      <w:pPr>
        <w:pageBreakBefore w:val="0"/>
        <w:wordWrap/>
        <w:topLinePunct w:val="0"/>
        <w:bidi w:val="0"/>
        <w:spacing w:line="360" w:lineRule="auto"/>
        <w:rPr>
          <w:color w:val="000000" w:themeColor="text1"/>
          <w:highlight w:val="none"/>
        </w:rPr>
      </w:pPr>
      <w:r>
        <w:rPr>
          <w:color w:val="000000" w:themeColor="text1"/>
          <w:highlight w:val="none"/>
        </w:rPr>
        <w:t>桥墩灌注过程中可能发生溢浆和漏浆，会限制在围堰内，不会对地表水体造成污染。</w:t>
      </w:r>
    </w:p>
    <w:p w14:paraId="384C86FE">
      <w:pPr>
        <w:pStyle w:val="5"/>
        <w:pageBreakBefore w:val="0"/>
        <w:wordWrap/>
        <w:topLinePunct w:val="0"/>
        <w:bidi w:val="0"/>
        <w:spacing w:before="120" w:line="360" w:lineRule="auto"/>
        <w:rPr>
          <w:color w:val="000000" w:themeColor="text1"/>
          <w:highlight w:val="none"/>
        </w:rPr>
      </w:pPr>
      <w:bookmarkStart w:id="388" w:name="_Toc18506"/>
      <w:r>
        <w:rPr>
          <w:rFonts w:hint="eastAsia"/>
          <w:color w:val="000000" w:themeColor="text1"/>
          <w:highlight w:val="none"/>
        </w:rPr>
        <w:t>5.4.1.</w:t>
      </w:r>
      <w:r>
        <w:rPr>
          <w:rFonts w:hint="eastAsia"/>
          <w:color w:val="000000" w:themeColor="text1"/>
          <w:highlight w:val="none"/>
          <w:lang w:val="en-US" w:eastAsia="zh-CN"/>
        </w:rPr>
        <w:t>4评价结论</w:t>
      </w:r>
    </w:p>
    <w:p w14:paraId="6F5BDB6F">
      <w:pPr>
        <w:pageBreakBefore w:val="0"/>
        <w:wordWrap/>
        <w:topLinePunct w:val="0"/>
        <w:bidi w:val="0"/>
        <w:spacing w:line="360" w:lineRule="auto"/>
        <w:rPr>
          <w:color w:val="000000" w:themeColor="text1"/>
          <w:highlight w:val="none"/>
        </w:rPr>
      </w:pPr>
      <w:r>
        <w:rPr>
          <w:rFonts w:hint="eastAsia"/>
          <w:color w:val="000000" w:themeColor="text1"/>
          <w:highlight w:val="none"/>
        </w:rPr>
        <w:t>由上述分析可知，桥梁基础施工对水体影响主要集中在围堰设置和拆除阶段，围堰设置和拆除引起局部水体悬浮物浓度升高，但影响范围有限且影响时间短，围堰设置和拆除结束，影响随之消失；钻孔、清孔、混凝土灌注均在围堰内进行，泥浆废水经处理后泥浆回用、废水用于降尘。施工结束后少量剩余废泥浆经干化后作为原施工场地内沉淀池等平整填埋使用。产生的废水和固废均不排入水体，对水体影响较小。</w:t>
      </w:r>
    </w:p>
    <w:p w14:paraId="06C274BC">
      <w:pPr>
        <w:pStyle w:val="4"/>
        <w:pageBreakBefore w:val="0"/>
        <w:wordWrap/>
        <w:topLinePunct w:val="0"/>
        <w:bidi w:val="0"/>
        <w:spacing w:before="120" w:line="360" w:lineRule="auto"/>
        <w:rPr>
          <w:color w:val="000000" w:themeColor="text1"/>
          <w:highlight w:val="none"/>
        </w:rPr>
      </w:pPr>
      <w:r>
        <w:rPr>
          <w:rFonts w:hint="eastAsia"/>
          <w:color w:val="000000" w:themeColor="text1"/>
          <w:highlight w:val="none"/>
        </w:rPr>
        <w:t>5.4.2</w:t>
      </w:r>
      <w:r>
        <w:rPr>
          <w:color w:val="000000" w:themeColor="text1"/>
          <w:highlight w:val="none"/>
        </w:rPr>
        <w:t>营运期</w:t>
      </w:r>
      <w:bookmarkEnd w:id="388"/>
    </w:p>
    <w:p w14:paraId="216F944B">
      <w:pPr>
        <w:pageBreakBefore w:val="0"/>
        <w:wordWrap/>
        <w:topLinePunct w:val="0"/>
        <w:bidi w:val="0"/>
        <w:spacing w:line="360" w:lineRule="auto"/>
        <w:rPr>
          <w:rFonts w:hint="eastAsia"/>
          <w:color w:val="000000" w:themeColor="text1"/>
          <w:highlight w:val="none"/>
          <w:lang w:val="en-US" w:eastAsia="zh-CN"/>
        </w:rPr>
      </w:pPr>
      <w:bookmarkStart w:id="389" w:name="_Toc397370412"/>
      <w:r>
        <w:rPr>
          <w:rFonts w:hint="eastAsia"/>
          <w:color w:val="000000" w:themeColor="text1"/>
          <w:highlight w:val="none"/>
          <w:lang w:val="en-US" w:eastAsia="zh-CN"/>
        </w:rPr>
        <w:t>路面径流污染物浓度特点为降雨初期到形成路面径流的30min内，路面径流中的悬浮物和油类物质的浓度比较高，30min后其浓度随降雨历时的延长下降较快，化学需氧量浓度随降雨历时的延长下降速度较悬浮物和油类物质慢，降雨经过一段时间后，污染会逐渐降低。</w:t>
      </w:r>
    </w:p>
    <w:p w14:paraId="5DA1E38A">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地面径流中的污染物主要产生在一次降水初期，在路面污染负荷一定的情况下，降雨初期路面径流污染一般随着降雨量的增加而增大，以降雨初期形成的地表径流浓度最高，随降雨径流形成时间延长而逐渐降低，如地面径流散排将对地表水体产生一定不利影响。在运营期中应特别注意保持路面雨水的收集和导排能力，并加强道路路面的清洁工作。本项目道路路面雨水可以排入项目两侧的边沟中，道路径流污染物经过稀释、自净的过程作用后会降低，排入道路两侧的排水沟中</w:t>
      </w:r>
      <w:r>
        <w:rPr>
          <w:color w:val="000000" w:themeColor="text1"/>
          <w:highlight w:val="none"/>
        </w:rPr>
        <w:t>。</w:t>
      </w:r>
    </w:p>
    <w:bookmarkEnd w:id="389"/>
    <w:p w14:paraId="145CC9F6">
      <w:pPr>
        <w:pStyle w:val="3"/>
        <w:pageBreakBefore w:val="0"/>
        <w:wordWrap/>
        <w:topLinePunct w:val="0"/>
        <w:bidi w:val="0"/>
        <w:spacing w:line="360" w:lineRule="auto"/>
        <w:rPr>
          <w:color w:val="000000" w:themeColor="text1"/>
          <w:highlight w:val="none"/>
        </w:rPr>
      </w:pPr>
      <w:bookmarkStart w:id="390" w:name="_Toc15845"/>
      <w:bookmarkStart w:id="391" w:name="_Toc24502"/>
      <w:bookmarkStart w:id="392" w:name="_Toc26188"/>
      <w:bookmarkStart w:id="393" w:name="_Toc26823"/>
      <w:bookmarkStart w:id="394" w:name="_Toc23174"/>
      <w:r>
        <w:rPr>
          <w:rFonts w:hint="eastAsia"/>
          <w:color w:val="000000" w:themeColor="text1"/>
          <w:highlight w:val="none"/>
        </w:rPr>
        <w:t>5.5</w:t>
      </w:r>
      <w:r>
        <w:rPr>
          <w:color w:val="000000" w:themeColor="text1"/>
          <w:highlight w:val="none"/>
        </w:rPr>
        <w:t>固体废物</w:t>
      </w:r>
      <w:bookmarkEnd w:id="390"/>
      <w:bookmarkEnd w:id="391"/>
      <w:bookmarkEnd w:id="392"/>
      <w:bookmarkEnd w:id="393"/>
      <w:bookmarkEnd w:id="394"/>
    </w:p>
    <w:p w14:paraId="41DE3753">
      <w:pPr>
        <w:pStyle w:val="4"/>
        <w:pageBreakBefore w:val="0"/>
        <w:wordWrap/>
        <w:topLinePunct w:val="0"/>
        <w:bidi w:val="0"/>
        <w:spacing w:before="120" w:line="360" w:lineRule="auto"/>
        <w:rPr>
          <w:color w:val="000000" w:themeColor="text1"/>
          <w:highlight w:val="none"/>
        </w:rPr>
      </w:pPr>
      <w:bookmarkStart w:id="395" w:name="_Toc9336"/>
      <w:bookmarkStart w:id="396" w:name="_Toc11947"/>
      <w:r>
        <w:rPr>
          <w:rFonts w:hint="eastAsia"/>
          <w:color w:val="000000" w:themeColor="text1"/>
          <w:highlight w:val="none"/>
        </w:rPr>
        <w:t>5.5.1</w:t>
      </w:r>
      <w:r>
        <w:rPr>
          <w:color w:val="000000" w:themeColor="text1"/>
          <w:highlight w:val="none"/>
        </w:rPr>
        <w:t>施工期</w:t>
      </w:r>
      <w:bookmarkEnd w:id="395"/>
      <w:bookmarkEnd w:id="396"/>
    </w:p>
    <w:p w14:paraId="28EC570D">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5.5.1.1</w:t>
      </w:r>
      <w:r>
        <w:rPr>
          <w:color w:val="000000" w:themeColor="text1"/>
          <w:highlight w:val="none"/>
        </w:rPr>
        <w:t>生活垃圾</w:t>
      </w:r>
    </w:p>
    <w:p w14:paraId="451A6244">
      <w:pPr>
        <w:pageBreakBefore w:val="0"/>
        <w:wordWrap/>
        <w:topLinePunct w:val="0"/>
        <w:bidi w:val="0"/>
        <w:spacing w:line="360" w:lineRule="auto"/>
        <w:rPr>
          <w:color w:val="000000" w:themeColor="text1"/>
          <w:highlight w:val="none"/>
        </w:rPr>
      </w:pPr>
      <w:r>
        <w:rPr>
          <w:color w:val="000000" w:themeColor="text1"/>
          <w:highlight w:val="none"/>
        </w:rPr>
        <w:t>本项目施工生活垃圾产生量为</w:t>
      </w:r>
      <w:r>
        <w:rPr>
          <w:rFonts w:hint="eastAsia"/>
          <w:color w:val="000000" w:themeColor="text1"/>
          <w:highlight w:val="none"/>
          <w:lang w:val="en-US" w:eastAsia="zh-CN"/>
        </w:rPr>
        <w:t>50</w:t>
      </w:r>
      <w:r>
        <w:rPr>
          <w:color w:val="000000" w:themeColor="text1"/>
          <w:highlight w:val="none"/>
        </w:rPr>
        <w:t>kg/d、</w:t>
      </w:r>
      <w:r>
        <w:rPr>
          <w:rFonts w:hint="eastAsia"/>
          <w:color w:val="000000" w:themeColor="text1"/>
          <w:highlight w:val="none"/>
          <w:lang w:val="en-US" w:eastAsia="zh-CN"/>
        </w:rPr>
        <w:t>18</w:t>
      </w:r>
      <w:r>
        <w:rPr>
          <w:color w:val="000000" w:themeColor="text1"/>
          <w:highlight w:val="none"/>
        </w:rPr>
        <w:t>t/施工期，集中收集后，运至市政指定地点由市政统一处理，严禁随意丢弃。</w:t>
      </w:r>
    </w:p>
    <w:p w14:paraId="4CC4DD14">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5.5.1.2</w:t>
      </w:r>
      <w:r>
        <w:rPr>
          <w:color w:val="000000" w:themeColor="text1"/>
          <w:highlight w:val="none"/>
        </w:rPr>
        <w:t>施工弃渣</w:t>
      </w:r>
    </w:p>
    <w:p w14:paraId="66BF9D4E">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sz w:val="24"/>
          <w:szCs w:val="24"/>
          <w:highlight w:val="none"/>
          <w:lang w:val="en-US" w:eastAsia="zh-CN"/>
        </w:rPr>
        <w:t>本项目表土余方3.31万m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全部运至志成村弃渣场，用于对弃渣场内废弃坑塘进行填筑、平整，弃渣场协议见附件9。</w:t>
      </w:r>
      <w:r>
        <w:rPr>
          <w:color w:val="000000" w:themeColor="text1"/>
          <w:highlight w:val="none"/>
        </w:rPr>
        <w:t>工程</w:t>
      </w:r>
      <w:r>
        <w:rPr>
          <w:rFonts w:hint="eastAsia"/>
          <w:color w:val="000000" w:themeColor="text1"/>
          <w:highlight w:val="none"/>
        </w:rPr>
        <w:t>土石方</w:t>
      </w:r>
      <w:r>
        <w:rPr>
          <w:color w:val="000000" w:themeColor="text1"/>
          <w:highlight w:val="none"/>
        </w:rPr>
        <w:t>临时堆置过程主要影响是水土流失，并影响周围景观。</w:t>
      </w:r>
    </w:p>
    <w:p w14:paraId="262BCE42">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5.5.1.</w:t>
      </w:r>
      <w:r>
        <w:rPr>
          <w:rFonts w:hint="eastAsia"/>
          <w:color w:val="000000" w:themeColor="text1"/>
          <w:highlight w:val="none"/>
          <w:lang w:val="en-US" w:eastAsia="zh-CN"/>
        </w:rPr>
        <w:t>3建筑垃圾</w:t>
      </w:r>
    </w:p>
    <w:p w14:paraId="111EFDAD">
      <w:pPr>
        <w:pageBreakBefore w:val="0"/>
        <w:wordWrap/>
        <w:topLinePunct w:val="0"/>
        <w:bidi w:val="0"/>
        <w:spacing w:line="360" w:lineRule="auto"/>
        <w:rPr>
          <w:color w:val="000000" w:themeColor="text1"/>
          <w:highlight w:val="none"/>
        </w:rPr>
      </w:pPr>
      <w:r>
        <w:rPr>
          <w:rFonts w:hint="eastAsia"/>
          <w:color w:val="000000" w:themeColor="text1"/>
          <w:highlight w:val="none"/>
        </w:rPr>
        <w:t>工程施工垃圾主要包括</w:t>
      </w:r>
      <w:r>
        <w:rPr>
          <w:rFonts w:hint="eastAsia"/>
          <w:color w:val="000000" w:themeColor="text1"/>
          <w:highlight w:val="none"/>
          <w:lang w:val="en-US" w:eastAsia="zh-CN"/>
        </w:rPr>
        <w:t>施工建筑材料废包装以及</w:t>
      </w:r>
      <w:r>
        <w:rPr>
          <w:rFonts w:hint="eastAsia"/>
          <w:color w:val="000000" w:themeColor="text1"/>
          <w:highlight w:val="none"/>
        </w:rPr>
        <w:t>施工结束后临时设施拆除会产生一定数量的建筑垃圾。拆除废料、</w:t>
      </w:r>
      <w:r>
        <w:rPr>
          <w:rFonts w:hint="eastAsia"/>
          <w:color w:val="000000" w:themeColor="text1"/>
          <w:highlight w:val="none"/>
          <w:lang w:val="en-US" w:eastAsia="zh-CN"/>
        </w:rPr>
        <w:t>废包装</w:t>
      </w:r>
      <w:r>
        <w:rPr>
          <w:rFonts w:hint="eastAsia"/>
          <w:color w:val="000000" w:themeColor="text1"/>
          <w:highlight w:val="none"/>
        </w:rPr>
        <w:t>若处置不当，将影响沿线环境、景观、占用土地、破坏植被等。</w:t>
      </w:r>
    </w:p>
    <w:p w14:paraId="32F6CB7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val="en-US" w:eastAsia="zh-CN"/>
        </w:rPr>
        <w:t>建筑材料废包装可卖给废品回收公司再利用</w:t>
      </w:r>
      <w:r>
        <w:rPr>
          <w:rFonts w:hint="eastAsia"/>
          <w:color w:val="000000" w:themeColor="text1"/>
          <w:highlight w:val="none"/>
        </w:rPr>
        <w:t>。施工结束后临时工程拆除产生的建筑垃圾可进行分类处理，水泥、石块等建筑垃圾可运往建筑垃圾处置场，经处理后进行综合利用。</w:t>
      </w:r>
    </w:p>
    <w:p w14:paraId="3981462E">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5.5.1.</w:t>
      </w:r>
      <w:r>
        <w:rPr>
          <w:rFonts w:hint="eastAsia"/>
          <w:color w:val="000000" w:themeColor="text1"/>
          <w:highlight w:val="none"/>
          <w:lang w:val="en-US" w:eastAsia="zh-CN"/>
        </w:rPr>
        <w:t>4废泥浆</w:t>
      </w:r>
    </w:p>
    <w:p w14:paraId="20FBC66F">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桥梁施工过程中</w:t>
      </w:r>
      <w:r>
        <w:rPr>
          <w:color w:val="000000" w:themeColor="text1"/>
          <w:highlight w:val="none"/>
        </w:rPr>
        <w:t>泥浆废水经泥浆分离机处理后泥浆重复回用、废水用于降尘</w:t>
      </w:r>
      <w:r>
        <w:rPr>
          <w:rFonts w:hint="eastAsia"/>
          <w:color w:val="000000" w:themeColor="text1"/>
          <w:highlight w:val="none"/>
        </w:rPr>
        <w:t>用水，施工结束后少量剩余废泥浆经干化后作为原施工场地内沉淀池等平整填埋使用。</w:t>
      </w:r>
    </w:p>
    <w:p w14:paraId="6BF63D44">
      <w:pPr>
        <w:pStyle w:val="5"/>
        <w:pageBreakBefore w:val="0"/>
        <w:wordWrap/>
        <w:topLinePunct w:val="0"/>
        <w:bidi w:val="0"/>
        <w:spacing w:before="120" w:line="360" w:lineRule="auto"/>
        <w:rPr>
          <w:rFonts w:hint="eastAsia"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5.5.1.5废油类物质</w:t>
      </w:r>
    </w:p>
    <w:p w14:paraId="7853C0BA">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废油类物质由隔油沉淀池隔离后，不设置单独贮存区，直接委托有相应处理资质的单位处置。</w:t>
      </w:r>
    </w:p>
    <w:p w14:paraId="0B2FBE16">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5.5.1.</w:t>
      </w:r>
      <w:r>
        <w:rPr>
          <w:rFonts w:hint="eastAsia"/>
          <w:color w:val="000000" w:themeColor="text1"/>
          <w:highlight w:val="none"/>
          <w:lang w:val="en-US" w:eastAsia="zh-CN"/>
        </w:rPr>
        <w:t>6评价结论</w:t>
      </w:r>
    </w:p>
    <w:p w14:paraId="36059073">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综上，本项目</w:t>
      </w:r>
      <w:r>
        <w:rPr>
          <w:color w:val="000000" w:themeColor="text1"/>
          <w:highlight w:val="none"/>
        </w:rPr>
        <w:t>施工期固体废物在采取措施后，全部得到处理，处理率100%，不会对环境产生不利影响。</w:t>
      </w:r>
    </w:p>
    <w:p w14:paraId="5B443787">
      <w:pPr>
        <w:pStyle w:val="4"/>
        <w:pageBreakBefore w:val="0"/>
        <w:wordWrap/>
        <w:topLinePunct w:val="0"/>
        <w:bidi w:val="0"/>
        <w:spacing w:before="120" w:line="360" w:lineRule="auto"/>
        <w:rPr>
          <w:color w:val="000000" w:themeColor="text1"/>
          <w:highlight w:val="none"/>
        </w:rPr>
      </w:pPr>
      <w:bookmarkStart w:id="397" w:name="_Toc278"/>
      <w:bookmarkStart w:id="398" w:name="_Toc5728"/>
      <w:r>
        <w:rPr>
          <w:rFonts w:hint="eastAsia"/>
          <w:color w:val="000000" w:themeColor="text1"/>
          <w:highlight w:val="none"/>
        </w:rPr>
        <w:t>5.5.2</w:t>
      </w:r>
      <w:r>
        <w:rPr>
          <w:color w:val="000000" w:themeColor="text1"/>
          <w:highlight w:val="none"/>
        </w:rPr>
        <w:t>营运期</w:t>
      </w:r>
      <w:bookmarkEnd w:id="397"/>
      <w:bookmarkEnd w:id="398"/>
    </w:p>
    <w:p w14:paraId="1DB70D43">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本项目为等级公路建设项目，无服务区、车站等主要集中式排放源，项目运营期自身无固体废物产生，基本不会对周围环境造成影响</w:t>
      </w:r>
      <w:r>
        <w:rPr>
          <w:rFonts w:hint="eastAsia"/>
          <w:color w:val="000000" w:themeColor="text1"/>
          <w:highlight w:val="none"/>
        </w:rPr>
        <w:t>。</w:t>
      </w:r>
    </w:p>
    <w:p w14:paraId="0C3E4E05">
      <w:pPr>
        <w:pStyle w:val="3"/>
        <w:pageBreakBefore w:val="0"/>
        <w:wordWrap/>
        <w:topLinePunct w:val="0"/>
        <w:bidi w:val="0"/>
        <w:spacing w:after="240" w:line="360" w:lineRule="auto"/>
        <w:ind w:left="578" w:hanging="578"/>
        <w:rPr>
          <w:color w:val="000000" w:themeColor="text1"/>
          <w:highlight w:val="none"/>
        </w:rPr>
      </w:pPr>
      <w:bookmarkStart w:id="399" w:name="_Toc18424"/>
      <w:r>
        <w:rPr>
          <w:rFonts w:hint="eastAsia"/>
          <w:color w:val="000000" w:themeColor="text1"/>
          <w:highlight w:val="none"/>
        </w:rPr>
        <w:t>5.</w:t>
      </w:r>
      <w:r>
        <w:rPr>
          <w:rFonts w:hint="eastAsia"/>
          <w:color w:val="000000" w:themeColor="text1"/>
          <w:highlight w:val="none"/>
          <w:lang w:val="en-US" w:eastAsia="zh-CN"/>
        </w:rPr>
        <w:t>6</w:t>
      </w:r>
      <w:r>
        <w:rPr>
          <w:rFonts w:hint="eastAsia"/>
          <w:color w:val="000000" w:themeColor="text1"/>
          <w:highlight w:val="none"/>
        </w:rPr>
        <w:t>水土流失影响分析</w:t>
      </w:r>
      <w:bookmarkEnd w:id="399"/>
    </w:p>
    <w:p w14:paraId="5F8F28F6">
      <w:pPr>
        <w:pStyle w:val="42"/>
        <w:pageBreakBefore w:val="0"/>
        <w:wordWrap/>
        <w:topLinePunct w:val="0"/>
        <w:bidi w:val="0"/>
        <w:spacing w:line="360" w:lineRule="auto"/>
        <w:ind w:firstLine="480" w:firstLineChars="200"/>
        <w:jc w:val="both"/>
        <w:rPr>
          <w:rFonts w:ascii="Times New Roman" w:eastAsia="宋体"/>
          <w:color w:val="000000" w:themeColor="text1"/>
          <w:szCs w:val="32"/>
          <w:highlight w:val="none"/>
        </w:rPr>
      </w:pPr>
      <w:r>
        <w:rPr>
          <w:rFonts w:hint="eastAsia" w:ascii="Times New Roman" w:eastAsia="宋体"/>
          <w:color w:val="000000" w:themeColor="text1"/>
          <w:szCs w:val="32"/>
          <w:highlight w:val="none"/>
        </w:rPr>
        <w:t>本项目为线型项目，</w:t>
      </w:r>
      <w:r>
        <w:rPr>
          <w:rFonts w:hint="eastAsia" w:ascii="Times New Roman" w:eastAsia="宋体"/>
          <w:color w:val="000000" w:themeColor="text1"/>
          <w:szCs w:val="32"/>
          <w:highlight w:val="none"/>
          <w:lang w:val="en-US" w:eastAsia="zh-CN"/>
        </w:rPr>
        <w:t>根据《黑龙江省水土保持规划（2015~2030年）》和《鹤岗市辖区水土保持规划（2019~2030年）》</w:t>
      </w:r>
      <w:r>
        <w:rPr>
          <w:rFonts w:hint="eastAsia" w:ascii="Times New Roman" w:eastAsia="宋体"/>
          <w:color w:val="000000" w:themeColor="text1"/>
          <w:szCs w:val="32"/>
          <w:highlight w:val="none"/>
        </w:rPr>
        <w:t>，项目</w:t>
      </w:r>
      <w:r>
        <w:rPr>
          <w:rFonts w:hint="eastAsia" w:ascii="Times New Roman" w:eastAsia="宋体"/>
          <w:color w:val="000000" w:themeColor="text1"/>
          <w:szCs w:val="32"/>
          <w:highlight w:val="none"/>
          <w:lang w:val="en-US" w:eastAsia="zh-CN"/>
        </w:rPr>
        <w:t>区</w:t>
      </w:r>
      <w:r>
        <w:rPr>
          <w:rFonts w:hint="eastAsia" w:ascii="Times New Roman" w:eastAsia="宋体"/>
          <w:color w:val="000000" w:themeColor="text1"/>
          <w:szCs w:val="32"/>
          <w:highlight w:val="none"/>
        </w:rPr>
        <w:t>属于</w:t>
      </w:r>
      <w:r>
        <w:rPr>
          <w:rFonts w:hint="eastAsia" w:ascii="Times New Roman" w:eastAsia="宋体"/>
          <w:color w:val="000000" w:themeColor="text1"/>
          <w:szCs w:val="32"/>
          <w:highlight w:val="none"/>
          <w:lang w:val="en-US" w:eastAsia="zh-CN"/>
        </w:rPr>
        <w:t>东北漫川漫岗省级水土流失重点治理区和鹤岗市水土流失重点预防区</w:t>
      </w:r>
      <w:r>
        <w:rPr>
          <w:rFonts w:hint="eastAsia" w:ascii="Times New Roman" w:eastAsia="宋体"/>
          <w:color w:val="000000" w:themeColor="text1"/>
          <w:szCs w:val="32"/>
          <w:highlight w:val="none"/>
          <w:lang w:eastAsia="zh-CN"/>
        </w:rPr>
        <w:t>。</w:t>
      </w:r>
      <w:r>
        <w:rPr>
          <w:rFonts w:ascii="Times New Roman" w:eastAsia="宋体"/>
          <w:color w:val="000000" w:themeColor="text1"/>
          <w:szCs w:val="32"/>
          <w:highlight w:val="none"/>
        </w:rPr>
        <w:t>公路建设项目对水土流失的影响主要在建设期和营运初期。建设期是损坏原地貌植被、</w:t>
      </w:r>
      <w:r>
        <w:rPr>
          <w:rFonts w:hint="eastAsia" w:ascii="Times New Roman" w:eastAsia="宋体"/>
          <w:color w:val="000000" w:themeColor="text1"/>
          <w:szCs w:val="32"/>
          <w:highlight w:val="none"/>
        </w:rPr>
        <w:t>土石方堆放</w:t>
      </w:r>
      <w:r>
        <w:rPr>
          <w:rFonts w:ascii="Times New Roman" w:eastAsia="宋体"/>
          <w:color w:val="000000" w:themeColor="text1"/>
          <w:szCs w:val="32"/>
          <w:highlight w:val="none"/>
        </w:rPr>
        <w:t>和弃渣的集中时期，工程用地范围内原地貌植被所具有的水土保持功能迅速降低或丧失，并为水土流失发生发展提供了大量易冲蚀的松散堆积物；营运初期，由于植被恢复是一个缓慢的过程，水土流失程度将明显高于现状水平；营运远期由于植被恢复，边坡和路肩防护完善，沿线水土流失程度将低于现状水平。本项目建设对沿线地区水土流失的影响见图5.</w:t>
      </w:r>
      <w:r>
        <w:rPr>
          <w:rFonts w:hint="eastAsia" w:ascii="Times New Roman" w:eastAsia="宋体"/>
          <w:color w:val="000000" w:themeColor="text1"/>
          <w:szCs w:val="32"/>
          <w:highlight w:val="none"/>
          <w:lang w:val="en-US" w:eastAsia="zh-CN"/>
        </w:rPr>
        <w:t>6</w:t>
      </w:r>
      <w:r>
        <w:rPr>
          <w:rFonts w:ascii="Times New Roman" w:eastAsia="宋体"/>
          <w:color w:val="000000" w:themeColor="text1"/>
          <w:szCs w:val="32"/>
          <w:highlight w:val="none"/>
        </w:rPr>
        <w:t>-1。</w:t>
      </w:r>
    </w:p>
    <w:p w14:paraId="754089F9">
      <w:pPr>
        <w:pageBreakBefore w:val="0"/>
        <w:wordWrap/>
        <w:topLinePunct w:val="0"/>
        <w:bidi w:val="0"/>
        <w:spacing w:line="360" w:lineRule="auto"/>
        <w:ind w:firstLine="0" w:firstLineChars="0"/>
        <w:rPr>
          <w:rFonts w:eastAsia="仿宋_GB2312"/>
          <w:color w:val="000000" w:themeColor="text1"/>
          <w:szCs w:val="32"/>
          <w:highlight w:val="none"/>
        </w:rPr>
      </w:pPr>
      <w:r>
        <w:rPr>
          <w:color w:val="000000" w:themeColor="text1"/>
          <w:highlight w:val="none"/>
        </w:rPr>
        <w:drawing>
          <wp:inline distT="0" distB="0" distL="114300" distR="114300">
            <wp:extent cx="5277485" cy="4060825"/>
            <wp:effectExtent l="19050" t="0" r="0" b="0"/>
            <wp:docPr id="8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图片 1"/>
                    <pic:cNvPicPr>
                      <a:picLocks noChangeAspect="1" noChangeArrowheads="1"/>
                    </pic:cNvPicPr>
                  </pic:nvPicPr>
                  <pic:blipFill>
                    <a:blip r:embed="rId83"/>
                    <a:srcRect/>
                    <a:stretch>
                      <a:fillRect/>
                    </a:stretch>
                  </pic:blipFill>
                  <pic:spPr>
                    <a:xfrm>
                      <a:off x="0" y="0"/>
                      <a:ext cx="5277485" cy="4060825"/>
                    </a:xfrm>
                    <a:prstGeom prst="rect">
                      <a:avLst/>
                    </a:prstGeom>
                    <a:noFill/>
                    <a:ln w="9525" cmpd="sng">
                      <a:noFill/>
                      <a:miter lim="800000"/>
                      <a:headEnd/>
                      <a:tailEnd/>
                    </a:ln>
                  </pic:spPr>
                </pic:pic>
              </a:graphicData>
            </a:graphic>
          </wp:inline>
        </w:drawing>
      </w:r>
    </w:p>
    <w:p w14:paraId="381D33EC">
      <w:pPr>
        <w:pStyle w:val="42"/>
        <w:pageBreakBefore w:val="0"/>
        <w:wordWrap/>
        <w:topLinePunct w:val="0"/>
        <w:bidi w:val="0"/>
        <w:spacing w:line="360" w:lineRule="auto"/>
        <w:jc w:val="center"/>
        <w:rPr>
          <w:rFonts w:ascii="Times New Roman" w:eastAsia="宋体"/>
          <w:b/>
          <w:color w:val="000000" w:themeColor="text1"/>
          <w:kern w:val="2"/>
          <w:highlight w:val="none"/>
        </w:rPr>
      </w:pPr>
      <w:r>
        <w:rPr>
          <w:rFonts w:ascii="Times New Roman" w:eastAsia="宋体"/>
          <w:b/>
          <w:color w:val="000000" w:themeColor="text1"/>
          <w:kern w:val="2"/>
          <w:highlight w:val="none"/>
        </w:rPr>
        <w:t>图5.</w:t>
      </w:r>
      <w:r>
        <w:rPr>
          <w:rFonts w:hint="eastAsia" w:ascii="Times New Roman" w:eastAsia="宋体"/>
          <w:b/>
          <w:color w:val="000000" w:themeColor="text1"/>
          <w:kern w:val="2"/>
          <w:highlight w:val="none"/>
          <w:lang w:val="en-US" w:eastAsia="zh-CN"/>
        </w:rPr>
        <w:t>6</w:t>
      </w:r>
      <w:r>
        <w:rPr>
          <w:rFonts w:ascii="Times New Roman" w:eastAsia="宋体"/>
          <w:b/>
          <w:color w:val="000000" w:themeColor="text1"/>
          <w:kern w:val="2"/>
          <w:highlight w:val="none"/>
        </w:rPr>
        <w:t xml:space="preserve">-1 </w:t>
      </w:r>
      <w:r>
        <w:rPr>
          <w:rFonts w:hint="eastAsia" w:ascii="Times New Roman" w:eastAsia="宋体"/>
          <w:b/>
          <w:color w:val="000000" w:themeColor="text1"/>
          <w:kern w:val="2"/>
          <w:highlight w:val="none"/>
          <w:lang w:val="en-US" w:eastAsia="zh-CN"/>
        </w:rPr>
        <w:t xml:space="preserve"> </w:t>
      </w:r>
      <w:r>
        <w:rPr>
          <w:rFonts w:hint="eastAsia" w:ascii="Times New Roman" w:eastAsia="宋体"/>
          <w:b/>
          <w:color w:val="000000" w:themeColor="text1"/>
          <w:kern w:val="2"/>
          <w:highlight w:val="none"/>
        </w:rPr>
        <w:t>公路建设过程产生水土流失环节示意图</w:t>
      </w:r>
    </w:p>
    <w:p w14:paraId="4C6A7477">
      <w:pPr>
        <w:pStyle w:val="4"/>
        <w:pageBreakBefore w:val="0"/>
        <w:wordWrap/>
        <w:topLinePunct w:val="0"/>
        <w:bidi w:val="0"/>
        <w:spacing w:before="120" w:line="360" w:lineRule="auto"/>
        <w:ind w:left="851" w:hanging="851"/>
        <w:rPr>
          <w:color w:val="000000" w:themeColor="text1"/>
          <w:highlight w:val="none"/>
        </w:rPr>
      </w:pPr>
      <w:r>
        <w:rPr>
          <w:rFonts w:hint="eastAsia"/>
          <w:color w:val="000000" w:themeColor="text1"/>
          <w:highlight w:val="none"/>
        </w:rPr>
        <w:t>5.</w:t>
      </w:r>
      <w:r>
        <w:rPr>
          <w:rFonts w:hint="eastAsia"/>
          <w:color w:val="000000" w:themeColor="text1"/>
          <w:highlight w:val="none"/>
          <w:lang w:val="en-US" w:eastAsia="zh-CN"/>
        </w:rPr>
        <w:t>6</w:t>
      </w:r>
      <w:r>
        <w:rPr>
          <w:rFonts w:hint="eastAsia"/>
          <w:color w:val="000000" w:themeColor="text1"/>
          <w:highlight w:val="none"/>
        </w:rPr>
        <w:t>.1公路建设造成水土流失的环节</w:t>
      </w:r>
    </w:p>
    <w:p w14:paraId="052A1A9E">
      <w:pPr>
        <w:pageBreakBefore w:val="0"/>
        <w:wordWrap/>
        <w:topLinePunct w:val="0"/>
        <w:bidi w:val="0"/>
        <w:spacing w:line="360" w:lineRule="auto"/>
        <w:ind w:left="0" w:leftChars="0" w:firstLine="480" w:firstLineChars="200"/>
        <w:jc w:val="left"/>
        <w:rPr>
          <w:color w:val="000000" w:themeColor="text1"/>
          <w:highlight w:val="none"/>
        </w:rPr>
      </w:pPr>
      <w:r>
        <w:rPr>
          <w:color w:val="000000" w:themeColor="text1"/>
          <w:highlight w:val="none"/>
        </w:rPr>
        <w:t xml:space="preserve">公路建设过程中可能产生加速水土流失的环节，主要表现在以下几个方面： </w:t>
      </w:r>
    </w:p>
    <w:p w14:paraId="575A2472">
      <w:pPr>
        <w:pageBreakBefore w:val="0"/>
        <w:wordWrap/>
        <w:topLinePunct w:val="0"/>
        <w:bidi w:val="0"/>
        <w:spacing w:line="360" w:lineRule="auto"/>
        <w:jc w:val="left"/>
        <w:rPr>
          <w:color w:val="000000" w:themeColor="text1"/>
          <w:highlight w:val="none"/>
        </w:rPr>
      </w:pPr>
      <w:r>
        <w:rPr>
          <w:color w:val="000000" w:themeColor="text1"/>
          <w:highlight w:val="none"/>
        </w:rPr>
        <w:t>1、公路建设过程中由于路基开挖挖损或弃渣压埋，而损坏原地貌形态、地表土壤结构和地面林草、作物植被，使其原有的水土保持功能降低或丧失，对当地生态环境造成一定程度的破坏，使土壤侵蚀强度较背景值显著增加。</w:t>
      </w:r>
    </w:p>
    <w:p w14:paraId="7D1EE571">
      <w:pPr>
        <w:pStyle w:val="42"/>
        <w:pageBreakBefore w:val="0"/>
        <w:wordWrap/>
        <w:topLinePunct w:val="0"/>
        <w:bidi w:val="0"/>
        <w:spacing w:line="360" w:lineRule="auto"/>
        <w:ind w:firstLine="480" w:firstLineChars="200"/>
        <w:jc w:val="both"/>
        <w:rPr>
          <w:rFonts w:ascii="Times New Roman" w:eastAsia="宋体"/>
          <w:color w:val="000000" w:themeColor="text1"/>
          <w:kern w:val="2"/>
          <w:highlight w:val="none"/>
        </w:rPr>
      </w:pPr>
      <w:r>
        <w:rPr>
          <w:rFonts w:ascii="Times New Roman" w:eastAsia="宋体"/>
          <w:color w:val="000000" w:themeColor="text1"/>
          <w:kern w:val="2"/>
          <w:highlight w:val="none"/>
        </w:rPr>
        <w:t>2</w:t>
      </w:r>
      <w:r>
        <w:rPr>
          <w:rFonts w:hint="eastAsia" w:ascii="Times New Roman" w:eastAsia="宋体"/>
          <w:color w:val="000000" w:themeColor="text1"/>
          <w:kern w:val="2"/>
          <w:highlight w:val="none"/>
        </w:rPr>
        <w:t>、</w:t>
      </w:r>
      <w:r>
        <w:rPr>
          <w:rFonts w:ascii="Times New Roman" w:eastAsia="宋体"/>
          <w:color w:val="000000" w:themeColor="text1"/>
          <w:kern w:val="2"/>
          <w:highlight w:val="none"/>
        </w:rPr>
        <w:t>公路施工过程中，施工区的土石渣料，若遇暴雨洪水则不可避免的产生部分水土流失。</w:t>
      </w:r>
    </w:p>
    <w:p w14:paraId="7D553359">
      <w:pPr>
        <w:pStyle w:val="4"/>
        <w:pageBreakBefore w:val="0"/>
        <w:wordWrap/>
        <w:topLinePunct w:val="0"/>
        <w:bidi w:val="0"/>
        <w:spacing w:before="120" w:line="360" w:lineRule="auto"/>
        <w:ind w:left="851" w:hanging="851"/>
        <w:rPr>
          <w:color w:val="000000" w:themeColor="text1"/>
          <w:highlight w:val="none"/>
        </w:rPr>
      </w:pPr>
      <w:r>
        <w:rPr>
          <w:rFonts w:hint="eastAsia"/>
          <w:color w:val="000000" w:themeColor="text1"/>
          <w:highlight w:val="none"/>
        </w:rPr>
        <w:t>5</w:t>
      </w:r>
      <w:r>
        <w:rPr>
          <w:color w:val="000000" w:themeColor="text1"/>
          <w:highlight w:val="none"/>
        </w:rPr>
        <w:t>.</w:t>
      </w:r>
      <w:r>
        <w:rPr>
          <w:rFonts w:hint="eastAsia"/>
          <w:color w:val="000000" w:themeColor="text1"/>
          <w:highlight w:val="none"/>
          <w:lang w:val="en-US" w:eastAsia="zh-CN"/>
        </w:rPr>
        <w:t>6</w:t>
      </w:r>
      <w:r>
        <w:rPr>
          <w:color w:val="000000" w:themeColor="text1"/>
          <w:highlight w:val="none"/>
        </w:rPr>
        <w:t xml:space="preserve">.2 </w:t>
      </w:r>
      <w:r>
        <w:rPr>
          <w:rFonts w:hint="eastAsia"/>
          <w:color w:val="000000" w:themeColor="text1"/>
          <w:highlight w:val="none"/>
        </w:rPr>
        <w:t>施工期水土流失危害分析</w:t>
      </w:r>
    </w:p>
    <w:p w14:paraId="7548EBF3">
      <w:pPr>
        <w:pStyle w:val="42"/>
        <w:pageBreakBefore w:val="0"/>
        <w:wordWrap/>
        <w:topLinePunct w:val="0"/>
        <w:bidi w:val="0"/>
        <w:spacing w:line="360" w:lineRule="auto"/>
        <w:ind w:firstLine="480" w:firstLineChars="200"/>
        <w:jc w:val="both"/>
        <w:rPr>
          <w:rFonts w:ascii="Times New Roman" w:eastAsia="宋体"/>
          <w:color w:val="000000" w:themeColor="text1"/>
          <w:kern w:val="2"/>
          <w:highlight w:val="none"/>
        </w:rPr>
      </w:pPr>
      <w:r>
        <w:rPr>
          <w:rFonts w:ascii="Times New Roman" w:eastAsia="宋体"/>
          <w:color w:val="000000" w:themeColor="text1"/>
          <w:kern w:val="2"/>
          <w:highlight w:val="none"/>
        </w:rPr>
        <w:t>公路施工土石方工程量大，引起的土壤侵蚀也较为严重，流失掉的泥沙作为一种废物或污染物排向施工场地以外的环境。部分泥沙在平缓地区沉积，影响了局部的农业生态系统或自然生态系统的生产力；部分泥沙会被水流带进</w:t>
      </w:r>
      <w:r>
        <w:rPr>
          <w:rFonts w:hint="eastAsia" w:ascii="Times New Roman" w:eastAsia="宋体"/>
          <w:color w:val="000000" w:themeColor="text1"/>
          <w:kern w:val="2"/>
          <w:highlight w:val="none"/>
          <w:lang w:val="en-US" w:eastAsia="zh-CN"/>
        </w:rPr>
        <w:t>河流</w:t>
      </w:r>
      <w:r>
        <w:rPr>
          <w:rFonts w:ascii="Times New Roman" w:eastAsia="宋体"/>
          <w:color w:val="000000" w:themeColor="text1"/>
          <w:kern w:val="2"/>
          <w:highlight w:val="none"/>
        </w:rPr>
        <w:t>，可能造成较为广泛的面源污染</w:t>
      </w:r>
      <w:r>
        <w:rPr>
          <w:rFonts w:hint="eastAsia" w:ascii="Times New Roman" w:eastAsia="宋体"/>
          <w:color w:val="000000" w:themeColor="text1"/>
          <w:kern w:val="2"/>
          <w:highlight w:val="none"/>
        </w:rPr>
        <w:t>。</w:t>
      </w:r>
    </w:p>
    <w:p w14:paraId="4E860B01">
      <w:pPr>
        <w:pageBreakBefore w:val="0"/>
        <w:wordWrap/>
        <w:topLinePunct w:val="0"/>
        <w:bidi w:val="0"/>
        <w:spacing w:line="360" w:lineRule="auto"/>
        <w:rPr>
          <w:color w:val="000000" w:themeColor="text1"/>
          <w:highlight w:val="none"/>
        </w:rPr>
      </w:pPr>
      <w:r>
        <w:rPr>
          <w:color w:val="000000" w:themeColor="text1"/>
          <w:highlight w:val="none"/>
        </w:rPr>
        <w:t>公路施工中的产沙特点是产沙源呈线形分布，而且产沙量依工程进度而变化。产沙较集中的沙</w:t>
      </w:r>
      <w:r>
        <w:rPr>
          <w:rFonts w:hint="eastAsia"/>
          <w:color w:val="000000" w:themeColor="text1"/>
          <w:highlight w:val="none"/>
        </w:rPr>
        <w:t>源</w:t>
      </w:r>
      <w:r>
        <w:rPr>
          <w:color w:val="000000" w:themeColor="text1"/>
          <w:highlight w:val="none"/>
        </w:rPr>
        <w:t>是高填路堤、深挖路堑、</w:t>
      </w:r>
      <w:r>
        <w:rPr>
          <w:rFonts w:hint="eastAsia"/>
          <w:color w:val="000000" w:themeColor="text1"/>
          <w:highlight w:val="none"/>
        </w:rPr>
        <w:t>土方临时堆存场</w:t>
      </w:r>
      <w:r>
        <w:rPr>
          <w:color w:val="000000" w:themeColor="text1"/>
          <w:highlight w:val="none"/>
        </w:rPr>
        <w:t>等，泥沙的特点是颗粒粗大，细土占比例小。</w:t>
      </w:r>
    </w:p>
    <w:p w14:paraId="51E22EC7">
      <w:pPr>
        <w:pageBreakBefore w:val="0"/>
        <w:wordWrap/>
        <w:topLinePunct w:val="0"/>
        <w:bidi w:val="0"/>
        <w:spacing w:line="360" w:lineRule="auto"/>
        <w:ind w:firstLineChars="0"/>
        <w:rPr>
          <w:color w:val="000000" w:themeColor="text1"/>
          <w:highlight w:val="none"/>
        </w:rPr>
      </w:pPr>
      <w:r>
        <w:rPr>
          <w:color w:val="000000" w:themeColor="text1"/>
          <w:highlight w:val="none"/>
        </w:rPr>
        <w:t xml:space="preserve">1、对农田的影响 </w:t>
      </w:r>
    </w:p>
    <w:p w14:paraId="037E1A4A">
      <w:pPr>
        <w:pageBreakBefore w:val="0"/>
        <w:wordWrap/>
        <w:topLinePunct w:val="0"/>
        <w:bidi w:val="0"/>
        <w:spacing w:line="360" w:lineRule="auto"/>
        <w:ind w:firstLineChars="0"/>
        <w:rPr>
          <w:color w:val="000000" w:themeColor="text1"/>
          <w:highlight w:val="none"/>
        </w:rPr>
      </w:pPr>
      <w:r>
        <w:rPr>
          <w:color w:val="000000" w:themeColor="text1"/>
          <w:highlight w:val="none"/>
        </w:rPr>
        <w:t>公路施工期水土流失对农田的影响方式有两种。一种是在通过农田的路段，特别是路堤、桥梁或交叉点，降雨所侵蚀掉的泥沙会直接排往工程区域外的农田，由于地势变缓，其中大部分泥沙沉积下来，形成</w:t>
      </w:r>
      <w:r>
        <w:rPr>
          <w:rFonts w:hint="eastAsia"/>
          <w:color w:val="000000" w:themeColor="text1"/>
          <w:highlight w:val="none"/>
          <w:lang w:eastAsia="zh-CN"/>
        </w:rPr>
        <w:t>“</w:t>
      </w:r>
      <w:r>
        <w:rPr>
          <w:color w:val="000000" w:themeColor="text1"/>
          <w:highlight w:val="none"/>
        </w:rPr>
        <w:t>沙压农田</w:t>
      </w:r>
      <w:r>
        <w:rPr>
          <w:rFonts w:hint="eastAsia"/>
          <w:color w:val="000000" w:themeColor="text1"/>
          <w:highlight w:val="none"/>
          <w:lang w:eastAsia="zh-CN"/>
        </w:rPr>
        <w:t>”</w:t>
      </w:r>
      <w:r>
        <w:rPr>
          <w:color w:val="000000" w:themeColor="text1"/>
          <w:highlight w:val="none"/>
        </w:rPr>
        <w:t>。另一种方式是泥沙中细小的部分会随水流往下游，以</w:t>
      </w:r>
      <w:r>
        <w:rPr>
          <w:rFonts w:hint="eastAsia"/>
          <w:color w:val="000000" w:themeColor="text1"/>
          <w:highlight w:val="none"/>
          <w:lang w:eastAsia="zh-CN"/>
        </w:rPr>
        <w:t>“</w:t>
      </w:r>
      <w:r>
        <w:rPr>
          <w:color w:val="000000" w:themeColor="text1"/>
          <w:highlight w:val="none"/>
        </w:rPr>
        <w:t>黄泥水</w:t>
      </w:r>
      <w:r>
        <w:rPr>
          <w:rFonts w:hint="eastAsia"/>
          <w:color w:val="000000" w:themeColor="text1"/>
          <w:highlight w:val="none"/>
          <w:lang w:eastAsia="zh-CN"/>
        </w:rPr>
        <w:t>”</w:t>
      </w:r>
      <w:r>
        <w:rPr>
          <w:color w:val="000000" w:themeColor="text1"/>
          <w:highlight w:val="none"/>
        </w:rPr>
        <w:t>的形式进入农田，对农田产生进一步的影响。</w:t>
      </w:r>
    </w:p>
    <w:p w14:paraId="691B9D99">
      <w:pPr>
        <w:pageBreakBefore w:val="0"/>
        <w:wordWrap/>
        <w:topLinePunct w:val="0"/>
        <w:bidi w:val="0"/>
        <w:spacing w:line="360" w:lineRule="auto"/>
        <w:ind w:firstLineChars="0"/>
        <w:rPr>
          <w:color w:val="000000" w:themeColor="text1"/>
          <w:highlight w:val="none"/>
        </w:rPr>
      </w:pPr>
      <w:r>
        <w:rPr>
          <w:color w:val="000000" w:themeColor="text1"/>
          <w:highlight w:val="none"/>
        </w:rPr>
        <w:t xml:space="preserve">2、对河流的影响 </w:t>
      </w:r>
    </w:p>
    <w:p w14:paraId="2A3983FB">
      <w:pPr>
        <w:pageBreakBefore w:val="0"/>
        <w:wordWrap/>
        <w:topLinePunct w:val="0"/>
        <w:bidi w:val="0"/>
        <w:spacing w:line="360" w:lineRule="auto"/>
        <w:ind w:firstLineChars="0"/>
        <w:rPr>
          <w:color w:val="000000" w:themeColor="text1"/>
          <w:highlight w:val="none"/>
        </w:rPr>
      </w:pPr>
      <w:r>
        <w:rPr>
          <w:color w:val="000000" w:themeColor="text1"/>
          <w:highlight w:val="none"/>
        </w:rPr>
        <w:t>工程产沙有一部分会被流水带入流域的最低处即河流。泥沙进入河流后则以悬移质和推移质两种形式运动，在流速小的地方，特别是河口和河湾处沉积。泥沙对河流的影响包括淤塞河道，使行洪断面变窄变浅，增加洪水危害、增加河水含沙量、影响水质等。</w:t>
      </w:r>
    </w:p>
    <w:p w14:paraId="7CE1890B">
      <w:pPr>
        <w:pStyle w:val="4"/>
        <w:pageBreakBefore w:val="0"/>
        <w:wordWrap/>
        <w:topLinePunct w:val="0"/>
        <w:bidi w:val="0"/>
        <w:spacing w:before="120" w:line="360" w:lineRule="auto"/>
        <w:ind w:left="851" w:hanging="851"/>
        <w:rPr>
          <w:color w:val="000000" w:themeColor="text1"/>
          <w:highlight w:val="none"/>
        </w:rPr>
      </w:pPr>
      <w:r>
        <w:rPr>
          <w:color w:val="000000" w:themeColor="text1"/>
          <w:highlight w:val="none"/>
        </w:rPr>
        <w:t>5.</w:t>
      </w:r>
      <w:r>
        <w:rPr>
          <w:rFonts w:hint="eastAsia"/>
          <w:color w:val="000000" w:themeColor="text1"/>
          <w:highlight w:val="none"/>
          <w:lang w:val="en-US" w:eastAsia="zh-CN"/>
        </w:rPr>
        <w:t>6</w:t>
      </w:r>
      <w:r>
        <w:rPr>
          <w:color w:val="000000" w:themeColor="text1"/>
          <w:highlight w:val="none"/>
        </w:rPr>
        <w:t>.3</w:t>
      </w:r>
      <w:r>
        <w:rPr>
          <w:rFonts w:hint="eastAsia"/>
          <w:color w:val="000000" w:themeColor="text1"/>
          <w:highlight w:val="none"/>
        </w:rPr>
        <w:t>运营期水土流失危害分析</w:t>
      </w:r>
    </w:p>
    <w:p w14:paraId="1722CEE3">
      <w:pPr>
        <w:pageBreakBefore w:val="0"/>
        <w:wordWrap/>
        <w:topLinePunct w:val="0"/>
        <w:bidi w:val="0"/>
        <w:spacing w:line="360" w:lineRule="auto"/>
        <w:rPr>
          <w:rFonts w:eastAsia="仿宋_GB2312"/>
          <w:color w:val="000000" w:themeColor="text1"/>
          <w:szCs w:val="32"/>
          <w:highlight w:val="none"/>
        </w:rPr>
      </w:pPr>
      <w:r>
        <w:rPr>
          <w:color w:val="000000" w:themeColor="text1"/>
          <w:highlight w:val="none"/>
        </w:rPr>
        <w:t>在运营初年土质边坡上的植被如草、灌木均未得到良好的恢复，后期的人工绿化措施有待于逐步完善，坡面上植被覆盖率正逐年增大，此时水土流失仍将存在，但已得到明显控制，数量不会太大。在营运2～3年后，公路建设所引起的水土流失量将得到有效控制，沿线各种设施的水土保持效果恢复到建路前水平，甚至优于建路前水平</w:t>
      </w:r>
      <w:r>
        <w:rPr>
          <w:rFonts w:hint="eastAsia"/>
          <w:color w:val="000000" w:themeColor="text1"/>
          <w:highlight w:val="none"/>
        </w:rPr>
        <w:t>。</w:t>
      </w:r>
    </w:p>
    <w:p w14:paraId="1B487377">
      <w:pPr>
        <w:pageBreakBefore w:val="0"/>
        <w:widowControl/>
        <w:wordWrap/>
        <w:topLinePunct w:val="0"/>
        <w:bidi w:val="0"/>
        <w:spacing w:line="360" w:lineRule="auto"/>
        <w:rPr>
          <w:color w:val="000000" w:themeColor="text1"/>
          <w:highlight w:val="none"/>
        </w:rPr>
      </w:pPr>
    </w:p>
    <w:p w14:paraId="5DA8F02F">
      <w:pPr>
        <w:pageBreakBefore w:val="0"/>
        <w:wordWrap/>
        <w:topLinePunct w:val="0"/>
        <w:bidi w:val="0"/>
        <w:spacing w:line="360" w:lineRule="auto"/>
        <w:rPr>
          <w:rFonts w:eastAsia="仿宋_GB2312"/>
          <w:color w:val="000000" w:themeColor="text1"/>
          <w:szCs w:val="32"/>
          <w:highlight w:val="none"/>
        </w:rPr>
        <w:sectPr>
          <w:footerReference r:id="rId17" w:type="default"/>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p>
    <w:p w14:paraId="32567788">
      <w:pPr>
        <w:pStyle w:val="2"/>
        <w:pageBreakBefore w:val="0"/>
        <w:wordWrap/>
        <w:topLinePunct w:val="0"/>
        <w:bidi w:val="0"/>
        <w:spacing w:line="360" w:lineRule="auto"/>
        <w:ind w:left="431" w:hanging="431"/>
        <w:jc w:val="center"/>
        <w:rPr>
          <w:color w:val="000000" w:themeColor="text1"/>
          <w:highlight w:val="none"/>
        </w:rPr>
      </w:pPr>
      <w:bookmarkStart w:id="400" w:name="_Toc1709"/>
      <w:bookmarkStart w:id="401" w:name="_Toc8095"/>
      <w:bookmarkStart w:id="402" w:name="_Toc8075"/>
      <w:bookmarkStart w:id="403" w:name="_Toc397591594"/>
      <w:bookmarkStart w:id="404" w:name="_Toc19977"/>
      <w:bookmarkStart w:id="405" w:name="_Toc26972"/>
      <w:r>
        <w:rPr>
          <w:rFonts w:hint="eastAsia"/>
          <w:color w:val="000000" w:themeColor="text1"/>
          <w:highlight w:val="none"/>
        </w:rPr>
        <w:t xml:space="preserve">6 </w:t>
      </w:r>
      <w:r>
        <w:rPr>
          <w:color w:val="000000" w:themeColor="text1"/>
          <w:highlight w:val="none"/>
        </w:rPr>
        <w:t>环境风险分析</w:t>
      </w:r>
      <w:bookmarkEnd w:id="400"/>
      <w:bookmarkEnd w:id="401"/>
      <w:bookmarkEnd w:id="402"/>
      <w:bookmarkEnd w:id="403"/>
      <w:bookmarkEnd w:id="404"/>
      <w:bookmarkEnd w:id="405"/>
    </w:p>
    <w:p w14:paraId="1C93CE7E">
      <w:pPr>
        <w:pStyle w:val="3"/>
        <w:pageBreakBefore w:val="0"/>
        <w:wordWrap/>
        <w:topLinePunct w:val="0"/>
        <w:bidi w:val="0"/>
        <w:spacing w:line="360" w:lineRule="auto"/>
        <w:rPr>
          <w:color w:val="000000" w:themeColor="text1"/>
          <w:highlight w:val="none"/>
        </w:rPr>
      </w:pPr>
      <w:bookmarkStart w:id="406" w:name="_Toc5375"/>
      <w:bookmarkStart w:id="407" w:name="_Toc18120"/>
      <w:bookmarkStart w:id="408" w:name="_Toc18717"/>
      <w:bookmarkStart w:id="409" w:name="_Toc10309"/>
      <w:bookmarkStart w:id="410" w:name="_Toc20997"/>
      <w:bookmarkStart w:id="411" w:name="_Toc397591595"/>
      <w:r>
        <w:rPr>
          <w:rFonts w:hint="eastAsia"/>
          <w:color w:val="000000" w:themeColor="text1"/>
          <w:highlight w:val="none"/>
        </w:rPr>
        <w:t>6</w:t>
      </w:r>
      <w:r>
        <w:rPr>
          <w:color w:val="000000" w:themeColor="text1"/>
          <w:highlight w:val="none"/>
        </w:rPr>
        <w:t>.1评价目的</w:t>
      </w:r>
      <w:bookmarkEnd w:id="406"/>
      <w:bookmarkEnd w:id="407"/>
      <w:bookmarkEnd w:id="408"/>
      <w:bookmarkEnd w:id="409"/>
      <w:bookmarkEnd w:id="410"/>
    </w:p>
    <w:p w14:paraId="081196B3">
      <w:pPr>
        <w:pageBreakBefore w:val="0"/>
        <w:wordWrap/>
        <w:topLinePunct w:val="0"/>
        <w:bidi w:val="0"/>
        <w:spacing w:line="360" w:lineRule="auto"/>
        <w:rPr>
          <w:color w:val="000000" w:themeColor="text1"/>
          <w:highlight w:val="none"/>
        </w:rPr>
      </w:pPr>
      <w:r>
        <w:rPr>
          <w:color w:val="000000" w:themeColor="text1"/>
          <w:highlight w:val="none"/>
        </w:rPr>
        <w:t>本次风险评价按照国家环境保护总局环境风险评价管理文件及风险评价导则的相关要求，采用风险识别、风险分析和对环境后果计算等方法进行环境风险评价，了解建设项目环境风险的可接受程度，提出减少风险的事故应急措施及应急预案，为工程设计和环境管理提供资料和依据，以期达到降低危险，减少公害的目的。</w:t>
      </w:r>
    </w:p>
    <w:bookmarkEnd w:id="411"/>
    <w:p w14:paraId="01801C5D">
      <w:pPr>
        <w:pStyle w:val="3"/>
        <w:pageBreakBefore w:val="0"/>
        <w:wordWrap/>
        <w:topLinePunct w:val="0"/>
        <w:bidi w:val="0"/>
        <w:spacing w:line="360" w:lineRule="auto"/>
        <w:rPr>
          <w:color w:val="000000" w:themeColor="text1"/>
          <w:szCs w:val="28"/>
          <w:highlight w:val="none"/>
        </w:rPr>
      </w:pPr>
      <w:bookmarkStart w:id="412" w:name="_Toc29197"/>
      <w:bookmarkStart w:id="413" w:name="_Toc15880"/>
      <w:bookmarkStart w:id="414" w:name="_Toc22315"/>
      <w:bookmarkStart w:id="415" w:name="_Toc8337"/>
      <w:bookmarkStart w:id="416" w:name="_Toc518574383"/>
      <w:r>
        <w:rPr>
          <w:rFonts w:hint="eastAsia"/>
          <w:color w:val="000000" w:themeColor="text1"/>
          <w:highlight w:val="none"/>
        </w:rPr>
        <w:t>6</w:t>
      </w:r>
      <w:r>
        <w:rPr>
          <w:color w:val="000000" w:themeColor="text1"/>
          <w:highlight w:val="none"/>
        </w:rPr>
        <w:t>.2风险识别</w:t>
      </w:r>
      <w:bookmarkEnd w:id="412"/>
      <w:bookmarkEnd w:id="413"/>
      <w:bookmarkEnd w:id="414"/>
      <w:bookmarkEnd w:id="415"/>
      <w:bookmarkEnd w:id="416"/>
    </w:p>
    <w:p w14:paraId="14B998ED">
      <w:pPr>
        <w:pStyle w:val="4"/>
        <w:pageBreakBefore w:val="0"/>
        <w:wordWrap/>
        <w:topLinePunct w:val="0"/>
        <w:bidi w:val="0"/>
        <w:spacing w:before="120" w:line="360" w:lineRule="auto"/>
        <w:ind w:left="851" w:hanging="851"/>
        <w:rPr>
          <w:color w:val="000000" w:themeColor="text1"/>
          <w:highlight w:val="none"/>
        </w:rPr>
      </w:pPr>
      <w:bookmarkStart w:id="417" w:name="_Toc14534"/>
      <w:bookmarkStart w:id="418" w:name="_Toc9502"/>
      <w:r>
        <w:rPr>
          <w:rFonts w:hint="eastAsia"/>
          <w:color w:val="000000" w:themeColor="text1"/>
          <w:highlight w:val="none"/>
        </w:rPr>
        <w:t>6</w:t>
      </w:r>
      <w:r>
        <w:rPr>
          <w:color w:val="000000" w:themeColor="text1"/>
          <w:highlight w:val="none"/>
        </w:rPr>
        <w:t>.2.1施工期</w:t>
      </w:r>
      <w:bookmarkEnd w:id="417"/>
      <w:bookmarkEnd w:id="418"/>
    </w:p>
    <w:p w14:paraId="26391BCA">
      <w:pPr>
        <w:pageBreakBefore w:val="0"/>
        <w:wordWrap/>
        <w:topLinePunct w:val="0"/>
        <w:bidi w:val="0"/>
        <w:spacing w:line="360" w:lineRule="auto"/>
        <w:rPr>
          <w:color w:val="000000" w:themeColor="text1"/>
          <w:highlight w:val="none"/>
        </w:rPr>
      </w:pPr>
      <w:r>
        <w:rPr>
          <w:color w:val="000000" w:themeColor="text1"/>
          <w:highlight w:val="none"/>
        </w:rPr>
        <w:t>本项目施工期施工机械作业时，由于管理疏忽、操作违反规程或失误等原因引起油类跑、冒、滴、漏等事故，这类溢油事故风险相对较小，但会对水体造成污染。</w:t>
      </w:r>
    </w:p>
    <w:p w14:paraId="1C07BE35">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施工期如钻孔泥浆、钻渣发生泄露，会对水体造成污染。</w:t>
      </w:r>
    </w:p>
    <w:p w14:paraId="5C9C4C00">
      <w:pPr>
        <w:pStyle w:val="4"/>
        <w:pageBreakBefore w:val="0"/>
        <w:wordWrap/>
        <w:topLinePunct w:val="0"/>
        <w:bidi w:val="0"/>
        <w:spacing w:before="120" w:line="360" w:lineRule="auto"/>
        <w:ind w:left="851" w:hanging="851"/>
        <w:rPr>
          <w:color w:val="000000" w:themeColor="text1"/>
          <w:highlight w:val="none"/>
        </w:rPr>
      </w:pPr>
      <w:bookmarkStart w:id="419" w:name="_Toc208911813"/>
      <w:bookmarkStart w:id="420" w:name="_Toc3630"/>
      <w:bookmarkStart w:id="421" w:name="_Toc10533"/>
      <w:bookmarkStart w:id="422" w:name="_Toc306365764"/>
      <w:r>
        <w:rPr>
          <w:color w:val="000000" w:themeColor="text1"/>
          <w:highlight w:val="none"/>
        </w:rPr>
        <w:t>6.2.2运营期</w:t>
      </w:r>
      <w:bookmarkEnd w:id="419"/>
      <w:bookmarkEnd w:id="420"/>
      <w:bookmarkEnd w:id="421"/>
      <w:bookmarkEnd w:id="422"/>
    </w:p>
    <w:p w14:paraId="5D168EE3">
      <w:pPr>
        <w:pageBreakBefore w:val="0"/>
        <w:wordWrap/>
        <w:topLinePunct w:val="0"/>
        <w:bidi w:val="0"/>
        <w:spacing w:line="360" w:lineRule="auto"/>
        <w:rPr>
          <w:color w:val="000000" w:themeColor="text1"/>
          <w:highlight w:val="none"/>
        </w:rPr>
      </w:pPr>
      <w:r>
        <w:rPr>
          <w:color w:val="000000" w:themeColor="text1"/>
          <w:highlight w:val="none"/>
        </w:rPr>
        <w:t>本项目营运期主要污染为汽车尾气，一般情况下，道路对沿线区域的环境质量不会造成不利影响。然而，由于公路上行驶车辆难免因各种原因发生意外，造成车辆颠覆，从而导致货物破损和人员伤亡。从环境风险角度考虑，货物破损特别是化学危险品运输事故</w:t>
      </w:r>
      <w:r>
        <w:rPr>
          <w:rFonts w:hint="eastAsia"/>
          <w:color w:val="000000" w:themeColor="text1"/>
          <w:highlight w:val="none"/>
          <w:lang w:val="en-US" w:eastAsia="zh-CN"/>
        </w:rPr>
        <w:t>是</w:t>
      </w:r>
      <w:r>
        <w:rPr>
          <w:color w:val="000000" w:themeColor="text1"/>
          <w:highlight w:val="none"/>
        </w:rPr>
        <w:t>本项目环境风险事故的主要源头。</w:t>
      </w:r>
    </w:p>
    <w:p w14:paraId="0B844DE7">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6</w:t>
      </w:r>
      <w:r>
        <w:rPr>
          <w:color w:val="000000" w:themeColor="text1"/>
          <w:highlight w:val="none"/>
        </w:rPr>
        <w:t>.2.2.1预测模式</w:t>
      </w:r>
    </w:p>
    <w:p w14:paraId="3EE7F97B">
      <w:pPr>
        <w:pageBreakBefore w:val="0"/>
        <w:wordWrap/>
        <w:topLinePunct w:val="0"/>
        <w:bidi w:val="0"/>
        <w:spacing w:line="360" w:lineRule="auto"/>
        <w:rPr>
          <w:color w:val="000000" w:themeColor="text1"/>
          <w:highlight w:val="none"/>
        </w:rPr>
      </w:pPr>
      <w:bookmarkStart w:id="423" w:name="_Hlk77168568"/>
      <w:r>
        <w:rPr>
          <w:color w:val="000000" w:themeColor="text1"/>
          <w:highlight w:val="none"/>
        </w:rPr>
        <w:t>本工程预测年全路段或其跨河（沟）路段危险品运输车辆可能发生交通事故次数，概率计算公式为：</w:t>
      </w:r>
    </w:p>
    <w:p w14:paraId="746F6D7C">
      <w:pPr>
        <w:pageBreakBefore w:val="0"/>
        <w:wordWrap/>
        <w:topLinePunct w:val="0"/>
        <w:bidi w:val="0"/>
        <w:spacing w:line="360" w:lineRule="auto"/>
        <w:ind w:left="0" w:leftChars="0" w:firstLine="0" w:firstLineChars="0"/>
        <w:jc w:val="center"/>
        <w:rPr>
          <w:color w:val="000000" w:themeColor="text1"/>
          <w:highlight w:val="none"/>
          <w:lang w:val="pt-BR"/>
        </w:rPr>
      </w:pPr>
      <w:r>
        <w:rPr>
          <w:color w:val="000000" w:themeColor="text1"/>
          <w:highlight w:val="none"/>
          <w:lang w:val="pt-BR"/>
        </w:rPr>
        <w:t>P</w:t>
      </w:r>
      <w:r>
        <w:rPr>
          <w:color w:val="000000" w:themeColor="text1"/>
          <w:highlight w:val="none"/>
          <w:vertAlign w:val="subscript"/>
          <w:lang w:val="pt-BR"/>
        </w:rPr>
        <w:t>ij</w:t>
      </w:r>
      <w:r>
        <w:rPr>
          <w:color w:val="000000" w:themeColor="text1"/>
          <w:highlight w:val="none"/>
          <w:lang w:val="pt-BR"/>
        </w:rPr>
        <w:t>=A·B·C·D·E/F</w:t>
      </w:r>
    </w:p>
    <w:p w14:paraId="49BD8154">
      <w:pPr>
        <w:pageBreakBefore w:val="0"/>
        <w:wordWrap/>
        <w:topLinePunct w:val="0"/>
        <w:bidi w:val="0"/>
        <w:spacing w:line="360" w:lineRule="auto"/>
        <w:rPr>
          <w:color w:val="000000" w:themeColor="text1"/>
          <w:highlight w:val="none"/>
        </w:rPr>
      </w:pPr>
      <w:r>
        <w:rPr>
          <w:color w:val="000000" w:themeColor="text1"/>
          <w:highlight w:val="none"/>
        </w:rPr>
        <w:t>式中：P</w:t>
      </w:r>
      <w:r>
        <w:rPr>
          <w:color w:val="000000" w:themeColor="text1"/>
          <w:highlight w:val="none"/>
          <w:vertAlign w:val="subscript"/>
        </w:rPr>
        <w:t>ij</w:t>
      </w:r>
      <w:r>
        <w:rPr>
          <w:color w:val="000000" w:themeColor="text1"/>
          <w:highlight w:val="none"/>
        </w:rPr>
        <w:t>—在拟建公路全段或考核路段上预测年危险品运输车辆交通事故概率，次/年；</w:t>
      </w:r>
    </w:p>
    <w:p w14:paraId="4E663C2C">
      <w:pPr>
        <w:pageBreakBefore w:val="0"/>
        <w:wordWrap/>
        <w:topLinePunct w:val="0"/>
        <w:bidi w:val="0"/>
        <w:spacing w:line="360" w:lineRule="auto"/>
        <w:rPr>
          <w:color w:val="000000" w:themeColor="text1"/>
          <w:highlight w:val="none"/>
        </w:rPr>
      </w:pPr>
      <w:r>
        <w:rPr>
          <w:color w:val="000000" w:themeColor="text1"/>
          <w:highlight w:val="none"/>
        </w:rPr>
        <w:t>A—某段某一基年交通事故率，次/百万车•km；</w:t>
      </w:r>
    </w:p>
    <w:p w14:paraId="21EF6936">
      <w:pPr>
        <w:pageBreakBefore w:val="0"/>
        <w:wordWrap/>
        <w:topLinePunct w:val="0"/>
        <w:bidi w:val="0"/>
        <w:spacing w:line="360" w:lineRule="auto"/>
        <w:rPr>
          <w:color w:val="000000" w:themeColor="text1"/>
          <w:highlight w:val="none"/>
        </w:rPr>
      </w:pPr>
      <w:r>
        <w:rPr>
          <w:color w:val="000000" w:themeColor="text1"/>
          <w:highlight w:val="none"/>
        </w:rPr>
        <w:t>B—某段危险品运输车辆所占比重%；</w:t>
      </w:r>
    </w:p>
    <w:p w14:paraId="7C554B68">
      <w:pPr>
        <w:pageBreakBefore w:val="0"/>
        <w:wordWrap/>
        <w:topLinePunct w:val="0"/>
        <w:bidi w:val="0"/>
        <w:spacing w:line="360" w:lineRule="auto"/>
        <w:rPr>
          <w:color w:val="000000" w:themeColor="text1"/>
          <w:highlight w:val="none"/>
        </w:rPr>
      </w:pPr>
      <w:r>
        <w:rPr>
          <w:color w:val="000000" w:themeColor="text1"/>
          <w:highlight w:val="none"/>
        </w:rPr>
        <w:t>C—预测年拟建公路全路段年均交通量，百万辆/年；</w:t>
      </w:r>
    </w:p>
    <w:p w14:paraId="1E9B59FE">
      <w:pPr>
        <w:pageBreakBefore w:val="0"/>
        <w:wordWrap/>
        <w:topLinePunct w:val="0"/>
        <w:bidi w:val="0"/>
        <w:spacing w:line="360" w:lineRule="auto"/>
        <w:rPr>
          <w:color w:val="000000" w:themeColor="text1"/>
          <w:highlight w:val="none"/>
        </w:rPr>
      </w:pPr>
      <w:r>
        <w:rPr>
          <w:color w:val="000000" w:themeColor="text1"/>
          <w:highlight w:val="none"/>
        </w:rPr>
        <w:t>D—考核路段（全路段或跨越河溪段桥梁）长度，km；</w:t>
      </w:r>
    </w:p>
    <w:p w14:paraId="010E53D1">
      <w:pPr>
        <w:pageBreakBefore w:val="0"/>
        <w:wordWrap/>
        <w:topLinePunct w:val="0"/>
        <w:bidi w:val="0"/>
        <w:spacing w:line="360" w:lineRule="auto"/>
        <w:rPr>
          <w:color w:val="000000" w:themeColor="text1"/>
          <w:highlight w:val="none"/>
        </w:rPr>
      </w:pPr>
      <w:r>
        <w:rPr>
          <w:color w:val="000000" w:themeColor="text1"/>
          <w:highlight w:val="none"/>
        </w:rPr>
        <w:t>E—公路对交通事故的降低系数</w:t>
      </w:r>
      <w:r>
        <w:rPr>
          <w:rFonts w:hint="eastAsia"/>
          <w:color w:val="000000" w:themeColor="text1"/>
          <w:highlight w:val="none"/>
          <w:lang w:eastAsia="zh-CN"/>
        </w:rPr>
        <w:t>（</w:t>
      </w:r>
      <w:r>
        <w:rPr>
          <w:color w:val="000000" w:themeColor="text1"/>
          <w:highlight w:val="none"/>
        </w:rPr>
        <w:t>%</w:t>
      </w:r>
      <w:r>
        <w:rPr>
          <w:rFonts w:hint="eastAsia"/>
          <w:color w:val="000000" w:themeColor="text1"/>
          <w:highlight w:val="none"/>
          <w:lang w:eastAsia="zh-CN"/>
        </w:rPr>
        <w:t>）</w:t>
      </w:r>
      <w:r>
        <w:rPr>
          <w:color w:val="000000" w:themeColor="text1"/>
          <w:highlight w:val="none"/>
        </w:rPr>
        <w:t>；</w:t>
      </w:r>
    </w:p>
    <w:p w14:paraId="46BBAB5D">
      <w:pPr>
        <w:pageBreakBefore w:val="0"/>
        <w:wordWrap/>
        <w:topLinePunct w:val="0"/>
        <w:bidi w:val="0"/>
        <w:spacing w:line="360" w:lineRule="auto"/>
        <w:rPr>
          <w:color w:val="000000" w:themeColor="text1"/>
          <w:highlight w:val="none"/>
        </w:rPr>
      </w:pPr>
      <w:r>
        <w:rPr>
          <w:color w:val="000000" w:themeColor="text1"/>
          <w:highlight w:val="none"/>
        </w:rPr>
        <w:t>F—危险品运输车辆交通安全系数。</w:t>
      </w:r>
    </w:p>
    <w:p w14:paraId="145B9FB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6</w:t>
      </w:r>
      <w:r>
        <w:rPr>
          <w:color w:val="000000" w:themeColor="text1"/>
          <w:highlight w:val="none"/>
        </w:rPr>
        <w:t>.2.2.2各预测参数的确定</w:t>
      </w:r>
    </w:p>
    <w:p w14:paraId="2FAC10E2">
      <w:pPr>
        <w:pageBreakBefore w:val="0"/>
        <w:wordWrap/>
        <w:topLinePunct w:val="0"/>
        <w:bidi w:val="0"/>
        <w:spacing w:line="360" w:lineRule="auto"/>
        <w:rPr>
          <w:color w:val="000000" w:themeColor="text1"/>
          <w:highlight w:val="none"/>
        </w:rPr>
      </w:pPr>
      <w:r>
        <w:rPr>
          <w:color w:val="000000" w:themeColor="text1"/>
          <w:highlight w:val="none"/>
        </w:rPr>
        <w:t>A—根据黑龙江省哈尔滨交警大队支队提供的统计资料计算：黑龙江省一级、二（三）级二种参考路段年交通事故率分别为0.35次/百万车•km和0.63次/百万车•km；</w:t>
      </w:r>
    </w:p>
    <w:p w14:paraId="7CC1D41E">
      <w:pPr>
        <w:pageBreakBefore w:val="0"/>
        <w:wordWrap/>
        <w:topLinePunct w:val="0"/>
        <w:bidi w:val="0"/>
        <w:spacing w:line="360" w:lineRule="auto"/>
        <w:rPr>
          <w:color w:val="000000" w:themeColor="text1"/>
          <w:highlight w:val="none"/>
        </w:rPr>
      </w:pPr>
      <w:r>
        <w:rPr>
          <w:color w:val="000000" w:themeColor="text1"/>
          <w:highlight w:val="none"/>
        </w:rPr>
        <w:t>B：装载有毒、有害危险品货车占总交通量的比例  B= K1×K2；</w:t>
      </w:r>
    </w:p>
    <w:p w14:paraId="251B887E">
      <w:pPr>
        <w:pageBreakBefore w:val="0"/>
        <w:wordWrap/>
        <w:topLinePunct w:val="0"/>
        <w:bidi w:val="0"/>
        <w:spacing w:line="360" w:lineRule="auto"/>
        <w:rPr>
          <w:color w:val="000000" w:themeColor="text1"/>
          <w:highlight w:val="none"/>
        </w:rPr>
      </w:pPr>
      <w:r>
        <w:rPr>
          <w:color w:val="000000" w:themeColor="text1"/>
          <w:highlight w:val="none"/>
        </w:rPr>
        <w:t>K</w:t>
      </w:r>
      <w:r>
        <w:rPr>
          <w:color w:val="000000" w:themeColor="text1"/>
          <w:highlight w:val="none"/>
          <w:vertAlign w:val="subscript"/>
        </w:rPr>
        <w:t>1</w:t>
      </w:r>
      <w:r>
        <w:rPr>
          <w:color w:val="000000" w:themeColor="text1"/>
          <w:highlight w:val="none"/>
        </w:rPr>
        <w:t>—危险品运载比例</w:t>
      </w:r>
      <w:r>
        <w:rPr>
          <w:rFonts w:hint="eastAsia"/>
          <w:color w:val="000000" w:themeColor="text1"/>
          <w:highlight w:val="none"/>
          <w:lang w:eastAsia="zh-CN"/>
        </w:rPr>
        <w:t>（</w:t>
      </w:r>
      <w:r>
        <w:rPr>
          <w:color w:val="000000" w:themeColor="text1"/>
          <w:highlight w:val="none"/>
        </w:rPr>
        <w:t>%</w:t>
      </w:r>
      <w:r>
        <w:rPr>
          <w:rFonts w:hint="eastAsia"/>
          <w:color w:val="000000" w:themeColor="text1"/>
          <w:highlight w:val="none"/>
          <w:lang w:eastAsia="zh-CN"/>
        </w:rPr>
        <w:t>）</w:t>
      </w:r>
      <w:r>
        <w:rPr>
          <w:color w:val="000000" w:themeColor="text1"/>
          <w:highlight w:val="none"/>
        </w:rPr>
        <w:t>，根据可研提供资料，运输石油、化肥农药及化工原料等货物比重为</w:t>
      </w:r>
      <w:r>
        <w:rPr>
          <w:rFonts w:hint="eastAsia"/>
          <w:color w:val="000000" w:themeColor="text1"/>
          <w:highlight w:val="none"/>
          <w:lang w:val="en-US" w:eastAsia="zh-CN"/>
        </w:rPr>
        <w:t>2.0</w:t>
      </w:r>
      <w:r>
        <w:rPr>
          <w:color w:val="000000" w:themeColor="text1"/>
          <w:highlight w:val="none"/>
        </w:rPr>
        <w:t>%。</w:t>
      </w:r>
    </w:p>
    <w:p w14:paraId="46A69E16">
      <w:pPr>
        <w:pageBreakBefore w:val="0"/>
        <w:wordWrap/>
        <w:topLinePunct w:val="0"/>
        <w:bidi w:val="0"/>
        <w:spacing w:line="360" w:lineRule="auto"/>
        <w:rPr>
          <w:color w:val="000000" w:themeColor="text1"/>
          <w:highlight w:val="none"/>
        </w:rPr>
      </w:pPr>
      <w:r>
        <w:rPr>
          <w:color w:val="000000" w:themeColor="text1"/>
          <w:highlight w:val="none"/>
        </w:rPr>
        <w:t>K</w:t>
      </w:r>
      <w:r>
        <w:rPr>
          <w:color w:val="000000" w:themeColor="text1"/>
          <w:highlight w:val="none"/>
          <w:vertAlign w:val="subscript"/>
        </w:rPr>
        <w:t>2</w:t>
      </w:r>
      <w:r>
        <w:rPr>
          <w:color w:val="000000" w:themeColor="text1"/>
          <w:highlight w:val="none"/>
        </w:rPr>
        <w:t>—货车占交通量的比例</w:t>
      </w:r>
      <w:r>
        <w:rPr>
          <w:rFonts w:hint="eastAsia"/>
          <w:color w:val="000000" w:themeColor="text1"/>
          <w:highlight w:val="none"/>
          <w:lang w:eastAsia="zh-CN"/>
        </w:rPr>
        <w:t>（</w:t>
      </w:r>
      <w:r>
        <w:rPr>
          <w:color w:val="000000" w:themeColor="text1"/>
          <w:highlight w:val="none"/>
        </w:rPr>
        <w:t>%</w:t>
      </w:r>
      <w:r>
        <w:rPr>
          <w:rFonts w:hint="eastAsia"/>
          <w:color w:val="000000" w:themeColor="text1"/>
          <w:highlight w:val="none"/>
          <w:lang w:eastAsia="zh-CN"/>
        </w:rPr>
        <w:t>）</w:t>
      </w:r>
      <w:r>
        <w:rPr>
          <w:color w:val="000000" w:themeColor="text1"/>
          <w:highlight w:val="none"/>
        </w:rPr>
        <w:t>，根据该项目可行性研究报告，近期、中期和远期分别取</w:t>
      </w:r>
      <w:r>
        <w:rPr>
          <w:rFonts w:hint="eastAsia"/>
          <w:color w:val="000000" w:themeColor="text1"/>
          <w:highlight w:val="none"/>
          <w:lang w:val="en-US" w:eastAsia="zh-CN"/>
        </w:rPr>
        <w:t>0.3</w:t>
      </w:r>
      <w:r>
        <w:rPr>
          <w:color w:val="000000" w:themeColor="text1"/>
          <w:highlight w:val="none"/>
        </w:rPr>
        <w:t>%、</w:t>
      </w:r>
      <w:r>
        <w:rPr>
          <w:rFonts w:hint="eastAsia"/>
          <w:color w:val="000000" w:themeColor="text1"/>
          <w:highlight w:val="none"/>
          <w:lang w:val="en-US" w:eastAsia="zh-CN"/>
        </w:rPr>
        <w:t>0.13</w:t>
      </w:r>
      <w:r>
        <w:rPr>
          <w:color w:val="000000" w:themeColor="text1"/>
          <w:highlight w:val="none"/>
        </w:rPr>
        <w:t>%和</w:t>
      </w:r>
      <w:r>
        <w:rPr>
          <w:rFonts w:hint="eastAsia"/>
          <w:color w:val="000000" w:themeColor="text1"/>
          <w:highlight w:val="none"/>
          <w:lang w:val="en-US" w:eastAsia="zh-CN"/>
        </w:rPr>
        <w:t>0.13</w:t>
      </w:r>
      <w:r>
        <w:rPr>
          <w:color w:val="000000" w:themeColor="text1"/>
          <w:highlight w:val="none"/>
        </w:rPr>
        <w:t>%。</w:t>
      </w:r>
    </w:p>
    <w:p w14:paraId="323838B4">
      <w:pPr>
        <w:pageBreakBefore w:val="0"/>
        <w:wordWrap/>
        <w:topLinePunct w:val="0"/>
        <w:bidi w:val="0"/>
        <w:spacing w:line="360" w:lineRule="auto"/>
        <w:rPr>
          <w:color w:val="000000" w:themeColor="text1"/>
          <w:highlight w:val="none"/>
        </w:rPr>
      </w:pPr>
      <w:r>
        <w:rPr>
          <w:color w:val="000000" w:themeColor="text1"/>
          <w:highlight w:val="none"/>
        </w:rPr>
        <w:t>C：各特征年交通量，见表6.2-1。</w:t>
      </w:r>
    </w:p>
    <w:p w14:paraId="15336889">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表6.2-1</w:t>
      </w:r>
      <w:r>
        <w:rPr>
          <w:rFonts w:hint="eastAsia"/>
          <w:b/>
          <w:color w:val="000000" w:themeColor="text1"/>
          <w:highlight w:val="none"/>
          <w:lang w:val="en-US" w:eastAsia="zh-CN"/>
        </w:rPr>
        <w:t xml:space="preserve">  </w:t>
      </w:r>
      <w:r>
        <w:rPr>
          <w:b/>
          <w:color w:val="000000" w:themeColor="text1"/>
          <w:highlight w:val="none"/>
        </w:rPr>
        <w:t>特征路段各特征年总交通量预测结果 单位：百万辆/年</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28" w:type="dxa"/>
          <w:bottom w:w="0" w:type="dxa"/>
          <w:right w:w="28" w:type="dxa"/>
        </w:tblCellMar>
      </w:tblPr>
      <w:tblGrid>
        <w:gridCol w:w="614"/>
        <w:gridCol w:w="942"/>
        <w:gridCol w:w="2571"/>
        <w:gridCol w:w="828"/>
        <w:gridCol w:w="1100"/>
        <w:gridCol w:w="1238"/>
        <w:gridCol w:w="1075"/>
      </w:tblGrid>
      <w:tr w14:paraId="1A92E63D">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367" w:type="pct"/>
            <w:vMerge w:val="restart"/>
            <w:vAlign w:val="center"/>
          </w:tcPr>
          <w:p w14:paraId="2E71DEF5">
            <w:pPr>
              <w:pageBreakBefore w:val="0"/>
              <w:wordWrap/>
              <w:topLinePunct w:val="0"/>
              <w:bidi w:val="0"/>
              <w:spacing w:line="240" w:lineRule="auto"/>
              <w:ind w:firstLine="0" w:firstLineChars="0"/>
              <w:jc w:val="center"/>
              <w:rPr>
                <w:color w:val="000000" w:themeColor="text1"/>
                <w:sz w:val="21"/>
                <w:szCs w:val="21"/>
                <w:highlight w:val="none"/>
              </w:rPr>
            </w:pPr>
            <w:bookmarkStart w:id="424" w:name="_Hlk264283237"/>
            <w:bookmarkStart w:id="425" w:name="OLE_LINK9"/>
            <w:bookmarkStart w:id="426" w:name="OLE_LINK15"/>
            <w:r>
              <w:rPr>
                <w:color w:val="000000" w:themeColor="text1"/>
                <w:sz w:val="21"/>
                <w:szCs w:val="21"/>
                <w:highlight w:val="none"/>
              </w:rPr>
              <w:t>等级</w:t>
            </w:r>
          </w:p>
        </w:tc>
        <w:tc>
          <w:tcPr>
            <w:tcW w:w="563" w:type="pct"/>
            <w:vMerge w:val="restart"/>
            <w:vAlign w:val="center"/>
          </w:tcPr>
          <w:p w14:paraId="2537DF7A">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路</w:t>
            </w:r>
            <w:r>
              <w:rPr>
                <w:rFonts w:hint="eastAsia"/>
                <w:color w:val="000000" w:themeColor="text1"/>
                <w:sz w:val="21"/>
                <w:szCs w:val="21"/>
                <w:highlight w:val="none"/>
              </w:rPr>
              <w:t>基</w:t>
            </w:r>
            <w:r>
              <w:rPr>
                <w:color w:val="000000" w:themeColor="text1"/>
                <w:sz w:val="21"/>
                <w:szCs w:val="21"/>
                <w:highlight w:val="none"/>
              </w:rPr>
              <w:t>宽度</w:t>
            </w:r>
            <w:r>
              <w:rPr>
                <w:rFonts w:hint="eastAsia"/>
                <w:color w:val="000000" w:themeColor="text1"/>
                <w:sz w:val="21"/>
                <w:szCs w:val="21"/>
                <w:highlight w:val="none"/>
                <w:lang w:eastAsia="zh-CN"/>
              </w:rPr>
              <w:t>（</w:t>
            </w:r>
            <w:r>
              <w:rPr>
                <w:color w:val="000000" w:themeColor="text1"/>
                <w:sz w:val="21"/>
                <w:szCs w:val="21"/>
                <w:highlight w:val="none"/>
              </w:rPr>
              <w:t>m</w:t>
            </w:r>
            <w:r>
              <w:rPr>
                <w:rFonts w:hint="eastAsia"/>
                <w:color w:val="000000" w:themeColor="text1"/>
                <w:sz w:val="21"/>
                <w:szCs w:val="21"/>
                <w:highlight w:val="none"/>
                <w:lang w:eastAsia="zh-CN"/>
              </w:rPr>
              <w:t>）</w:t>
            </w:r>
          </w:p>
        </w:tc>
        <w:tc>
          <w:tcPr>
            <w:tcW w:w="1536" w:type="pct"/>
            <w:vMerge w:val="restart"/>
            <w:vAlign w:val="center"/>
          </w:tcPr>
          <w:p w14:paraId="1CF625B0">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路段名称</w:t>
            </w:r>
          </w:p>
        </w:tc>
        <w:tc>
          <w:tcPr>
            <w:tcW w:w="495" w:type="pct"/>
            <w:vMerge w:val="restart"/>
            <w:vAlign w:val="center"/>
          </w:tcPr>
          <w:p w14:paraId="24A4AA93">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color w:val="000000" w:themeColor="text1"/>
                <w:sz w:val="21"/>
                <w:szCs w:val="21"/>
                <w:highlight w:val="none"/>
              </w:rPr>
              <w:t>长度</w:t>
            </w:r>
            <w:r>
              <w:rPr>
                <w:rFonts w:hint="eastAsia"/>
                <w:color w:val="000000" w:themeColor="text1"/>
                <w:sz w:val="21"/>
                <w:szCs w:val="21"/>
                <w:highlight w:val="none"/>
                <w:lang w:eastAsia="zh-CN"/>
              </w:rPr>
              <w:t>（</w:t>
            </w:r>
            <w:r>
              <w:rPr>
                <w:color w:val="000000" w:themeColor="text1"/>
                <w:sz w:val="21"/>
                <w:szCs w:val="21"/>
                <w:highlight w:val="none"/>
              </w:rPr>
              <w:t>m</w:t>
            </w:r>
            <w:r>
              <w:rPr>
                <w:rFonts w:hint="eastAsia"/>
                <w:color w:val="000000" w:themeColor="text1"/>
                <w:sz w:val="21"/>
                <w:szCs w:val="21"/>
                <w:highlight w:val="none"/>
                <w:lang w:eastAsia="zh-CN"/>
              </w:rPr>
              <w:t>）</w:t>
            </w:r>
          </w:p>
        </w:tc>
        <w:tc>
          <w:tcPr>
            <w:tcW w:w="2039" w:type="pct"/>
            <w:gridSpan w:val="3"/>
            <w:vAlign w:val="center"/>
          </w:tcPr>
          <w:p w14:paraId="0BC9E63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年段</w:t>
            </w:r>
          </w:p>
        </w:tc>
      </w:tr>
      <w:tr w14:paraId="3C10A40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367" w:type="pct"/>
            <w:vMerge w:val="continue"/>
            <w:vAlign w:val="center"/>
          </w:tcPr>
          <w:p w14:paraId="460B1A1B">
            <w:pPr>
              <w:pageBreakBefore w:val="0"/>
              <w:wordWrap/>
              <w:topLinePunct w:val="0"/>
              <w:bidi w:val="0"/>
              <w:spacing w:line="240" w:lineRule="auto"/>
              <w:ind w:firstLine="0" w:firstLineChars="0"/>
              <w:jc w:val="center"/>
              <w:rPr>
                <w:color w:val="000000" w:themeColor="text1"/>
                <w:sz w:val="21"/>
                <w:szCs w:val="21"/>
                <w:highlight w:val="none"/>
              </w:rPr>
            </w:pPr>
          </w:p>
        </w:tc>
        <w:tc>
          <w:tcPr>
            <w:tcW w:w="563" w:type="pct"/>
            <w:vMerge w:val="continue"/>
            <w:vAlign w:val="center"/>
          </w:tcPr>
          <w:p w14:paraId="6B36357C">
            <w:pPr>
              <w:pageBreakBefore w:val="0"/>
              <w:wordWrap/>
              <w:topLinePunct w:val="0"/>
              <w:bidi w:val="0"/>
              <w:spacing w:line="240" w:lineRule="auto"/>
              <w:ind w:firstLine="0" w:firstLineChars="0"/>
              <w:jc w:val="center"/>
              <w:rPr>
                <w:color w:val="000000" w:themeColor="text1"/>
                <w:sz w:val="21"/>
                <w:szCs w:val="21"/>
                <w:highlight w:val="none"/>
              </w:rPr>
            </w:pPr>
          </w:p>
        </w:tc>
        <w:tc>
          <w:tcPr>
            <w:tcW w:w="1536" w:type="pct"/>
            <w:vMerge w:val="continue"/>
            <w:vAlign w:val="center"/>
          </w:tcPr>
          <w:p w14:paraId="75863491">
            <w:pPr>
              <w:pageBreakBefore w:val="0"/>
              <w:wordWrap/>
              <w:topLinePunct w:val="0"/>
              <w:bidi w:val="0"/>
              <w:spacing w:line="240" w:lineRule="auto"/>
              <w:ind w:firstLine="0" w:firstLineChars="0"/>
              <w:jc w:val="center"/>
              <w:rPr>
                <w:color w:val="000000" w:themeColor="text1"/>
                <w:sz w:val="21"/>
                <w:szCs w:val="21"/>
                <w:highlight w:val="none"/>
              </w:rPr>
            </w:pPr>
          </w:p>
        </w:tc>
        <w:tc>
          <w:tcPr>
            <w:tcW w:w="495" w:type="pct"/>
            <w:vMerge w:val="continue"/>
            <w:vAlign w:val="center"/>
          </w:tcPr>
          <w:p w14:paraId="584EEE9F">
            <w:pPr>
              <w:pageBreakBefore w:val="0"/>
              <w:wordWrap/>
              <w:topLinePunct w:val="0"/>
              <w:bidi w:val="0"/>
              <w:spacing w:line="240" w:lineRule="auto"/>
              <w:ind w:firstLine="0" w:firstLineChars="0"/>
              <w:jc w:val="center"/>
              <w:rPr>
                <w:color w:val="000000" w:themeColor="text1"/>
                <w:sz w:val="21"/>
                <w:szCs w:val="21"/>
                <w:highlight w:val="none"/>
              </w:rPr>
            </w:pPr>
          </w:p>
        </w:tc>
        <w:tc>
          <w:tcPr>
            <w:tcW w:w="657" w:type="pct"/>
            <w:vAlign w:val="center"/>
          </w:tcPr>
          <w:p w14:paraId="6B36FE71">
            <w:pPr>
              <w:pageBreakBefore w:val="0"/>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202</w:t>
            </w:r>
            <w:r>
              <w:rPr>
                <w:rFonts w:hint="eastAsia"/>
                <w:color w:val="000000" w:themeColor="text1"/>
                <w:kern w:val="0"/>
                <w:sz w:val="21"/>
                <w:szCs w:val="21"/>
                <w:highlight w:val="none"/>
                <w:lang w:val="en-US" w:eastAsia="zh-CN"/>
              </w:rPr>
              <w:t>7</w:t>
            </w:r>
            <w:r>
              <w:rPr>
                <w:color w:val="000000" w:themeColor="text1"/>
                <w:kern w:val="0"/>
                <w:sz w:val="21"/>
                <w:szCs w:val="21"/>
                <w:highlight w:val="none"/>
              </w:rPr>
              <w:t>年</w:t>
            </w:r>
          </w:p>
        </w:tc>
        <w:tc>
          <w:tcPr>
            <w:tcW w:w="740" w:type="pct"/>
            <w:vAlign w:val="center"/>
          </w:tcPr>
          <w:p w14:paraId="0D4A9F04">
            <w:pPr>
              <w:pageBreakBefore w:val="0"/>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203</w:t>
            </w:r>
            <w:r>
              <w:rPr>
                <w:rFonts w:hint="eastAsia"/>
                <w:color w:val="000000" w:themeColor="text1"/>
                <w:kern w:val="0"/>
                <w:sz w:val="21"/>
                <w:szCs w:val="21"/>
                <w:highlight w:val="none"/>
                <w:lang w:val="en-US" w:eastAsia="zh-CN"/>
              </w:rPr>
              <w:t>3</w:t>
            </w:r>
            <w:r>
              <w:rPr>
                <w:color w:val="000000" w:themeColor="text1"/>
                <w:kern w:val="0"/>
                <w:sz w:val="21"/>
                <w:szCs w:val="21"/>
                <w:highlight w:val="none"/>
              </w:rPr>
              <w:t>年</w:t>
            </w:r>
          </w:p>
        </w:tc>
        <w:tc>
          <w:tcPr>
            <w:tcW w:w="642" w:type="pct"/>
            <w:vAlign w:val="center"/>
          </w:tcPr>
          <w:p w14:paraId="04BD28ED">
            <w:pPr>
              <w:pageBreakBefore w:val="0"/>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20</w:t>
            </w:r>
            <w:r>
              <w:rPr>
                <w:rFonts w:hint="eastAsia"/>
                <w:color w:val="000000" w:themeColor="text1"/>
                <w:kern w:val="0"/>
                <w:sz w:val="21"/>
                <w:szCs w:val="21"/>
                <w:highlight w:val="none"/>
                <w:lang w:val="en-US" w:eastAsia="zh-CN"/>
              </w:rPr>
              <w:t>41</w:t>
            </w:r>
            <w:r>
              <w:rPr>
                <w:color w:val="000000" w:themeColor="text1"/>
                <w:kern w:val="0"/>
                <w:sz w:val="21"/>
                <w:szCs w:val="21"/>
                <w:highlight w:val="none"/>
              </w:rPr>
              <w:t>年</w:t>
            </w:r>
          </w:p>
        </w:tc>
      </w:tr>
      <w:tr w14:paraId="2FD4258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367" w:type="pct"/>
            <w:vMerge w:val="restart"/>
            <w:vAlign w:val="center"/>
          </w:tcPr>
          <w:p w14:paraId="12267A06">
            <w:pPr>
              <w:pageBreakBefore w:val="0"/>
              <w:wordWrap/>
              <w:topLinePunct w:val="0"/>
              <w:bidi w:val="0"/>
              <w:spacing w:line="240" w:lineRule="auto"/>
              <w:ind w:firstLine="0" w:firstLineChars="0"/>
              <w:jc w:val="center"/>
              <w:rPr>
                <w:rFonts w:hint="eastAsia" w:eastAsia="宋体"/>
                <w:color w:val="000000" w:themeColor="text1"/>
                <w:sz w:val="21"/>
                <w:szCs w:val="21"/>
                <w:highlight w:val="none"/>
                <w:lang w:eastAsia="zh-CN"/>
              </w:rPr>
            </w:pPr>
            <w:r>
              <w:rPr>
                <w:rFonts w:hint="eastAsia"/>
                <w:color w:val="000000" w:themeColor="text1"/>
                <w:sz w:val="21"/>
                <w:szCs w:val="21"/>
                <w:highlight w:val="none"/>
                <w:lang w:val="en-US" w:eastAsia="zh-CN"/>
              </w:rPr>
              <w:t>二级</w:t>
            </w:r>
          </w:p>
        </w:tc>
        <w:tc>
          <w:tcPr>
            <w:tcW w:w="563" w:type="pct"/>
            <w:vMerge w:val="restart"/>
            <w:vAlign w:val="center"/>
          </w:tcPr>
          <w:p w14:paraId="5C8DF8F0">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12</w:t>
            </w:r>
          </w:p>
        </w:tc>
        <w:tc>
          <w:tcPr>
            <w:tcW w:w="1536" w:type="pct"/>
            <w:vAlign w:val="center"/>
          </w:tcPr>
          <w:p w14:paraId="426BD315">
            <w:pPr>
              <w:pageBreakBefore w:val="0"/>
              <w:wordWrap/>
              <w:topLinePunct w:val="0"/>
              <w:bidi w:val="0"/>
              <w:spacing w:line="240" w:lineRule="auto"/>
              <w:ind w:firstLine="0" w:firstLineChars="0"/>
              <w:jc w:val="center"/>
              <w:rPr>
                <w:rFonts w:ascii="Times New Roman" w:eastAsia="宋体"/>
                <w:color w:val="000000" w:themeColor="text1"/>
                <w:szCs w:val="32"/>
                <w:highlight w:val="none"/>
              </w:rPr>
            </w:pPr>
            <w:r>
              <w:rPr>
                <w:rFonts w:hint="eastAsia"/>
                <w:color w:val="000000" w:themeColor="text1"/>
                <w:sz w:val="21"/>
                <w:szCs w:val="21"/>
                <w:highlight w:val="none"/>
                <w:lang w:val="en-US" w:eastAsia="zh-CN"/>
              </w:rPr>
              <w:t>跨铁路</w:t>
            </w:r>
            <w:r>
              <w:rPr>
                <w:rFonts w:hint="eastAsia"/>
                <w:color w:val="000000" w:themeColor="text1"/>
                <w:sz w:val="21"/>
                <w:szCs w:val="21"/>
                <w:highlight w:val="none"/>
              </w:rPr>
              <w:t>大桥</w:t>
            </w:r>
          </w:p>
        </w:tc>
        <w:tc>
          <w:tcPr>
            <w:tcW w:w="495" w:type="pct"/>
            <w:vAlign w:val="center"/>
          </w:tcPr>
          <w:p w14:paraId="49E182C6">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220</w:t>
            </w:r>
          </w:p>
        </w:tc>
        <w:tc>
          <w:tcPr>
            <w:tcW w:w="657" w:type="pct"/>
            <w:vAlign w:val="center"/>
          </w:tcPr>
          <w:p w14:paraId="7B0CD7D2">
            <w:pPr>
              <w:pageBreakBefore w:val="0"/>
              <w:widowControl/>
              <w:wordWrap/>
              <w:topLinePunct w:val="0"/>
              <w:bidi w:val="0"/>
              <w:spacing w:line="240" w:lineRule="auto"/>
              <w:ind w:firstLine="0" w:firstLineChars="0"/>
              <w:jc w:val="center"/>
              <w:textAlignment w:val="center"/>
              <w:rPr>
                <w:rFonts w:hint="default" w:eastAsia="宋体"/>
                <w:color w:val="000000" w:themeColor="text1"/>
                <w:sz w:val="22"/>
                <w:szCs w:val="22"/>
                <w:highlight w:val="none"/>
                <w:lang w:val="en-US" w:eastAsia="zh-CN"/>
              </w:rPr>
            </w:pPr>
            <w:r>
              <w:rPr>
                <w:rFonts w:hint="eastAsia"/>
                <w:color w:val="000000" w:themeColor="text1"/>
                <w:sz w:val="22"/>
                <w:szCs w:val="22"/>
                <w:highlight w:val="none"/>
                <w:lang w:val="en-US" w:eastAsia="zh-CN"/>
              </w:rPr>
              <w:t>0.36</w:t>
            </w:r>
          </w:p>
        </w:tc>
        <w:tc>
          <w:tcPr>
            <w:tcW w:w="740" w:type="pct"/>
            <w:vAlign w:val="center"/>
          </w:tcPr>
          <w:p w14:paraId="7FA09543">
            <w:pPr>
              <w:pageBreakBefore w:val="0"/>
              <w:widowControl/>
              <w:wordWrap/>
              <w:topLinePunct w:val="0"/>
              <w:bidi w:val="0"/>
              <w:spacing w:line="240" w:lineRule="auto"/>
              <w:ind w:firstLine="0" w:firstLineChars="0"/>
              <w:jc w:val="center"/>
              <w:textAlignment w:val="center"/>
              <w:rPr>
                <w:rFonts w:hint="default" w:eastAsia="宋体"/>
                <w:color w:val="000000" w:themeColor="text1"/>
                <w:sz w:val="22"/>
                <w:szCs w:val="22"/>
                <w:highlight w:val="none"/>
                <w:lang w:val="en-US" w:eastAsia="zh-CN"/>
              </w:rPr>
            </w:pPr>
            <w:r>
              <w:rPr>
                <w:rFonts w:hint="eastAsia"/>
                <w:color w:val="000000" w:themeColor="text1"/>
                <w:sz w:val="22"/>
                <w:szCs w:val="22"/>
                <w:highlight w:val="none"/>
                <w:lang w:val="en-US" w:eastAsia="zh-CN"/>
              </w:rPr>
              <w:t>0.86</w:t>
            </w:r>
          </w:p>
        </w:tc>
        <w:tc>
          <w:tcPr>
            <w:tcW w:w="642" w:type="pct"/>
            <w:vAlign w:val="center"/>
          </w:tcPr>
          <w:p w14:paraId="6D078DE7">
            <w:pPr>
              <w:pageBreakBefore w:val="0"/>
              <w:wordWrap/>
              <w:topLinePunct w:val="0"/>
              <w:bidi w:val="0"/>
              <w:spacing w:line="240" w:lineRule="auto"/>
              <w:ind w:firstLine="0" w:firstLineChars="0"/>
              <w:jc w:val="center"/>
              <w:rPr>
                <w:rFonts w:hint="default" w:eastAsia="宋体"/>
                <w:color w:val="000000" w:themeColor="text1"/>
                <w:sz w:val="22"/>
                <w:szCs w:val="22"/>
                <w:highlight w:val="none"/>
                <w:lang w:val="en-US" w:eastAsia="zh-CN"/>
              </w:rPr>
            </w:pPr>
            <w:r>
              <w:rPr>
                <w:rFonts w:hint="eastAsia"/>
                <w:color w:val="000000" w:themeColor="text1"/>
                <w:sz w:val="22"/>
                <w:szCs w:val="22"/>
                <w:highlight w:val="none"/>
                <w:lang w:val="en-US" w:eastAsia="zh-CN"/>
              </w:rPr>
              <w:t>1.46</w:t>
            </w:r>
          </w:p>
        </w:tc>
      </w:tr>
      <w:tr w14:paraId="46AA702D">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367" w:type="pct"/>
            <w:vMerge w:val="continue"/>
            <w:vAlign w:val="center"/>
          </w:tcPr>
          <w:p w14:paraId="17643FBE">
            <w:pPr>
              <w:pageBreakBefore w:val="0"/>
              <w:wordWrap/>
              <w:topLinePunct w:val="0"/>
              <w:bidi w:val="0"/>
              <w:spacing w:line="240" w:lineRule="auto"/>
              <w:ind w:firstLine="0" w:firstLineChars="0"/>
              <w:jc w:val="center"/>
              <w:rPr>
                <w:color w:val="000000" w:themeColor="text1"/>
                <w:sz w:val="21"/>
                <w:szCs w:val="21"/>
                <w:highlight w:val="none"/>
              </w:rPr>
            </w:pPr>
          </w:p>
        </w:tc>
        <w:tc>
          <w:tcPr>
            <w:tcW w:w="563" w:type="pct"/>
            <w:vMerge w:val="continue"/>
            <w:vAlign w:val="center"/>
          </w:tcPr>
          <w:p w14:paraId="309D1CB1">
            <w:pPr>
              <w:pageBreakBefore w:val="0"/>
              <w:wordWrap/>
              <w:topLinePunct w:val="0"/>
              <w:bidi w:val="0"/>
              <w:spacing w:line="240" w:lineRule="auto"/>
              <w:ind w:firstLine="0" w:firstLineChars="0"/>
              <w:jc w:val="center"/>
              <w:rPr>
                <w:color w:val="000000" w:themeColor="text1"/>
                <w:sz w:val="21"/>
                <w:szCs w:val="21"/>
                <w:highlight w:val="none"/>
              </w:rPr>
            </w:pPr>
          </w:p>
        </w:tc>
        <w:tc>
          <w:tcPr>
            <w:tcW w:w="1536" w:type="pct"/>
            <w:vAlign w:val="center"/>
          </w:tcPr>
          <w:p w14:paraId="2E6C1314">
            <w:pPr>
              <w:pageBreakBefore w:val="0"/>
              <w:wordWrap/>
              <w:topLinePunct w:val="0"/>
              <w:bidi w:val="0"/>
              <w:spacing w:line="240" w:lineRule="auto"/>
              <w:ind w:firstLine="0" w:firstLineChars="0"/>
              <w:jc w:val="center"/>
              <w:rPr>
                <w:rFonts w:ascii="Times New Roman" w:eastAsia="宋体"/>
                <w:color w:val="000000" w:themeColor="text1"/>
                <w:szCs w:val="32"/>
                <w:highlight w:val="none"/>
              </w:rPr>
            </w:pPr>
            <w:r>
              <w:rPr>
                <w:rFonts w:hint="eastAsia"/>
                <w:color w:val="000000" w:themeColor="text1"/>
                <w:sz w:val="21"/>
                <w:szCs w:val="21"/>
                <w:highlight w:val="none"/>
                <w:lang w:val="en-US" w:eastAsia="zh-CN"/>
              </w:rPr>
              <w:t>跨朝鲜河中桥</w:t>
            </w:r>
          </w:p>
        </w:tc>
        <w:tc>
          <w:tcPr>
            <w:tcW w:w="495" w:type="pct"/>
            <w:vAlign w:val="center"/>
          </w:tcPr>
          <w:p w14:paraId="17BA18E3">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48</w:t>
            </w:r>
          </w:p>
        </w:tc>
        <w:tc>
          <w:tcPr>
            <w:tcW w:w="657" w:type="pct"/>
            <w:vAlign w:val="center"/>
          </w:tcPr>
          <w:p w14:paraId="686B80EE">
            <w:pPr>
              <w:pageBreakBefore w:val="0"/>
              <w:widowControl/>
              <w:wordWrap/>
              <w:topLinePunct w:val="0"/>
              <w:bidi w:val="0"/>
              <w:spacing w:line="240" w:lineRule="auto"/>
              <w:ind w:firstLine="0" w:firstLineChars="0"/>
              <w:jc w:val="center"/>
              <w:textAlignment w:val="center"/>
              <w:rPr>
                <w:rFonts w:hint="default" w:eastAsia="宋体"/>
                <w:color w:val="000000" w:themeColor="text1"/>
                <w:sz w:val="22"/>
                <w:szCs w:val="22"/>
                <w:highlight w:val="none"/>
                <w:lang w:val="en-US" w:eastAsia="zh-CN"/>
              </w:rPr>
            </w:pPr>
            <w:r>
              <w:rPr>
                <w:rFonts w:hint="eastAsia"/>
                <w:color w:val="000000" w:themeColor="text1"/>
                <w:sz w:val="22"/>
                <w:szCs w:val="22"/>
                <w:highlight w:val="none"/>
                <w:lang w:val="en-US" w:eastAsia="zh-CN"/>
              </w:rPr>
              <w:t>0.36</w:t>
            </w:r>
          </w:p>
        </w:tc>
        <w:tc>
          <w:tcPr>
            <w:tcW w:w="740" w:type="pct"/>
            <w:vAlign w:val="center"/>
          </w:tcPr>
          <w:p w14:paraId="6C92DF56">
            <w:pPr>
              <w:pageBreakBefore w:val="0"/>
              <w:widowControl/>
              <w:wordWrap/>
              <w:topLinePunct w:val="0"/>
              <w:bidi w:val="0"/>
              <w:spacing w:line="240" w:lineRule="auto"/>
              <w:ind w:firstLine="0" w:firstLineChars="0"/>
              <w:jc w:val="center"/>
              <w:textAlignment w:val="center"/>
              <w:rPr>
                <w:rFonts w:hint="default" w:eastAsia="宋体"/>
                <w:color w:val="000000" w:themeColor="text1"/>
                <w:sz w:val="22"/>
                <w:szCs w:val="22"/>
                <w:highlight w:val="none"/>
                <w:lang w:val="en-US" w:eastAsia="zh-CN"/>
              </w:rPr>
            </w:pPr>
            <w:r>
              <w:rPr>
                <w:rFonts w:hint="eastAsia"/>
                <w:color w:val="000000" w:themeColor="text1"/>
                <w:sz w:val="22"/>
                <w:szCs w:val="22"/>
                <w:highlight w:val="none"/>
                <w:lang w:val="en-US" w:eastAsia="zh-CN"/>
              </w:rPr>
              <w:t>0.86</w:t>
            </w:r>
          </w:p>
        </w:tc>
        <w:tc>
          <w:tcPr>
            <w:tcW w:w="642" w:type="pct"/>
            <w:vAlign w:val="center"/>
          </w:tcPr>
          <w:p w14:paraId="2062BEB0">
            <w:pPr>
              <w:pageBreakBefore w:val="0"/>
              <w:wordWrap/>
              <w:topLinePunct w:val="0"/>
              <w:bidi w:val="0"/>
              <w:spacing w:line="240" w:lineRule="auto"/>
              <w:ind w:firstLine="0" w:firstLineChars="0"/>
              <w:jc w:val="center"/>
              <w:rPr>
                <w:rFonts w:hint="default" w:eastAsia="宋体"/>
                <w:color w:val="000000" w:themeColor="text1"/>
                <w:sz w:val="22"/>
                <w:szCs w:val="22"/>
                <w:highlight w:val="none"/>
                <w:lang w:val="en-US" w:eastAsia="zh-CN"/>
              </w:rPr>
            </w:pPr>
            <w:r>
              <w:rPr>
                <w:rFonts w:hint="eastAsia"/>
                <w:color w:val="000000" w:themeColor="text1"/>
                <w:sz w:val="22"/>
                <w:szCs w:val="22"/>
                <w:highlight w:val="none"/>
                <w:lang w:val="en-US" w:eastAsia="zh-CN"/>
              </w:rPr>
              <w:t>1.46</w:t>
            </w:r>
          </w:p>
        </w:tc>
      </w:tr>
      <w:bookmarkEnd w:id="424"/>
      <w:bookmarkEnd w:id="425"/>
      <w:bookmarkEnd w:id="426"/>
    </w:tbl>
    <w:p w14:paraId="556ADC5B">
      <w:pPr>
        <w:pageBreakBefore w:val="0"/>
        <w:wordWrap/>
        <w:topLinePunct w:val="0"/>
        <w:bidi w:val="0"/>
        <w:spacing w:line="360" w:lineRule="auto"/>
        <w:rPr>
          <w:color w:val="000000" w:themeColor="text1"/>
          <w:highlight w:val="none"/>
        </w:rPr>
      </w:pPr>
      <w:r>
        <w:rPr>
          <w:color w:val="000000" w:themeColor="text1"/>
          <w:highlight w:val="none"/>
        </w:rPr>
        <w:t>D：特征路段长度，见表6.2-1。</w:t>
      </w:r>
    </w:p>
    <w:p w14:paraId="37769268">
      <w:pPr>
        <w:pageBreakBefore w:val="0"/>
        <w:wordWrap/>
        <w:topLinePunct w:val="0"/>
        <w:bidi w:val="0"/>
        <w:spacing w:line="360" w:lineRule="auto"/>
        <w:rPr>
          <w:color w:val="000000" w:themeColor="text1"/>
          <w:highlight w:val="none"/>
        </w:rPr>
      </w:pPr>
      <w:r>
        <w:rPr>
          <w:color w:val="000000" w:themeColor="text1"/>
          <w:highlight w:val="none"/>
        </w:rPr>
        <w:t>E：</w:t>
      </w:r>
      <w:r>
        <w:rPr>
          <w:rFonts w:hint="eastAsia"/>
          <w:color w:val="000000" w:themeColor="text1"/>
          <w:highlight w:val="none"/>
          <w:lang w:val="en-US" w:eastAsia="zh-CN"/>
        </w:rPr>
        <w:t>由于公路的修建，可能降低交通事故的比重，取值范围通常在</w:t>
      </w:r>
      <w:r>
        <w:rPr>
          <w:rFonts w:hint="default"/>
          <w:color w:val="000000" w:themeColor="text1"/>
          <w:highlight w:val="none"/>
          <w:lang w:val="en-US" w:eastAsia="zh-CN"/>
        </w:rPr>
        <w:t>0.5~1</w:t>
      </w:r>
      <w:r>
        <w:rPr>
          <w:rFonts w:hint="eastAsia"/>
          <w:color w:val="000000" w:themeColor="text1"/>
          <w:highlight w:val="none"/>
          <w:lang w:val="en-US" w:eastAsia="zh-CN"/>
        </w:rPr>
        <w:t>，高速路段一般取</w:t>
      </w:r>
      <w:r>
        <w:rPr>
          <w:rFonts w:hint="default"/>
          <w:color w:val="000000" w:themeColor="text1"/>
          <w:highlight w:val="none"/>
          <w:lang w:val="en-US" w:eastAsia="zh-CN"/>
        </w:rPr>
        <w:t>0.5</w:t>
      </w:r>
      <w:r>
        <w:rPr>
          <w:rFonts w:hint="eastAsia"/>
          <w:color w:val="000000" w:themeColor="text1"/>
          <w:highlight w:val="none"/>
          <w:lang w:val="en-US" w:eastAsia="zh-CN"/>
        </w:rPr>
        <w:t>；一级路与二级路路段该系数</w:t>
      </w:r>
      <w:r>
        <w:rPr>
          <w:rFonts w:hint="default"/>
          <w:color w:val="000000" w:themeColor="text1"/>
          <w:highlight w:val="none"/>
          <w:lang w:val="en-US" w:eastAsia="zh-CN"/>
        </w:rPr>
        <w:t>E</w:t>
      </w:r>
      <w:r>
        <w:rPr>
          <w:rFonts w:hint="eastAsia"/>
          <w:color w:val="000000" w:themeColor="text1"/>
          <w:highlight w:val="none"/>
          <w:lang w:val="en-US" w:eastAsia="zh-CN"/>
        </w:rPr>
        <w:t>取</w:t>
      </w:r>
      <w:r>
        <w:rPr>
          <w:rFonts w:hint="default"/>
          <w:color w:val="000000" w:themeColor="text1"/>
          <w:highlight w:val="none"/>
          <w:lang w:val="en-US" w:eastAsia="zh-CN"/>
        </w:rPr>
        <w:t>1</w:t>
      </w:r>
      <w:r>
        <w:rPr>
          <w:rFonts w:hint="eastAsia"/>
          <w:color w:val="000000" w:themeColor="text1"/>
          <w:highlight w:val="none"/>
          <w:lang w:val="en-US" w:eastAsia="zh-CN"/>
        </w:rPr>
        <w:t>计算（《高速公路危险品运输环境风险评价及预防对策》〔</w:t>
      </w:r>
      <w:r>
        <w:rPr>
          <w:rFonts w:hint="default"/>
          <w:color w:val="000000" w:themeColor="text1"/>
          <w:highlight w:val="none"/>
          <w:lang w:val="en-US" w:eastAsia="zh-CN"/>
        </w:rPr>
        <w:t>J</w:t>
      </w:r>
      <w:r>
        <w:rPr>
          <w:rFonts w:hint="eastAsia"/>
          <w:color w:val="000000" w:themeColor="text1"/>
          <w:highlight w:val="none"/>
          <w:lang w:val="en-US" w:eastAsia="zh-CN"/>
        </w:rPr>
        <w:t>〕交通与运输，</w:t>
      </w:r>
      <w:r>
        <w:rPr>
          <w:rFonts w:hint="default"/>
          <w:color w:val="000000" w:themeColor="text1"/>
          <w:highlight w:val="none"/>
          <w:lang w:val="en-US" w:eastAsia="zh-CN"/>
        </w:rPr>
        <w:t>2010</w:t>
      </w:r>
      <w:r>
        <w:rPr>
          <w:rFonts w:hint="eastAsia"/>
          <w:color w:val="000000" w:themeColor="text1"/>
          <w:highlight w:val="none"/>
          <w:lang w:val="en-US" w:eastAsia="zh-CN"/>
        </w:rPr>
        <w:t>，</w:t>
      </w:r>
      <w:r>
        <w:rPr>
          <w:rFonts w:hint="default"/>
          <w:color w:val="000000" w:themeColor="text1"/>
          <w:highlight w:val="none"/>
          <w:lang w:val="en-US" w:eastAsia="zh-CN"/>
        </w:rPr>
        <w:t>10</w:t>
      </w:r>
      <w:r>
        <w:rPr>
          <w:rFonts w:hint="eastAsia"/>
          <w:color w:val="000000" w:themeColor="text1"/>
          <w:highlight w:val="none"/>
          <w:lang w:val="en-US" w:eastAsia="zh-CN"/>
        </w:rPr>
        <w:t>：</w:t>
      </w:r>
      <w:r>
        <w:rPr>
          <w:rFonts w:hint="default"/>
          <w:color w:val="000000" w:themeColor="text1"/>
          <w:highlight w:val="none"/>
          <w:lang w:val="en-US" w:eastAsia="zh-CN"/>
        </w:rPr>
        <w:t>111-114</w:t>
      </w:r>
      <w:r>
        <w:rPr>
          <w:rFonts w:hint="eastAsia"/>
          <w:color w:val="000000" w:themeColor="text1"/>
          <w:highlight w:val="none"/>
          <w:lang w:val="en-US" w:eastAsia="zh-CN"/>
        </w:rPr>
        <w:t>）。</w:t>
      </w:r>
    </w:p>
    <w:p w14:paraId="4A83CEC1">
      <w:pPr>
        <w:pageBreakBefore w:val="0"/>
        <w:wordWrap/>
        <w:topLinePunct w:val="0"/>
        <w:bidi w:val="0"/>
        <w:spacing w:line="360" w:lineRule="auto"/>
        <w:rPr>
          <w:color w:val="000000" w:themeColor="text1"/>
          <w:highlight w:val="none"/>
        </w:rPr>
      </w:pPr>
      <w:r>
        <w:rPr>
          <w:color w:val="000000" w:themeColor="text1"/>
          <w:highlight w:val="none"/>
        </w:rPr>
        <w:t>F：该系数指由于从事危险货物的车辆，无论从驾驶员安全意识，还是从车辆本身颜色、特殊标志等，比一般运行车辆发生交通事故可能性较小，</w:t>
      </w:r>
      <w:r>
        <w:rPr>
          <w:rFonts w:hint="eastAsia"/>
          <w:color w:val="000000" w:themeColor="text1"/>
          <w:highlight w:val="none"/>
          <w:lang w:val="en-US" w:eastAsia="zh-CN"/>
        </w:rPr>
        <w:t>根据《高速公路危险品运输环境风险评价及预防对策》〔</w:t>
      </w:r>
      <w:r>
        <w:rPr>
          <w:rFonts w:hint="default"/>
          <w:color w:val="000000" w:themeColor="text1"/>
          <w:highlight w:val="none"/>
          <w:lang w:val="en-US" w:eastAsia="zh-CN"/>
        </w:rPr>
        <w:t>J</w:t>
      </w:r>
      <w:r>
        <w:rPr>
          <w:rFonts w:hint="eastAsia"/>
          <w:color w:val="000000" w:themeColor="text1"/>
          <w:highlight w:val="none"/>
          <w:lang w:val="en-US" w:eastAsia="zh-CN"/>
        </w:rPr>
        <w:t>〕交通与运输，</w:t>
      </w:r>
      <w:r>
        <w:rPr>
          <w:rFonts w:hint="default"/>
          <w:color w:val="000000" w:themeColor="text1"/>
          <w:highlight w:val="none"/>
          <w:lang w:val="en-US" w:eastAsia="zh-CN"/>
        </w:rPr>
        <w:t>2010</w:t>
      </w:r>
      <w:r>
        <w:rPr>
          <w:rFonts w:hint="eastAsia"/>
          <w:color w:val="000000" w:themeColor="text1"/>
          <w:highlight w:val="none"/>
          <w:lang w:val="en-US" w:eastAsia="zh-CN"/>
        </w:rPr>
        <w:t>，</w:t>
      </w:r>
      <w:r>
        <w:rPr>
          <w:rFonts w:hint="default"/>
          <w:color w:val="000000" w:themeColor="text1"/>
          <w:highlight w:val="none"/>
          <w:lang w:val="en-US" w:eastAsia="zh-CN"/>
        </w:rPr>
        <w:t>10</w:t>
      </w:r>
      <w:r>
        <w:rPr>
          <w:rFonts w:hint="eastAsia"/>
          <w:color w:val="000000" w:themeColor="text1"/>
          <w:highlight w:val="none"/>
          <w:lang w:val="en-US" w:eastAsia="zh-CN"/>
        </w:rPr>
        <w:t>：</w:t>
      </w:r>
      <w:r>
        <w:rPr>
          <w:rFonts w:hint="default"/>
          <w:color w:val="000000" w:themeColor="text1"/>
          <w:highlight w:val="none"/>
          <w:lang w:val="en-US" w:eastAsia="zh-CN"/>
        </w:rPr>
        <w:t>111-114</w:t>
      </w:r>
      <w:r>
        <w:rPr>
          <w:color w:val="000000" w:themeColor="text1"/>
          <w:highlight w:val="none"/>
        </w:rPr>
        <w:t>，取系数F为1.0。</w:t>
      </w:r>
    </w:p>
    <w:p w14:paraId="68229FF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6</w:t>
      </w:r>
      <w:r>
        <w:rPr>
          <w:color w:val="000000" w:themeColor="text1"/>
          <w:highlight w:val="none"/>
        </w:rPr>
        <w:t>.2.2.3预测结果</w:t>
      </w:r>
    </w:p>
    <w:p w14:paraId="13875796">
      <w:pPr>
        <w:pageBreakBefore w:val="0"/>
        <w:wordWrap/>
        <w:topLinePunct w:val="0"/>
        <w:bidi w:val="0"/>
        <w:spacing w:line="360" w:lineRule="auto"/>
        <w:rPr>
          <w:color w:val="000000" w:themeColor="text1"/>
          <w:highlight w:val="none"/>
        </w:rPr>
      </w:pPr>
      <w:r>
        <w:rPr>
          <w:rFonts w:hint="eastAsia"/>
          <w:color w:val="000000" w:themeColor="text1"/>
          <w:highlight w:val="none"/>
        </w:rPr>
        <w:t>穿越桥梁路段</w:t>
      </w:r>
      <w:r>
        <w:rPr>
          <w:color w:val="000000" w:themeColor="text1"/>
          <w:highlight w:val="none"/>
        </w:rPr>
        <w:t>危险货物运输车辆事故概率见表6.2-2。</w:t>
      </w:r>
    </w:p>
    <w:p w14:paraId="5FCD0F61">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表6.2-2  危险货物运输车辆事故概率   单位：起/年</w:t>
      </w:r>
    </w:p>
    <w:tbl>
      <w:tblPr>
        <w:tblStyle w:val="33"/>
        <w:tblW w:w="852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470"/>
        <w:gridCol w:w="2019"/>
        <w:gridCol w:w="2019"/>
        <w:gridCol w:w="2020"/>
      </w:tblGrid>
      <w:tr w14:paraId="4675BC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70" w:type="dxa"/>
            <w:vMerge w:val="restart"/>
            <w:vAlign w:val="center"/>
          </w:tcPr>
          <w:p w14:paraId="1164F49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路段</w:t>
            </w:r>
            <w:r>
              <w:rPr>
                <w:color w:val="000000" w:themeColor="text1"/>
                <w:sz w:val="21"/>
                <w:szCs w:val="21"/>
                <w:highlight w:val="none"/>
              </w:rPr>
              <w:t>名称</w:t>
            </w:r>
          </w:p>
        </w:tc>
        <w:tc>
          <w:tcPr>
            <w:tcW w:w="6058" w:type="dxa"/>
            <w:gridSpan w:val="3"/>
            <w:vAlign w:val="center"/>
          </w:tcPr>
          <w:p w14:paraId="33D79A52">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危险品运输事故概率</w:t>
            </w:r>
          </w:p>
        </w:tc>
      </w:tr>
      <w:tr w14:paraId="4CE3D2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70" w:type="dxa"/>
            <w:vMerge w:val="continue"/>
            <w:vAlign w:val="center"/>
          </w:tcPr>
          <w:p w14:paraId="5761BBEB">
            <w:pPr>
              <w:pageBreakBefore w:val="0"/>
              <w:wordWrap/>
              <w:topLinePunct w:val="0"/>
              <w:bidi w:val="0"/>
              <w:spacing w:line="240" w:lineRule="auto"/>
              <w:ind w:firstLine="0" w:firstLineChars="0"/>
              <w:jc w:val="center"/>
              <w:rPr>
                <w:color w:val="000000" w:themeColor="text1"/>
                <w:sz w:val="21"/>
                <w:szCs w:val="21"/>
                <w:highlight w:val="none"/>
              </w:rPr>
            </w:pPr>
          </w:p>
        </w:tc>
        <w:tc>
          <w:tcPr>
            <w:tcW w:w="2019" w:type="dxa"/>
            <w:vAlign w:val="center"/>
          </w:tcPr>
          <w:p w14:paraId="08FB94D8">
            <w:pPr>
              <w:pageBreakBefore w:val="0"/>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202</w:t>
            </w:r>
            <w:r>
              <w:rPr>
                <w:rFonts w:hint="eastAsia"/>
                <w:color w:val="000000" w:themeColor="text1"/>
                <w:kern w:val="0"/>
                <w:sz w:val="21"/>
                <w:szCs w:val="21"/>
                <w:highlight w:val="none"/>
                <w:lang w:val="en-US" w:eastAsia="zh-CN"/>
              </w:rPr>
              <w:t>7</w:t>
            </w:r>
            <w:r>
              <w:rPr>
                <w:color w:val="000000" w:themeColor="text1"/>
                <w:kern w:val="0"/>
                <w:sz w:val="21"/>
                <w:szCs w:val="21"/>
                <w:highlight w:val="none"/>
              </w:rPr>
              <w:t>年</w:t>
            </w:r>
          </w:p>
        </w:tc>
        <w:tc>
          <w:tcPr>
            <w:tcW w:w="2019" w:type="dxa"/>
            <w:vAlign w:val="center"/>
          </w:tcPr>
          <w:p w14:paraId="5AFA8F6F">
            <w:pPr>
              <w:pageBreakBefore w:val="0"/>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203</w:t>
            </w:r>
            <w:r>
              <w:rPr>
                <w:rFonts w:hint="eastAsia"/>
                <w:color w:val="000000" w:themeColor="text1"/>
                <w:kern w:val="0"/>
                <w:sz w:val="21"/>
                <w:szCs w:val="21"/>
                <w:highlight w:val="none"/>
                <w:lang w:val="en-US" w:eastAsia="zh-CN"/>
              </w:rPr>
              <w:t>3</w:t>
            </w:r>
            <w:r>
              <w:rPr>
                <w:color w:val="000000" w:themeColor="text1"/>
                <w:kern w:val="0"/>
                <w:sz w:val="21"/>
                <w:szCs w:val="21"/>
                <w:highlight w:val="none"/>
              </w:rPr>
              <w:t>年</w:t>
            </w:r>
          </w:p>
        </w:tc>
        <w:tc>
          <w:tcPr>
            <w:tcW w:w="2020" w:type="dxa"/>
            <w:vAlign w:val="center"/>
          </w:tcPr>
          <w:p w14:paraId="1A1C8409">
            <w:pPr>
              <w:pageBreakBefore w:val="0"/>
              <w:wordWrap/>
              <w:topLinePunct w:val="0"/>
              <w:bidi w:val="0"/>
              <w:spacing w:line="240" w:lineRule="auto"/>
              <w:ind w:firstLine="0" w:firstLineChars="0"/>
              <w:jc w:val="center"/>
              <w:rPr>
                <w:color w:val="000000" w:themeColor="text1"/>
                <w:kern w:val="0"/>
                <w:sz w:val="21"/>
                <w:szCs w:val="21"/>
                <w:highlight w:val="none"/>
              </w:rPr>
            </w:pPr>
            <w:r>
              <w:rPr>
                <w:color w:val="000000" w:themeColor="text1"/>
                <w:kern w:val="0"/>
                <w:sz w:val="21"/>
                <w:szCs w:val="21"/>
                <w:highlight w:val="none"/>
              </w:rPr>
              <w:t>20</w:t>
            </w:r>
            <w:r>
              <w:rPr>
                <w:rFonts w:hint="eastAsia"/>
                <w:color w:val="000000" w:themeColor="text1"/>
                <w:kern w:val="0"/>
                <w:sz w:val="21"/>
                <w:szCs w:val="21"/>
                <w:highlight w:val="none"/>
                <w:lang w:val="en-US" w:eastAsia="zh-CN"/>
              </w:rPr>
              <w:t>41</w:t>
            </w:r>
            <w:r>
              <w:rPr>
                <w:color w:val="000000" w:themeColor="text1"/>
                <w:kern w:val="0"/>
                <w:sz w:val="21"/>
                <w:szCs w:val="21"/>
                <w:highlight w:val="none"/>
              </w:rPr>
              <w:t>年</w:t>
            </w:r>
          </w:p>
        </w:tc>
      </w:tr>
      <w:tr w14:paraId="414027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70" w:type="dxa"/>
            <w:vAlign w:val="center"/>
          </w:tcPr>
          <w:p w14:paraId="205A2F57">
            <w:pPr>
              <w:pageBreakBefore w:val="0"/>
              <w:wordWrap/>
              <w:topLinePunct w:val="0"/>
              <w:bidi w:val="0"/>
              <w:spacing w:line="240" w:lineRule="auto"/>
              <w:ind w:firstLine="0" w:firstLineChars="0"/>
              <w:jc w:val="center"/>
              <w:rPr>
                <w:bCs/>
                <w:color w:val="000000" w:themeColor="text1"/>
                <w:kern w:val="0"/>
                <w:sz w:val="21"/>
                <w:szCs w:val="21"/>
                <w:highlight w:val="none"/>
              </w:rPr>
            </w:pPr>
            <w:r>
              <w:rPr>
                <w:rFonts w:hint="eastAsia"/>
                <w:color w:val="000000" w:themeColor="text1"/>
                <w:sz w:val="21"/>
                <w:szCs w:val="21"/>
                <w:highlight w:val="none"/>
                <w:lang w:val="en-US" w:eastAsia="zh-CN"/>
              </w:rPr>
              <w:t>跨铁路</w:t>
            </w:r>
            <w:r>
              <w:rPr>
                <w:rFonts w:hint="eastAsia"/>
                <w:color w:val="000000" w:themeColor="text1"/>
                <w:sz w:val="21"/>
                <w:szCs w:val="21"/>
                <w:highlight w:val="none"/>
              </w:rPr>
              <w:t>大桥</w:t>
            </w:r>
          </w:p>
        </w:tc>
        <w:tc>
          <w:tcPr>
            <w:tcW w:w="2019" w:type="dxa"/>
            <w:vAlign w:val="center"/>
          </w:tcPr>
          <w:p w14:paraId="349175F0">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2.99</w:t>
            </w:r>
            <w:r>
              <w:rPr>
                <w:rFonts w:hint="eastAsia"/>
                <w:color w:val="000000" w:themeColor="text1"/>
                <w:kern w:val="0"/>
                <w:sz w:val="21"/>
                <w:szCs w:val="21"/>
                <w:highlight w:val="none"/>
              </w:rPr>
              <w:t>×1</w:t>
            </w:r>
            <w:r>
              <w:rPr>
                <w:color w:val="000000" w:themeColor="text1"/>
                <w:kern w:val="0"/>
                <w:sz w:val="21"/>
                <w:szCs w:val="21"/>
                <w:highlight w:val="none"/>
              </w:rPr>
              <w:t>0</w:t>
            </w:r>
            <w:r>
              <w:rPr>
                <w:color w:val="000000" w:themeColor="text1"/>
                <w:kern w:val="0"/>
                <w:sz w:val="21"/>
                <w:szCs w:val="21"/>
                <w:highlight w:val="none"/>
                <w:vertAlign w:val="superscript"/>
              </w:rPr>
              <w:t>-</w:t>
            </w:r>
            <w:r>
              <w:rPr>
                <w:rFonts w:hint="eastAsia"/>
                <w:color w:val="000000" w:themeColor="text1"/>
                <w:kern w:val="0"/>
                <w:sz w:val="21"/>
                <w:szCs w:val="21"/>
                <w:highlight w:val="none"/>
                <w:vertAlign w:val="superscript"/>
                <w:lang w:val="en-US" w:eastAsia="zh-CN"/>
              </w:rPr>
              <w:t>6</w:t>
            </w:r>
          </w:p>
        </w:tc>
        <w:tc>
          <w:tcPr>
            <w:tcW w:w="2019" w:type="dxa"/>
            <w:vAlign w:val="center"/>
          </w:tcPr>
          <w:p w14:paraId="6A28F544">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3.10</w:t>
            </w:r>
            <w:r>
              <w:rPr>
                <w:rFonts w:hint="eastAsia"/>
                <w:color w:val="000000" w:themeColor="text1"/>
                <w:kern w:val="0"/>
                <w:sz w:val="21"/>
                <w:szCs w:val="21"/>
                <w:highlight w:val="none"/>
              </w:rPr>
              <w:t>×1</w:t>
            </w:r>
            <w:r>
              <w:rPr>
                <w:color w:val="000000" w:themeColor="text1"/>
                <w:kern w:val="0"/>
                <w:sz w:val="21"/>
                <w:szCs w:val="21"/>
                <w:highlight w:val="none"/>
              </w:rPr>
              <w:t>0</w:t>
            </w:r>
            <w:r>
              <w:rPr>
                <w:color w:val="000000" w:themeColor="text1"/>
                <w:kern w:val="0"/>
                <w:sz w:val="21"/>
                <w:szCs w:val="21"/>
                <w:highlight w:val="none"/>
                <w:vertAlign w:val="superscript"/>
              </w:rPr>
              <w:t>-</w:t>
            </w:r>
            <w:r>
              <w:rPr>
                <w:rFonts w:hint="eastAsia"/>
                <w:color w:val="000000" w:themeColor="text1"/>
                <w:kern w:val="0"/>
                <w:sz w:val="21"/>
                <w:szCs w:val="21"/>
                <w:highlight w:val="none"/>
                <w:vertAlign w:val="superscript"/>
                <w:lang w:val="en-US" w:eastAsia="zh-CN"/>
              </w:rPr>
              <w:t>6</w:t>
            </w:r>
          </w:p>
        </w:tc>
        <w:tc>
          <w:tcPr>
            <w:tcW w:w="2020" w:type="dxa"/>
            <w:vAlign w:val="center"/>
          </w:tcPr>
          <w:p w14:paraId="125D1C9E">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5.26</w:t>
            </w:r>
            <w:r>
              <w:rPr>
                <w:rFonts w:hint="eastAsia"/>
                <w:color w:val="000000" w:themeColor="text1"/>
                <w:kern w:val="0"/>
                <w:sz w:val="21"/>
                <w:szCs w:val="21"/>
                <w:highlight w:val="none"/>
              </w:rPr>
              <w:t>×1</w:t>
            </w:r>
            <w:r>
              <w:rPr>
                <w:color w:val="000000" w:themeColor="text1"/>
                <w:kern w:val="0"/>
                <w:sz w:val="21"/>
                <w:szCs w:val="21"/>
                <w:highlight w:val="none"/>
              </w:rPr>
              <w:t>0</w:t>
            </w:r>
            <w:r>
              <w:rPr>
                <w:color w:val="000000" w:themeColor="text1"/>
                <w:kern w:val="0"/>
                <w:sz w:val="21"/>
                <w:szCs w:val="21"/>
                <w:highlight w:val="none"/>
                <w:vertAlign w:val="superscript"/>
              </w:rPr>
              <w:t>-</w:t>
            </w:r>
            <w:r>
              <w:rPr>
                <w:rFonts w:hint="eastAsia"/>
                <w:color w:val="000000" w:themeColor="text1"/>
                <w:kern w:val="0"/>
                <w:sz w:val="21"/>
                <w:szCs w:val="21"/>
                <w:highlight w:val="none"/>
                <w:vertAlign w:val="superscript"/>
                <w:lang w:val="en-US" w:eastAsia="zh-CN"/>
              </w:rPr>
              <w:t>6</w:t>
            </w:r>
          </w:p>
        </w:tc>
      </w:tr>
      <w:tr w14:paraId="04A5C5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470" w:type="dxa"/>
            <w:vAlign w:val="center"/>
          </w:tcPr>
          <w:p w14:paraId="23155575">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lang w:val="en-US" w:eastAsia="zh-CN"/>
              </w:rPr>
              <w:t>跨朝鲜河中桥</w:t>
            </w:r>
          </w:p>
        </w:tc>
        <w:tc>
          <w:tcPr>
            <w:tcW w:w="2019" w:type="dxa"/>
            <w:vAlign w:val="center"/>
          </w:tcPr>
          <w:p w14:paraId="4DA40B1A">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0.65</w:t>
            </w:r>
            <w:r>
              <w:rPr>
                <w:rFonts w:hint="eastAsia"/>
                <w:color w:val="000000" w:themeColor="text1"/>
                <w:kern w:val="0"/>
                <w:sz w:val="21"/>
                <w:szCs w:val="21"/>
                <w:highlight w:val="none"/>
              </w:rPr>
              <w:t>×1</w:t>
            </w:r>
            <w:r>
              <w:rPr>
                <w:color w:val="000000" w:themeColor="text1"/>
                <w:kern w:val="0"/>
                <w:sz w:val="21"/>
                <w:szCs w:val="21"/>
                <w:highlight w:val="none"/>
              </w:rPr>
              <w:t>0</w:t>
            </w:r>
            <w:r>
              <w:rPr>
                <w:color w:val="000000" w:themeColor="text1"/>
                <w:kern w:val="0"/>
                <w:sz w:val="21"/>
                <w:szCs w:val="21"/>
                <w:highlight w:val="none"/>
                <w:vertAlign w:val="superscript"/>
              </w:rPr>
              <w:t>-</w:t>
            </w:r>
            <w:r>
              <w:rPr>
                <w:rFonts w:hint="eastAsia"/>
                <w:color w:val="000000" w:themeColor="text1"/>
                <w:kern w:val="0"/>
                <w:sz w:val="21"/>
                <w:szCs w:val="21"/>
                <w:highlight w:val="none"/>
                <w:vertAlign w:val="superscript"/>
                <w:lang w:val="en-US" w:eastAsia="zh-CN"/>
              </w:rPr>
              <w:t>6</w:t>
            </w:r>
          </w:p>
        </w:tc>
        <w:tc>
          <w:tcPr>
            <w:tcW w:w="2019" w:type="dxa"/>
            <w:vAlign w:val="center"/>
          </w:tcPr>
          <w:p w14:paraId="54063147">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0.68</w:t>
            </w:r>
            <w:r>
              <w:rPr>
                <w:rFonts w:hint="eastAsia"/>
                <w:color w:val="000000" w:themeColor="text1"/>
                <w:kern w:val="0"/>
                <w:sz w:val="21"/>
                <w:szCs w:val="21"/>
                <w:highlight w:val="none"/>
              </w:rPr>
              <w:t>×1</w:t>
            </w:r>
            <w:r>
              <w:rPr>
                <w:color w:val="000000" w:themeColor="text1"/>
                <w:kern w:val="0"/>
                <w:sz w:val="21"/>
                <w:szCs w:val="21"/>
                <w:highlight w:val="none"/>
              </w:rPr>
              <w:t>0</w:t>
            </w:r>
            <w:r>
              <w:rPr>
                <w:color w:val="000000" w:themeColor="text1"/>
                <w:kern w:val="0"/>
                <w:sz w:val="21"/>
                <w:szCs w:val="21"/>
                <w:highlight w:val="none"/>
                <w:vertAlign w:val="superscript"/>
              </w:rPr>
              <w:t>-</w:t>
            </w:r>
            <w:r>
              <w:rPr>
                <w:rFonts w:hint="eastAsia"/>
                <w:color w:val="000000" w:themeColor="text1"/>
                <w:kern w:val="0"/>
                <w:sz w:val="21"/>
                <w:szCs w:val="21"/>
                <w:highlight w:val="none"/>
                <w:vertAlign w:val="superscript"/>
                <w:lang w:val="en-US" w:eastAsia="zh-CN"/>
              </w:rPr>
              <w:t>6</w:t>
            </w:r>
          </w:p>
        </w:tc>
        <w:tc>
          <w:tcPr>
            <w:tcW w:w="2020" w:type="dxa"/>
            <w:vAlign w:val="center"/>
          </w:tcPr>
          <w:p w14:paraId="5E761937">
            <w:pPr>
              <w:pageBreakBefore w:val="0"/>
              <w:wordWrap/>
              <w:topLinePunct w:val="0"/>
              <w:bidi w:val="0"/>
              <w:spacing w:line="240" w:lineRule="auto"/>
              <w:ind w:firstLine="0" w:firstLineChars="0"/>
              <w:jc w:val="center"/>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val="en-US" w:eastAsia="zh-CN"/>
              </w:rPr>
              <w:t>1.15</w:t>
            </w:r>
            <w:r>
              <w:rPr>
                <w:rFonts w:hint="eastAsia"/>
                <w:color w:val="000000" w:themeColor="text1"/>
                <w:kern w:val="0"/>
                <w:sz w:val="21"/>
                <w:szCs w:val="21"/>
                <w:highlight w:val="none"/>
              </w:rPr>
              <w:t>×1</w:t>
            </w:r>
            <w:r>
              <w:rPr>
                <w:color w:val="000000" w:themeColor="text1"/>
                <w:kern w:val="0"/>
                <w:sz w:val="21"/>
                <w:szCs w:val="21"/>
                <w:highlight w:val="none"/>
              </w:rPr>
              <w:t>0</w:t>
            </w:r>
            <w:r>
              <w:rPr>
                <w:color w:val="000000" w:themeColor="text1"/>
                <w:kern w:val="0"/>
                <w:sz w:val="21"/>
                <w:szCs w:val="21"/>
                <w:highlight w:val="none"/>
                <w:vertAlign w:val="superscript"/>
              </w:rPr>
              <w:t>-</w:t>
            </w:r>
            <w:r>
              <w:rPr>
                <w:rFonts w:hint="eastAsia"/>
                <w:color w:val="000000" w:themeColor="text1"/>
                <w:kern w:val="0"/>
                <w:sz w:val="21"/>
                <w:szCs w:val="21"/>
                <w:highlight w:val="none"/>
                <w:vertAlign w:val="superscript"/>
                <w:lang w:val="en-US" w:eastAsia="zh-CN"/>
              </w:rPr>
              <w:t>6</w:t>
            </w:r>
          </w:p>
        </w:tc>
      </w:tr>
    </w:tbl>
    <w:p w14:paraId="5004A092">
      <w:pPr>
        <w:pageBreakBefore w:val="0"/>
        <w:wordWrap/>
        <w:topLinePunct w:val="0"/>
        <w:bidi w:val="0"/>
        <w:spacing w:line="360" w:lineRule="auto"/>
        <w:rPr>
          <w:color w:val="000000" w:themeColor="text1"/>
          <w:highlight w:val="none"/>
        </w:rPr>
      </w:pPr>
      <w:r>
        <w:rPr>
          <w:color w:val="000000" w:themeColor="text1"/>
          <w:highlight w:val="none"/>
        </w:rPr>
        <w:t>（4）结果分析</w:t>
      </w:r>
    </w:p>
    <w:p w14:paraId="0F36FA7C">
      <w:pPr>
        <w:pageBreakBefore w:val="0"/>
        <w:wordWrap/>
        <w:topLinePunct w:val="0"/>
        <w:bidi w:val="0"/>
        <w:spacing w:line="360" w:lineRule="auto"/>
        <w:rPr>
          <w:color w:val="000000" w:themeColor="text1"/>
          <w:highlight w:val="none"/>
        </w:rPr>
      </w:pPr>
      <w:r>
        <w:rPr>
          <w:color w:val="000000" w:themeColor="text1"/>
          <w:highlight w:val="none"/>
        </w:rPr>
        <w:t>由表6.2-2预测结果可以看出，拟建公路</w:t>
      </w:r>
      <w:r>
        <w:rPr>
          <w:rFonts w:hint="eastAsia"/>
          <w:color w:val="000000" w:themeColor="text1"/>
          <w:sz w:val="24"/>
          <w:szCs w:val="24"/>
          <w:highlight w:val="none"/>
          <w:lang w:val="en-US" w:eastAsia="zh-CN"/>
        </w:rPr>
        <w:t>跨铁路</w:t>
      </w:r>
      <w:r>
        <w:rPr>
          <w:rFonts w:hint="eastAsia"/>
          <w:color w:val="000000" w:themeColor="text1"/>
          <w:sz w:val="24"/>
          <w:szCs w:val="24"/>
          <w:highlight w:val="none"/>
        </w:rPr>
        <w:t>大桥</w:t>
      </w:r>
      <w:r>
        <w:rPr>
          <w:rFonts w:hint="eastAsia"/>
          <w:color w:val="000000" w:themeColor="text1"/>
          <w:highlight w:val="none"/>
        </w:rPr>
        <w:t>、</w:t>
      </w:r>
      <w:r>
        <w:rPr>
          <w:rFonts w:hint="eastAsia"/>
          <w:color w:val="000000" w:themeColor="text1"/>
          <w:highlight w:val="none"/>
          <w:lang w:val="en-US" w:eastAsia="zh-CN"/>
        </w:rPr>
        <w:t>跨朝鲜河中桥</w:t>
      </w:r>
      <w:r>
        <w:rPr>
          <w:rFonts w:hint="eastAsia"/>
          <w:color w:val="000000" w:themeColor="text1"/>
          <w:highlight w:val="none"/>
        </w:rPr>
        <w:t>路段</w:t>
      </w:r>
      <w:r>
        <w:rPr>
          <w:color w:val="000000" w:themeColor="text1"/>
          <w:highlight w:val="none"/>
        </w:rPr>
        <w:t>事故发生率较低。但是根据概率论原理，这种小概率事件还有可能发生，</w:t>
      </w:r>
      <w:r>
        <w:rPr>
          <w:rFonts w:hint="eastAsia"/>
          <w:color w:val="000000" w:themeColor="text1"/>
          <w:highlight w:val="none"/>
        </w:rPr>
        <w:t>所以不能排除重大交通事故等意外事件的发生</w:t>
      </w:r>
      <w:r>
        <w:rPr>
          <w:color w:val="000000" w:themeColor="text1"/>
          <w:highlight w:val="none"/>
        </w:rPr>
        <w:t>。</w:t>
      </w:r>
    </w:p>
    <w:p w14:paraId="4BBD64AE">
      <w:pPr>
        <w:pageBreakBefore w:val="0"/>
        <w:wordWrap/>
        <w:topLinePunct w:val="0"/>
        <w:bidi w:val="0"/>
        <w:spacing w:line="360" w:lineRule="auto"/>
        <w:rPr>
          <w:color w:val="000000" w:themeColor="text1"/>
          <w:highlight w:val="none"/>
        </w:rPr>
      </w:pPr>
      <w:r>
        <w:rPr>
          <w:color w:val="000000" w:themeColor="text1"/>
          <w:highlight w:val="none"/>
        </w:rPr>
        <w:t>因此，各部门对该路段水质安全必须予以高度重视，按最严格环保要求来实施各项措施，即从工程设计、监控机管理等多方面降低该类事故发生几率，如设置雨水径流收集系统</w:t>
      </w:r>
      <w:r>
        <w:rPr>
          <w:rFonts w:hint="eastAsia"/>
          <w:color w:val="000000" w:themeColor="text1"/>
          <w:highlight w:val="none"/>
        </w:rPr>
        <w:t>和边沟</w:t>
      </w:r>
      <w:r>
        <w:rPr>
          <w:color w:val="000000" w:themeColor="text1"/>
          <w:highlight w:val="none"/>
        </w:rPr>
        <w:t>，增加防撞栏厚度、高度同时应加强其防撞强度等。同时备有应急措施计划，把事故发生后对</w:t>
      </w:r>
      <w:r>
        <w:rPr>
          <w:rFonts w:hint="eastAsia"/>
          <w:color w:val="000000" w:themeColor="text1"/>
          <w:highlight w:val="none"/>
          <w:lang w:val="en-US" w:eastAsia="zh-CN"/>
        </w:rPr>
        <w:t>铁路</w:t>
      </w:r>
      <w:r>
        <w:rPr>
          <w:rFonts w:hint="eastAsia"/>
          <w:color w:val="000000" w:themeColor="text1"/>
          <w:highlight w:val="none"/>
        </w:rPr>
        <w:t>、</w:t>
      </w:r>
      <w:r>
        <w:rPr>
          <w:rFonts w:hint="eastAsia"/>
          <w:color w:val="000000" w:themeColor="text1"/>
          <w:highlight w:val="none"/>
          <w:lang w:val="en-US" w:eastAsia="zh-CN"/>
        </w:rPr>
        <w:t>朝鲜河</w:t>
      </w:r>
      <w:r>
        <w:rPr>
          <w:color w:val="000000" w:themeColor="text1"/>
          <w:highlight w:val="none"/>
        </w:rPr>
        <w:t>的危害降低到最低程度。</w:t>
      </w:r>
    </w:p>
    <w:bookmarkEnd w:id="423"/>
    <w:p w14:paraId="0D2AFB82">
      <w:pPr>
        <w:pStyle w:val="3"/>
        <w:pageBreakBefore w:val="0"/>
        <w:wordWrap/>
        <w:topLinePunct w:val="0"/>
        <w:bidi w:val="0"/>
        <w:spacing w:line="360" w:lineRule="auto"/>
        <w:rPr>
          <w:color w:val="000000" w:themeColor="text1"/>
          <w:highlight w:val="none"/>
        </w:rPr>
      </w:pPr>
      <w:bookmarkStart w:id="427" w:name="_Toc518574384"/>
      <w:bookmarkStart w:id="428" w:name="_Toc9171"/>
      <w:bookmarkStart w:id="429" w:name="_Toc12247"/>
      <w:bookmarkStart w:id="430" w:name="_Toc29110"/>
      <w:bookmarkStart w:id="431" w:name="_Toc17635"/>
      <w:r>
        <w:rPr>
          <w:rFonts w:hint="eastAsia"/>
          <w:color w:val="000000" w:themeColor="text1"/>
          <w:highlight w:val="none"/>
        </w:rPr>
        <w:t>6</w:t>
      </w:r>
      <w:r>
        <w:rPr>
          <w:color w:val="000000" w:themeColor="text1"/>
          <w:highlight w:val="none"/>
        </w:rPr>
        <w:t>.3环境风险分析</w:t>
      </w:r>
      <w:bookmarkEnd w:id="427"/>
      <w:bookmarkEnd w:id="428"/>
      <w:bookmarkEnd w:id="429"/>
      <w:bookmarkEnd w:id="430"/>
      <w:bookmarkEnd w:id="431"/>
    </w:p>
    <w:p w14:paraId="35C6BBCB">
      <w:pPr>
        <w:pageBreakBefore w:val="0"/>
        <w:wordWrap/>
        <w:topLinePunct w:val="0"/>
        <w:bidi w:val="0"/>
        <w:spacing w:line="360" w:lineRule="auto"/>
        <w:rPr>
          <w:color w:val="000000" w:themeColor="text1"/>
          <w:highlight w:val="none"/>
        </w:rPr>
      </w:pPr>
      <w:r>
        <w:rPr>
          <w:rFonts w:hint="eastAsia"/>
          <w:color w:val="000000" w:themeColor="text1"/>
          <w:highlight w:val="none"/>
        </w:rPr>
        <w:t>根据《建设项目环境风险评价技术导则》（HJ169-2018），建设项目环境风险主要通过环境空气、地表水环境及地下水环境3个方面进行环境风险分析。同时根据物质危险性和环境敏感性，进行风险识别，源项分析，对环境风险进行分析、预测和评估，提出环境风险预防、控制和减缓措施。根据《建设项目环境风险评价技术导则》（HJ169-2018）生态环境影响不属于环境风险评价内容，故本项目环境风险主要针对公路</w:t>
      </w:r>
      <w:r>
        <w:rPr>
          <w:rFonts w:hint="eastAsia"/>
          <w:color w:val="000000" w:themeColor="text1"/>
          <w:highlight w:val="none"/>
          <w:lang w:val="en-US" w:eastAsia="zh-CN"/>
        </w:rPr>
        <w:t>跨越</w:t>
      </w:r>
      <w:r>
        <w:rPr>
          <w:rFonts w:hint="eastAsia"/>
          <w:color w:val="000000" w:themeColor="text1"/>
          <w:highlight w:val="none"/>
        </w:rPr>
        <w:t>的较大河流</w:t>
      </w:r>
      <w:r>
        <w:rPr>
          <w:rFonts w:hint="eastAsia"/>
          <w:color w:val="000000" w:themeColor="text1"/>
          <w:highlight w:val="none"/>
          <w:lang w:val="en-US" w:eastAsia="zh-CN"/>
        </w:rPr>
        <w:t>朝鲜河</w:t>
      </w:r>
      <w:r>
        <w:rPr>
          <w:rFonts w:hint="eastAsia"/>
          <w:color w:val="000000" w:themeColor="text1"/>
          <w:highlight w:val="none"/>
        </w:rPr>
        <w:t>水体进行风险分析。</w:t>
      </w:r>
    </w:p>
    <w:p w14:paraId="60428A18">
      <w:pPr>
        <w:pStyle w:val="4"/>
        <w:pageBreakBefore w:val="0"/>
        <w:wordWrap/>
        <w:topLinePunct w:val="0"/>
        <w:bidi w:val="0"/>
        <w:spacing w:before="120" w:line="360" w:lineRule="auto"/>
        <w:ind w:left="851" w:hanging="851"/>
        <w:rPr>
          <w:color w:val="000000" w:themeColor="text1"/>
          <w:highlight w:val="none"/>
        </w:rPr>
      </w:pPr>
      <w:bookmarkStart w:id="432" w:name="_Toc25601"/>
      <w:bookmarkStart w:id="433" w:name="_Toc15846"/>
      <w:r>
        <w:rPr>
          <w:rFonts w:hint="eastAsia"/>
          <w:color w:val="000000" w:themeColor="text1"/>
          <w:highlight w:val="none"/>
        </w:rPr>
        <w:t>6</w:t>
      </w:r>
      <w:r>
        <w:rPr>
          <w:color w:val="000000" w:themeColor="text1"/>
          <w:highlight w:val="none"/>
        </w:rPr>
        <w:t>.3.1施工期</w:t>
      </w:r>
      <w:bookmarkEnd w:id="432"/>
      <w:bookmarkEnd w:id="433"/>
    </w:p>
    <w:p w14:paraId="2E055A01">
      <w:pPr>
        <w:pageBreakBefore w:val="0"/>
        <w:wordWrap/>
        <w:topLinePunct w:val="0"/>
        <w:bidi w:val="0"/>
        <w:spacing w:line="360" w:lineRule="auto"/>
        <w:rPr>
          <w:color w:val="000000" w:themeColor="text1"/>
          <w:highlight w:val="none"/>
        </w:rPr>
      </w:pPr>
      <w:r>
        <w:rPr>
          <w:rFonts w:hint="eastAsia"/>
          <w:color w:val="000000" w:themeColor="text1"/>
          <w:highlight w:val="none"/>
        </w:rPr>
        <w:t>本项目施工期桥梁工程施工如果管理、操作不当，则可能发生污染地表水环境的环境风险事故，主要表现为：一是施工期间施工机械发生事故落入水体，本身携带的柴油、机油泄漏，进入水体；二是有毒有害的油类、化学品等建筑材料运输、贮存中，发生泄露、流失等事故，有毒有害物质进入地表水体，对地表水体造成污染</w:t>
      </w:r>
      <w:r>
        <w:rPr>
          <w:color w:val="000000" w:themeColor="text1"/>
          <w:highlight w:val="none"/>
        </w:rPr>
        <w:t>。</w:t>
      </w:r>
    </w:p>
    <w:p w14:paraId="461A2C99">
      <w:pPr>
        <w:pStyle w:val="4"/>
        <w:pageBreakBefore w:val="0"/>
        <w:wordWrap/>
        <w:topLinePunct w:val="0"/>
        <w:bidi w:val="0"/>
        <w:spacing w:before="120" w:line="360" w:lineRule="auto"/>
        <w:ind w:left="851" w:hanging="851"/>
        <w:rPr>
          <w:color w:val="000000" w:themeColor="text1"/>
          <w:highlight w:val="none"/>
        </w:rPr>
      </w:pPr>
      <w:bookmarkStart w:id="434" w:name="_Toc16308"/>
      <w:bookmarkStart w:id="435" w:name="_Toc15406"/>
      <w:r>
        <w:rPr>
          <w:rFonts w:hint="eastAsia"/>
          <w:color w:val="000000" w:themeColor="text1"/>
          <w:highlight w:val="none"/>
        </w:rPr>
        <w:t>6</w:t>
      </w:r>
      <w:r>
        <w:rPr>
          <w:color w:val="000000" w:themeColor="text1"/>
          <w:highlight w:val="none"/>
        </w:rPr>
        <w:t>.3.2运营期</w:t>
      </w:r>
      <w:bookmarkEnd w:id="434"/>
      <w:bookmarkEnd w:id="435"/>
    </w:p>
    <w:p w14:paraId="0BB758A4">
      <w:pPr>
        <w:pageBreakBefore w:val="0"/>
        <w:wordWrap/>
        <w:topLinePunct w:val="0"/>
        <w:bidi w:val="0"/>
        <w:spacing w:line="360" w:lineRule="auto"/>
        <w:rPr>
          <w:color w:val="000000" w:themeColor="text1"/>
          <w:highlight w:val="none"/>
        </w:rPr>
      </w:pPr>
      <w:r>
        <w:rPr>
          <w:rFonts w:hint="eastAsia"/>
          <w:color w:val="000000" w:themeColor="text1"/>
          <w:highlight w:val="none"/>
        </w:rPr>
        <w:t>公路运输易燃易爆危险品过程中，一旦发生事故很难及时扑救，对环境造成一定影响；对于运输有毒气体车辆泄漏事故，因其排放总量小，只要人员及时撤离到一定的距离就可避免伤亡，对已排泄到空气的有毒气体只能靠大气扩散、稀释逐渐降低有毒气体浓度；对环境危害最大的是有毒有害物质进入地表水体，对本项目而言，由于交通事故、储罐老化破裂等导致车辆运输危险品泄露、爆炸等隐患事故时危险品泄入水体，造成污染。</w:t>
      </w:r>
    </w:p>
    <w:p w14:paraId="02EAEE7E">
      <w:pPr>
        <w:pStyle w:val="3"/>
        <w:pageBreakBefore w:val="0"/>
        <w:wordWrap/>
        <w:topLinePunct w:val="0"/>
        <w:bidi w:val="0"/>
        <w:spacing w:line="360" w:lineRule="auto"/>
        <w:rPr>
          <w:color w:val="000000" w:themeColor="text1"/>
          <w:highlight w:val="none"/>
        </w:rPr>
      </w:pPr>
      <w:bookmarkStart w:id="436" w:name="_Toc4408"/>
      <w:bookmarkStart w:id="437" w:name="_Toc15191"/>
      <w:bookmarkStart w:id="438" w:name="_Toc9343"/>
      <w:bookmarkStart w:id="439" w:name="_Toc397591598"/>
      <w:bookmarkStart w:id="440" w:name="_Toc518574385"/>
      <w:bookmarkStart w:id="441" w:name="_Toc829"/>
      <w:r>
        <w:rPr>
          <w:rFonts w:hint="eastAsia"/>
          <w:color w:val="000000" w:themeColor="text1"/>
          <w:highlight w:val="none"/>
        </w:rPr>
        <w:t>6</w:t>
      </w:r>
      <w:r>
        <w:rPr>
          <w:color w:val="000000" w:themeColor="text1"/>
          <w:highlight w:val="none"/>
        </w:rPr>
        <w:t>.4事故防范措施</w:t>
      </w:r>
      <w:bookmarkEnd w:id="436"/>
      <w:bookmarkEnd w:id="437"/>
      <w:bookmarkEnd w:id="438"/>
      <w:bookmarkEnd w:id="439"/>
      <w:bookmarkEnd w:id="440"/>
      <w:bookmarkEnd w:id="441"/>
    </w:p>
    <w:p w14:paraId="7218626E">
      <w:pPr>
        <w:pStyle w:val="4"/>
        <w:pageBreakBefore w:val="0"/>
        <w:wordWrap/>
        <w:topLinePunct w:val="0"/>
        <w:bidi w:val="0"/>
        <w:spacing w:before="120" w:line="360" w:lineRule="auto"/>
        <w:ind w:left="851" w:hanging="851"/>
        <w:rPr>
          <w:color w:val="000000" w:themeColor="text1"/>
          <w:highlight w:val="none"/>
        </w:rPr>
      </w:pPr>
      <w:r>
        <w:rPr>
          <w:color w:val="000000" w:themeColor="text1"/>
          <w:highlight w:val="none"/>
        </w:rPr>
        <w:t xml:space="preserve">6.4.1 </w:t>
      </w:r>
      <w:bookmarkStart w:id="442" w:name="_Toc18249"/>
      <w:bookmarkStart w:id="443" w:name="_Toc26888"/>
      <w:r>
        <w:rPr>
          <w:color w:val="000000" w:themeColor="text1"/>
          <w:highlight w:val="none"/>
        </w:rPr>
        <w:t>施工期</w:t>
      </w:r>
      <w:bookmarkEnd w:id="442"/>
      <w:bookmarkEnd w:id="443"/>
    </w:p>
    <w:p w14:paraId="13680D00">
      <w:pPr>
        <w:pageBreakBefore w:val="0"/>
        <w:wordWrap/>
        <w:topLinePunct w:val="0"/>
        <w:bidi w:val="0"/>
        <w:spacing w:line="360" w:lineRule="auto"/>
        <w:rPr>
          <w:color w:val="000000" w:themeColor="text1"/>
          <w:highlight w:val="none"/>
        </w:rPr>
      </w:pPr>
      <w:bookmarkStart w:id="444" w:name="_Toc17586"/>
      <w:bookmarkStart w:id="445" w:name="_Toc23532"/>
      <w:r>
        <w:rPr>
          <w:rFonts w:hint="eastAsia"/>
          <w:color w:val="000000" w:themeColor="text1"/>
          <w:highlight w:val="none"/>
        </w:rPr>
        <w:t>（1）工程招标阶段招标文件中应明确</w:t>
      </w:r>
      <w:r>
        <w:rPr>
          <w:rFonts w:hint="eastAsia"/>
          <w:color w:val="000000" w:themeColor="text1"/>
          <w:highlight w:val="none"/>
          <w:lang w:val="en-US" w:eastAsia="zh-CN"/>
        </w:rPr>
        <w:t>跨越地表水体</w:t>
      </w:r>
      <w:r>
        <w:rPr>
          <w:rFonts w:hint="eastAsia"/>
          <w:color w:val="000000" w:themeColor="text1"/>
          <w:highlight w:val="none"/>
        </w:rPr>
        <w:t>情况问题，投标阶段工程承包商要承诺其对</w:t>
      </w:r>
      <w:r>
        <w:rPr>
          <w:rFonts w:hint="eastAsia"/>
          <w:color w:val="000000" w:themeColor="text1"/>
          <w:highlight w:val="none"/>
          <w:lang w:val="en-US" w:eastAsia="zh-CN"/>
        </w:rPr>
        <w:t>地表水体</w:t>
      </w:r>
      <w:r>
        <w:rPr>
          <w:rFonts w:hint="eastAsia"/>
          <w:color w:val="000000" w:themeColor="text1"/>
          <w:highlight w:val="none"/>
        </w:rPr>
        <w:t>的保护任务，接受业主和地方环保主管部门的监督。</w:t>
      </w:r>
    </w:p>
    <w:p w14:paraId="6261D33F">
      <w:pPr>
        <w:pageBreakBefore w:val="0"/>
        <w:wordWrap/>
        <w:topLinePunct w:val="0"/>
        <w:bidi w:val="0"/>
        <w:spacing w:line="360" w:lineRule="auto"/>
        <w:rPr>
          <w:color w:val="000000" w:themeColor="text1"/>
          <w:highlight w:val="none"/>
        </w:rPr>
      </w:pPr>
      <w:r>
        <w:rPr>
          <w:rFonts w:hint="eastAsia"/>
          <w:color w:val="000000" w:themeColor="text1"/>
          <w:highlight w:val="none"/>
        </w:rPr>
        <w:t>（2）桥涵施工应选在枯水期施工，严禁将桥涵基础施工产生的泥浆、钻渣排入水体，施工区周围设置截水沟和沉淀池进行沉淀处理；施工钻孔泥浆采用</w:t>
      </w:r>
      <w:r>
        <w:rPr>
          <w:color w:val="000000" w:themeColor="text1"/>
          <w:highlight w:val="none"/>
        </w:rPr>
        <w:t>泥浆分离机处理后泥浆重复回用</w:t>
      </w:r>
      <w:r>
        <w:rPr>
          <w:rFonts w:hint="eastAsia"/>
          <w:color w:val="000000" w:themeColor="text1"/>
          <w:highlight w:val="none"/>
        </w:rPr>
        <w:t>；施工结束后剩余泥浆经干化后作为原施工场地内沉淀池等平整填埋使用。钻渣经沉淀后运至</w:t>
      </w:r>
      <w:r>
        <w:rPr>
          <w:rFonts w:hint="eastAsia"/>
          <w:color w:val="000000" w:themeColor="text1"/>
          <w:kern w:val="0"/>
          <w:highlight w:val="none"/>
        </w:rPr>
        <w:t>线路附件施工段</w:t>
      </w:r>
      <w:r>
        <w:rPr>
          <w:color w:val="000000" w:themeColor="text1"/>
          <w:kern w:val="0"/>
          <w:highlight w:val="none"/>
        </w:rPr>
        <w:t>作为填</w:t>
      </w:r>
      <w:r>
        <w:rPr>
          <w:rFonts w:hint="eastAsia"/>
          <w:color w:val="000000" w:themeColor="text1"/>
          <w:kern w:val="0"/>
          <w:highlight w:val="none"/>
        </w:rPr>
        <w:t>方使用</w:t>
      </w:r>
      <w:r>
        <w:rPr>
          <w:rFonts w:hint="eastAsia"/>
          <w:color w:val="000000" w:themeColor="text1"/>
          <w:highlight w:val="none"/>
        </w:rPr>
        <w:t>。</w:t>
      </w:r>
    </w:p>
    <w:p w14:paraId="4479B43F">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3</w:t>
      </w:r>
      <w:r>
        <w:rPr>
          <w:rFonts w:hint="eastAsia"/>
          <w:color w:val="000000" w:themeColor="text1"/>
          <w:highlight w:val="none"/>
        </w:rPr>
        <w:t>）施工生产生活区周围设置截水沟和隔油沉淀池，防止降雨冲刷泥土进入地表水体。</w:t>
      </w:r>
    </w:p>
    <w:p w14:paraId="536DB1AC">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4</w:t>
      </w:r>
      <w:r>
        <w:rPr>
          <w:rFonts w:hint="eastAsia"/>
          <w:color w:val="000000" w:themeColor="text1"/>
          <w:highlight w:val="none"/>
        </w:rPr>
        <w:t>）建筑材料远离水体且无汇入支流的空旷地带存放，并进行遮盖，设置截水沟和沉沙池并进行沉淀处理，防止被雨水冲刷进入地表水体。</w:t>
      </w:r>
    </w:p>
    <w:p w14:paraId="6D0DAADA">
      <w:pPr>
        <w:pStyle w:val="42"/>
        <w:pageBreakBefore w:val="0"/>
        <w:wordWrap/>
        <w:topLinePunct w:val="0"/>
        <w:bidi w:val="0"/>
        <w:spacing w:line="360" w:lineRule="auto"/>
        <w:ind w:firstLine="480" w:firstLineChars="200"/>
        <w:jc w:val="both"/>
        <w:rPr>
          <w:rFonts w:ascii="Times New Roman" w:eastAsia="宋体"/>
          <w:color w:val="000000" w:themeColor="text1"/>
          <w:kern w:val="2"/>
          <w:highlight w:val="none"/>
        </w:rPr>
      </w:pPr>
      <w:r>
        <w:rPr>
          <w:rFonts w:hint="eastAsia" w:ascii="Times New Roman" w:eastAsia="宋体"/>
          <w:color w:val="000000" w:themeColor="text1"/>
          <w:kern w:val="2"/>
          <w:highlight w:val="none"/>
        </w:rPr>
        <w:t>（</w:t>
      </w:r>
      <w:r>
        <w:rPr>
          <w:rFonts w:hint="eastAsia" w:ascii="Times New Roman" w:eastAsia="宋体"/>
          <w:color w:val="000000" w:themeColor="text1"/>
          <w:kern w:val="2"/>
          <w:highlight w:val="none"/>
          <w:lang w:val="en-US" w:eastAsia="zh-CN"/>
        </w:rPr>
        <w:t>5</w:t>
      </w:r>
      <w:r>
        <w:rPr>
          <w:rFonts w:hint="eastAsia" w:ascii="Times New Roman" w:eastAsia="宋体"/>
          <w:color w:val="000000" w:themeColor="text1"/>
          <w:kern w:val="2"/>
          <w:highlight w:val="none"/>
        </w:rPr>
        <w:t>）</w:t>
      </w:r>
      <w:r>
        <w:rPr>
          <w:rFonts w:ascii="Times New Roman" w:eastAsia="宋体"/>
          <w:color w:val="000000" w:themeColor="text1"/>
          <w:kern w:val="2"/>
          <w:highlight w:val="none"/>
        </w:rPr>
        <w:t>驶入、驶出</w:t>
      </w:r>
      <w:r>
        <w:rPr>
          <w:rFonts w:hint="eastAsia" w:ascii="Times New Roman" w:eastAsia="宋体"/>
          <w:color w:val="000000" w:themeColor="text1"/>
          <w:kern w:val="2"/>
          <w:highlight w:val="none"/>
          <w:lang w:val="en-US" w:eastAsia="zh-CN"/>
        </w:rPr>
        <w:t>朝鲜河</w:t>
      </w:r>
      <w:r>
        <w:rPr>
          <w:rFonts w:ascii="Times New Roman" w:eastAsia="宋体"/>
          <w:color w:val="000000" w:themeColor="text1"/>
          <w:kern w:val="2"/>
          <w:highlight w:val="none"/>
        </w:rPr>
        <w:t>路段设置</w:t>
      </w:r>
      <w:r>
        <w:rPr>
          <w:rFonts w:hint="eastAsia" w:ascii="Times New Roman" w:eastAsia="宋体"/>
          <w:color w:val="000000" w:themeColor="text1"/>
          <w:kern w:val="2"/>
          <w:highlight w:val="none"/>
          <w:lang w:val="en-US" w:eastAsia="zh-CN"/>
        </w:rPr>
        <w:t>减速</w:t>
      </w:r>
      <w:r>
        <w:rPr>
          <w:rFonts w:ascii="Times New Roman" w:eastAsia="宋体"/>
          <w:color w:val="000000" w:themeColor="text1"/>
          <w:kern w:val="2"/>
          <w:highlight w:val="none"/>
        </w:rPr>
        <w:t>标志，提醒物料运输司机此路段</w:t>
      </w:r>
      <w:r>
        <w:rPr>
          <w:rFonts w:hint="eastAsia" w:ascii="Times New Roman" w:eastAsia="宋体"/>
          <w:color w:val="000000" w:themeColor="text1"/>
          <w:kern w:val="2"/>
          <w:highlight w:val="none"/>
          <w:lang w:val="en-US" w:eastAsia="zh-CN"/>
        </w:rPr>
        <w:t>减速</w:t>
      </w:r>
      <w:r>
        <w:rPr>
          <w:rFonts w:ascii="Times New Roman" w:eastAsia="宋体"/>
          <w:color w:val="000000" w:themeColor="text1"/>
          <w:kern w:val="2"/>
          <w:highlight w:val="none"/>
        </w:rPr>
        <w:t>行驶，减少危险事故的发生。</w:t>
      </w:r>
    </w:p>
    <w:p w14:paraId="08254356">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6</w:t>
      </w:r>
      <w:r>
        <w:rPr>
          <w:rFonts w:hint="eastAsia"/>
          <w:color w:val="000000" w:themeColor="text1"/>
          <w:highlight w:val="none"/>
        </w:rPr>
        <w:t>）施工期成立专门组织机构，负责组织处理紧急事故，发现事故预兆要及时上报相关部门，并采取措施预防降低事故发生可能性。一旦发生事故，应及时通知主管部门，及时采取减缓措施，减少事故危害范围和程度</w:t>
      </w:r>
      <w:r>
        <w:rPr>
          <w:rFonts w:hint="eastAsia"/>
          <w:color w:val="000000" w:themeColor="text1"/>
          <w:highlight w:val="none"/>
          <w:lang w:val="en-US" w:eastAsia="zh-CN"/>
        </w:rPr>
        <w:t>及</w:t>
      </w:r>
      <w:r>
        <w:rPr>
          <w:rFonts w:hint="eastAsia"/>
          <w:color w:val="000000" w:themeColor="text1"/>
          <w:highlight w:val="none"/>
        </w:rPr>
        <w:t>对</w:t>
      </w:r>
      <w:r>
        <w:rPr>
          <w:rFonts w:hint="eastAsia"/>
          <w:color w:val="000000" w:themeColor="text1"/>
          <w:highlight w:val="none"/>
          <w:lang w:val="en-US" w:eastAsia="zh-CN"/>
        </w:rPr>
        <w:t>周边环境</w:t>
      </w:r>
      <w:r>
        <w:rPr>
          <w:rFonts w:hint="eastAsia"/>
          <w:color w:val="000000" w:themeColor="text1"/>
          <w:highlight w:val="none"/>
        </w:rPr>
        <w:t>的影响。</w:t>
      </w:r>
    </w:p>
    <w:p w14:paraId="434180AB">
      <w:pPr>
        <w:pStyle w:val="4"/>
        <w:pageBreakBefore w:val="0"/>
        <w:wordWrap/>
        <w:topLinePunct w:val="0"/>
        <w:bidi w:val="0"/>
        <w:spacing w:before="120" w:line="360" w:lineRule="auto"/>
        <w:ind w:left="851" w:hanging="851"/>
        <w:rPr>
          <w:color w:val="000000" w:themeColor="text1"/>
          <w:highlight w:val="none"/>
        </w:rPr>
      </w:pPr>
      <w:r>
        <w:rPr>
          <w:rFonts w:hint="eastAsia"/>
          <w:color w:val="000000" w:themeColor="text1"/>
          <w:highlight w:val="none"/>
        </w:rPr>
        <w:t>6</w:t>
      </w:r>
      <w:r>
        <w:rPr>
          <w:color w:val="000000" w:themeColor="text1"/>
          <w:highlight w:val="none"/>
        </w:rPr>
        <w:t>.4.2运营期</w:t>
      </w:r>
      <w:bookmarkEnd w:id="444"/>
      <w:bookmarkEnd w:id="445"/>
      <w:bookmarkStart w:id="446" w:name="_Hlk77232992"/>
    </w:p>
    <w:p w14:paraId="68312FEF">
      <w:pPr>
        <w:pageBreakBefore w:val="0"/>
        <w:wordWrap/>
        <w:topLinePunct w:val="0"/>
        <w:bidi w:val="0"/>
        <w:spacing w:line="360" w:lineRule="auto"/>
        <w:rPr>
          <w:color w:val="000000" w:themeColor="text1"/>
          <w:highlight w:val="none"/>
        </w:rPr>
      </w:pPr>
      <w:r>
        <w:rPr>
          <w:rFonts w:hint="eastAsia"/>
          <w:color w:val="000000" w:themeColor="text1"/>
          <w:highlight w:val="none"/>
        </w:rPr>
        <w:t>为预防由于客观原因运输危险品车辆进入本工程发生风险事故，结合公路运输实际，具体措施如下：</w:t>
      </w:r>
    </w:p>
    <w:p w14:paraId="2A1B2519">
      <w:pPr>
        <w:pageBreakBefore w:val="0"/>
        <w:wordWrap/>
        <w:topLinePunct w:val="0"/>
        <w:bidi w:val="0"/>
        <w:spacing w:line="360" w:lineRule="auto"/>
        <w:ind w:firstLine="0" w:firstLineChars="0"/>
        <w:rPr>
          <w:b/>
          <w:bCs/>
          <w:color w:val="000000" w:themeColor="text1"/>
          <w:highlight w:val="none"/>
        </w:rPr>
      </w:pPr>
      <w:r>
        <w:rPr>
          <w:rFonts w:hint="eastAsia"/>
          <w:b/>
          <w:bCs/>
          <w:color w:val="000000" w:themeColor="text1"/>
          <w:highlight w:val="none"/>
        </w:rPr>
        <w:t>6</w:t>
      </w:r>
      <w:r>
        <w:rPr>
          <w:b/>
          <w:bCs/>
          <w:color w:val="000000" w:themeColor="text1"/>
          <w:highlight w:val="none"/>
        </w:rPr>
        <w:t>.4.2.1</w:t>
      </w:r>
      <w:r>
        <w:rPr>
          <w:rFonts w:hint="eastAsia"/>
          <w:b/>
          <w:bCs/>
          <w:color w:val="000000" w:themeColor="text1"/>
          <w:highlight w:val="none"/>
        </w:rPr>
        <w:t>排水设计</w:t>
      </w:r>
    </w:p>
    <w:p w14:paraId="236EC827">
      <w:pPr>
        <w:pStyle w:val="42"/>
        <w:pageBreakBefore w:val="0"/>
        <w:wordWrap/>
        <w:topLinePunct w:val="0"/>
        <w:bidi w:val="0"/>
        <w:spacing w:line="360" w:lineRule="auto"/>
        <w:ind w:firstLine="480" w:firstLineChars="200"/>
        <w:jc w:val="both"/>
        <w:rPr>
          <w:rFonts w:ascii="Times New Roman" w:eastAsia="宋体"/>
          <w:color w:val="000000" w:themeColor="text1"/>
          <w:kern w:val="2"/>
          <w:highlight w:val="none"/>
        </w:rPr>
      </w:pPr>
      <w:r>
        <w:rPr>
          <w:rFonts w:hint="eastAsia" w:ascii="Times New Roman" w:eastAsia="宋体"/>
          <w:color w:val="000000" w:themeColor="text1"/>
          <w:kern w:val="2"/>
          <w:highlight w:val="none"/>
          <w:lang w:val="en-US" w:eastAsia="zh-CN"/>
        </w:rPr>
        <w:t>无</w:t>
      </w:r>
      <w:r>
        <w:rPr>
          <w:rFonts w:hint="eastAsia" w:ascii="Times New Roman" w:eastAsia="宋体"/>
          <w:color w:val="000000" w:themeColor="text1"/>
          <w:kern w:val="2"/>
          <w:highlight w:val="none"/>
        </w:rPr>
        <w:t>。</w:t>
      </w:r>
    </w:p>
    <w:p w14:paraId="4E9466C7">
      <w:pPr>
        <w:pageBreakBefore w:val="0"/>
        <w:wordWrap/>
        <w:topLinePunct w:val="0"/>
        <w:bidi w:val="0"/>
        <w:spacing w:line="360" w:lineRule="auto"/>
        <w:ind w:firstLine="0" w:firstLineChars="0"/>
        <w:rPr>
          <w:color w:val="000000" w:themeColor="text1"/>
          <w:highlight w:val="none"/>
        </w:rPr>
      </w:pPr>
      <w:r>
        <w:rPr>
          <w:rFonts w:hint="eastAsia"/>
          <w:b/>
          <w:bCs/>
          <w:color w:val="000000" w:themeColor="text1"/>
          <w:highlight w:val="none"/>
        </w:rPr>
        <w:t>6</w:t>
      </w:r>
      <w:r>
        <w:rPr>
          <w:b/>
          <w:bCs/>
          <w:color w:val="000000" w:themeColor="text1"/>
          <w:highlight w:val="none"/>
        </w:rPr>
        <w:t xml:space="preserve">.4.2.2 </w:t>
      </w:r>
      <w:r>
        <w:rPr>
          <w:rFonts w:hint="eastAsia"/>
          <w:b/>
          <w:bCs/>
          <w:color w:val="000000" w:themeColor="text1"/>
          <w:highlight w:val="none"/>
        </w:rPr>
        <w:t>防护栏设计</w:t>
      </w:r>
    </w:p>
    <w:p w14:paraId="5C7F5D04">
      <w:pPr>
        <w:pageBreakBefore w:val="0"/>
        <w:wordWrap/>
        <w:topLinePunct w:val="0"/>
        <w:bidi w:val="0"/>
        <w:spacing w:line="360" w:lineRule="auto"/>
        <w:rPr>
          <w:color w:val="000000" w:themeColor="text1"/>
          <w:highlight w:val="none"/>
        </w:rPr>
      </w:pPr>
      <w:r>
        <w:rPr>
          <w:rFonts w:hint="eastAsia"/>
          <w:color w:val="000000" w:themeColor="text1"/>
          <w:highlight w:val="none"/>
        </w:rPr>
        <w:t>本项目设计速度为</w:t>
      </w:r>
      <w:r>
        <w:rPr>
          <w:rFonts w:hint="eastAsia"/>
          <w:color w:val="000000" w:themeColor="text1"/>
          <w:highlight w:val="none"/>
          <w:lang w:val="en-US" w:eastAsia="zh-CN"/>
        </w:rPr>
        <w:t>60</w:t>
      </w:r>
      <w:r>
        <w:rPr>
          <w:rFonts w:hint="eastAsia"/>
          <w:color w:val="000000" w:themeColor="text1"/>
          <w:highlight w:val="none"/>
        </w:rPr>
        <w:t>km/h，根据规范，防撞等级最低应为A级。</w:t>
      </w:r>
      <w:r>
        <w:rPr>
          <w:color w:val="000000" w:themeColor="text1"/>
          <w:highlight w:val="none"/>
        </w:rPr>
        <w:t>本次评价要求在</w:t>
      </w:r>
      <w:r>
        <w:rPr>
          <w:rFonts w:hint="eastAsia"/>
          <w:color w:val="000000" w:themeColor="text1"/>
          <w:highlight w:val="none"/>
          <w:lang w:val="en-US" w:eastAsia="zh-CN"/>
        </w:rPr>
        <w:t>跨越水体的桥梁及跨越铁路桥梁两侧采用钢筋混凝土防撞护栏（护栏高度不低于1.5m），</w:t>
      </w:r>
      <w:r>
        <w:rPr>
          <w:color w:val="000000" w:themeColor="text1"/>
          <w:highlight w:val="none"/>
        </w:rPr>
        <w:t>进一步确保了90%以上失控车辆不越出、冲断或下穿护栏，将最大限度地降低运输车辆撞击护栏冲出路面的概率</w:t>
      </w:r>
      <w:r>
        <w:rPr>
          <w:rFonts w:hint="eastAsia"/>
          <w:color w:val="000000" w:themeColor="text1"/>
          <w:highlight w:val="none"/>
          <w:lang w:val="en-US" w:eastAsia="zh-CN"/>
        </w:rPr>
        <w:t>；在跨河桥梁路段设置“减速行驶、安全驾驶”的警示牌</w:t>
      </w:r>
      <w:r>
        <w:rPr>
          <w:color w:val="000000" w:themeColor="text1"/>
          <w:highlight w:val="none"/>
        </w:rPr>
        <w:t>，从而大大降低</w:t>
      </w:r>
      <w:r>
        <w:rPr>
          <w:rFonts w:hint="eastAsia"/>
          <w:color w:val="000000" w:themeColor="text1"/>
          <w:highlight w:val="none"/>
        </w:rPr>
        <w:t>对河流水体</w:t>
      </w:r>
      <w:r>
        <w:rPr>
          <w:color w:val="000000" w:themeColor="text1"/>
          <w:highlight w:val="none"/>
        </w:rPr>
        <w:t>污染的几率。</w:t>
      </w:r>
    </w:p>
    <w:p w14:paraId="00A4C3B1">
      <w:pPr>
        <w:pageBreakBefore w:val="0"/>
        <w:wordWrap/>
        <w:topLinePunct w:val="0"/>
        <w:bidi w:val="0"/>
        <w:spacing w:line="360" w:lineRule="auto"/>
        <w:ind w:firstLine="0" w:firstLineChars="0"/>
        <w:rPr>
          <w:color w:val="000000" w:themeColor="text1"/>
          <w:highlight w:val="none"/>
        </w:rPr>
      </w:pPr>
      <w:r>
        <w:rPr>
          <w:rFonts w:hint="eastAsia"/>
          <w:b/>
          <w:bCs/>
          <w:color w:val="000000" w:themeColor="text1"/>
          <w:highlight w:val="none"/>
        </w:rPr>
        <w:t>6</w:t>
      </w:r>
      <w:r>
        <w:rPr>
          <w:b/>
          <w:bCs/>
          <w:color w:val="000000" w:themeColor="text1"/>
          <w:highlight w:val="none"/>
        </w:rPr>
        <w:t xml:space="preserve">.4.2.3 </w:t>
      </w:r>
      <w:r>
        <w:rPr>
          <w:rFonts w:hint="eastAsia"/>
          <w:b/>
          <w:bCs/>
          <w:color w:val="000000" w:themeColor="text1"/>
          <w:highlight w:val="none"/>
        </w:rPr>
        <w:t>管理措施</w:t>
      </w:r>
    </w:p>
    <w:p w14:paraId="79CE756F">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color w:val="000000" w:themeColor="text1"/>
          <w:highlight w:val="none"/>
        </w:rPr>
        <w:t>在运输危险化学品发生事故时，相关驾驶人员、押运人员应当立即采取相应的警示和安全措施，并向当地公安部门报告。公安部门接到报告后，组织做好污染事件现场附近的交通管制，控制事态发展，并按照编制的《环境风险应急预案》要求，向</w:t>
      </w:r>
      <w:r>
        <w:rPr>
          <w:rFonts w:hint="eastAsia"/>
          <w:color w:val="000000" w:themeColor="text1"/>
          <w:highlight w:val="none"/>
          <w:lang w:val="en-US" w:eastAsia="zh-CN"/>
        </w:rPr>
        <w:t>鹤岗市</w:t>
      </w:r>
      <w:r>
        <w:rPr>
          <w:color w:val="000000" w:themeColor="text1"/>
          <w:highlight w:val="none"/>
        </w:rPr>
        <w:t>人民政府和相关部门报告。</w:t>
      </w:r>
    </w:p>
    <w:p w14:paraId="1282DAF1">
      <w:pPr>
        <w:pageBreakBefore w:val="0"/>
        <w:wordWrap/>
        <w:topLinePunct w:val="0"/>
        <w:bidi w:val="0"/>
        <w:spacing w:line="360" w:lineRule="auto"/>
        <w:rPr>
          <w:color w:val="000000" w:themeColor="text1"/>
          <w:highlight w:val="none"/>
        </w:rPr>
      </w:pPr>
      <w:r>
        <w:rPr>
          <w:rFonts w:hint="eastAsia"/>
          <w:color w:val="000000" w:themeColor="text1"/>
          <w:highlight w:val="none"/>
        </w:rPr>
        <w:t>（2）加强桥涵路段内侧防撞护栏设计；跨越桥梁路段设置警示牌，提醒司机进入减速慢行，谨慎驾驶。</w:t>
      </w:r>
    </w:p>
    <w:p w14:paraId="600D3819">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3</w:t>
      </w:r>
      <w:r>
        <w:rPr>
          <w:rFonts w:hint="eastAsia"/>
          <w:color w:val="000000" w:themeColor="text1"/>
          <w:highlight w:val="none"/>
        </w:rPr>
        <w:t>）运输车辆要有明显标志，应严格执行《化学危险品安全管理条例》等危险品运输的有关规定，对运输危险品车辆实行申报管理制度。车主需填写申报表，主要内容有危险货物执照号码、货物品种等级和编号、收发货人名称、装卸地点、货物特性等。</w:t>
      </w:r>
    </w:p>
    <w:p w14:paraId="2DD5357F">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4</w:t>
      </w:r>
      <w:r>
        <w:rPr>
          <w:rFonts w:hint="eastAsia"/>
          <w:color w:val="000000" w:themeColor="text1"/>
          <w:highlight w:val="none"/>
        </w:rPr>
        <w:t>）对申报运输危险品车辆进行</w:t>
      </w:r>
      <w:r>
        <w:rPr>
          <w:rFonts w:hint="eastAsia"/>
          <w:color w:val="000000" w:themeColor="text1"/>
          <w:highlight w:val="none"/>
          <w:lang w:eastAsia="zh-CN"/>
        </w:rPr>
        <w:t>“</w:t>
      </w:r>
      <w:r>
        <w:rPr>
          <w:rFonts w:hint="eastAsia"/>
          <w:color w:val="000000" w:themeColor="text1"/>
          <w:highlight w:val="none"/>
        </w:rPr>
        <w:t>准运证</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驾驶员证</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押运员证</w:t>
      </w:r>
      <w:r>
        <w:rPr>
          <w:rFonts w:hint="eastAsia"/>
          <w:color w:val="000000" w:themeColor="text1"/>
          <w:highlight w:val="none"/>
          <w:lang w:eastAsia="zh-CN"/>
        </w:rPr>
        <w:t>”</w:t>
      </w:r>
      <w:r>
        <w:rPr>
          <w:rFonts w:hint="eastAsia"/>
          <w:color w:val="000000" w:themeColor="text1"/>
          <w:highlight w:val="none"/>
        </w:rPr>
        <w:t>和危险品运输行车路单（以下简称</w:t>
      </w:r>
      <w:r>
        <w:rPr>
          <w:rFonts w:hint="eastAsia"/>
          <w:color w:val="000000" w:themeColor="text1"/>
          <w:highlight w:val="none"/>
          <w:lang w:eastAsia="zh-CN"/>
        </w:rPr>
        <w:t>“</w:t>
      </w:r>
      <w:r>
        <w:rPr>
          <w:rFonts w:hint="eastAsia"/>
          <w:color w:val="000000" w:themeColor="text1"/>
          <w:highlight w:val="none"/>
        </w:rPr>
        <w:t>三证一单</w:t>
      </w:r>
      <w:r>
        <w:rPr>
          <w:rFonts w:hint="eastAsia"/>
          <w:color w:val="000000" w:themeColor="text1"/>
          <w:highlight w:val="none"/>
          <w:lang w:eastAsia="zh-CN"/>
        </w:rPr>
        <w:t>”</w:t>
      </w:r>
      <w:r>
        <w:rPr>
          <w:rFonts w:hint="eastAsia"/>
          <w:color w:val="000000" w:themeColor="text1"/>
          <w:highlight w:val="none"/>
        </w:rPr>
        <w:t>）检查，</w:t>
      </w:r>
      <w:r>
        <w:rPr>
          <w:rFonts w:hint="eastAsia"/>
          <w:color w:val="000000" w:themeColor="text1"/>
          <w:highlight w:val="none"/>
          <w:lang w:eastAsia="zh-CN"/>
        </w:rPr>
        <w:t>“</w:t>
      </w:r>
      <w:r>
        <w:rPr>
          <w:rFonts w:hint="eastAsia"/>
          <w:color w:val="000000" w:themeColor="text1"/>
          <w:highlight w:val="none"/>
        </w:rPr>
        <w:t>三证一单</w:t>
      </w:r>
      <w:r>
        <w:rPr>
          <w:rFonts w:hint="eastAsia"/>
          <w:color w:val="000000" w:themeColor="text1"/>
          <w:highlight w:val="none"/>
          <w:lang w:eastAsia="zh-CN"/>
        </w:rPr>
        <w:t>”</w:t>
      </w:r>
      <w:r>
        <w:rPr>
          <w:rFonts w:hint="eastAsia"/>
          <w:color w:val="000000" w:themeColor="text1"/>
          <w:highlight w:val="none"/>
        </w:rPr>
        <w:t>不全车辆将不允许驶上公路；检查运输危险品车辆是否安装GPS定位系统，是否按照危险品运输路线运行；除证件检查外，必要时应对运输危险品车辆进行安全检查。</w:t>
      </w:r>
    </w:p>
    <w:p w14:paraId="1BA2AA9E">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5</w:t>
      </w:r>
      <w:r>
        <w:rPr>
          <w:rFonts w:hint="eastAsia"/>
          <w:color w:val="000000" w:themeColor="text1"/>
          <w:highlight w:val="none"/>
        </w:rPr>
        <w:t>）运输危险品车辆必须设置防渗、防漏设施，严禁超载运输。加强对运输危险品车辆进行的有效管理，在不良天气状况下，如遇暴雨、暴雪、大风、大雾、沙尘暴等不利气象条件时，应禁止危险品运输车辆上路，或者由公路养护管理部门派人协调指挥危险品运输车辆安全通过。</w:t>
      </w:r>
    </w:p>
    <w:p w14:paraId="50EE6F85">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6</w:t>
      </w:r>
      <w:r>
        <w:rPr>
          <w:rFonts w:hint="eastAsia"/>
          <w:color w:val="000000" w:themeColor="text1"/>
          <w:highlight w:val="none"/>
        </w:rPr>
        <w:t>）</w:t>
      </w:r>
      <w:r>
        <w:rPr>
          <w:color w:val="000000" w:themeColor="text1"/>
          <w:highlight w:val="none"/>
        </w:rPr>
        <w:t>建立一支现代化的养护队伍，保证公路路面清洁、畅通，降雪后要及时清除路面畅通，减少因积雪导致的交通事故发生。</w:t>
      </w:r>
    </w:p>
    <w:p w14:paraId="67F663C8">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7</w:t>
      </w:r>
      <w:r>
        <w:rPr>
          <w:rFonts w:hint="eastAsia"/>
          <w:color w:val="000000" w:themeColor="text1"/>
          <w:highlight w:val="none"/>
        </w:rPr>
        <w:t>）为了确保发生突发性事故时可以得到及时处置，公路管理部门应在工程运营期建立一支应急消防队伍，在发生风险事故立即报告</w:t>
      </w:r>
      <w:r>
        <w:rPr>
          <w:rFonts w:hint="eastAsia"/>
          <w:color w:val="000000" w:themeColor="text1"/>
          <w:highlight w:val="none"/>
          <w:lang w:val="en-US" w:eastAsia="zh-CN"/>
        </w:rPr>
        <w:t>鹤岗市</w:t>
      </w:r>
      <w:r>
        <w:rPr>
          <w:rFonts w:hint="eastAsia"/>
          <w:color w:val="000000" w:themeColor="text1"/>
          <w:highlight w:val="none"/>
        </w:rPr>
        <w:t>人民政府，并在当地政府部门指挥下，与地方消防、公安和环保部门一起，及时妥善处理好事故。</w:t>
      </w:r>
    </w:p>
    <w:bookmarkEnd w:id="446"/>
    <w:p w14:paraId="5FA5FA83">
      <w:pPr>
        <w:pStyle w:val="3"/>
        <w:pageBreakBefore w:val="0"/>
        <w:wordWrap/>
        <w:topLinePunct w:val="0"/>
        <w:bidi w:val="0"/>
        <w:spacing w:line="360" w:lineRule="auto"/>
        <w:rPr>
          <w:color w:val="000000" w:themeColor="text1"/>
          <w:highlight w:val="none"/>
        </w:rPr>
      </w:pPr>
      <w:bookmarkStart w:id="447" w:name="_Toc518574386"/>
      <w:bookmarkStart w:id="448" w:name="_Toc4289"/>
      <w:bookmarkStart w:id="449" w:name="_Toc27298"/>
      <w:bookmarkStart w:id="450" w:name="_Toc5487"/>
      <w:bookmarkStart w:id="451" w:name="_Toc22403"/>
      <w:r>
        <w:rPr>
          <w:rFonts w:hint="eastAsia"/>
          <w:color w:val="000000" w:themeColor="text1"/>
          <w:highlight w:val="none"/>
        </w:rPr>
        <w:t>6</w:t>
      </w:r>
      <w:r>
        <w:rPr>
          <w:color w:val="000000" w:themeColor="text1"/>
          <w:highlight w:val="none"/>
        </w:rPr>
        <w:t>.5突发环境事件应急预案</w:t>
      </w:r>
      <w:bookmarkEnd w:id="447"/>
      <w:bookmarkEnd w:id="448"/>
      <w:bookmarkEnd w:id="449"/>
      <w:bookmarkEnd w:id="450"/>
      <w:bookmarkEnd w:id="451"/>
    </w:p>
    <w:p w14:paraId="7CC1188D">
      <w:pPr>
        <w:pageBreakBefore w:val="0"/>
        <w:wordWrap/>
        <w:topLinePunct w:val="0"/>
        <w:bidi w:val="0"/>
        <w:spacing w:line="360" w:lineRule="auto"/>
        <w:rPr>
          <w:color w:val="000000" w:themeColor="text1"/>
          <w:highlight w:val="none"/>
        </w:rPr>
      </w:pPr>
      <w:r>
        <w:rPr>
          <w:color w:val="000000" w:themeColor="text1"/>
          <w:highlight w:val="none"/>
        </w:rPr>
        <w:t>建设单位应编制突发环境事件应急预案，并将其纳入</w:t>
      </w:r>
      <w:r>
        <w:rPr>
          <w:rFonts w:hint="eastAsia"/>
          <w:color w:val="000000" w:themeColor="text1"/>
          <w:highlight w:val="none"/>
          <w:lang w:val="en-US" w:eastAsia="zh-CN"/>
        </w:rPr>
        <w:t>鹤岗市</w:t>
      </w:r>
      <w:r>
        <w:rPr>
          <w:color w:val="000000" w:themeColor="text1"/>
          <w:highlight w:val="none"/>
        </w:rPr>
        <w:t>环境污染风险应急预案体系，同时应成立突发环境事件应急领导小组，由领导小组领导、组织、协调突发环境事件现场处理工作。</w:t>
      </w:r>
    </w:p>
    <w:p w14:paraId="202FF433">
      <w:pPr>
        <w:pageBreakBefore w:val="0"/>
        <w:wordWrap/>
        <w:topLinePunct w:val="0"/>
        <w:bidi w:val="0"/>
        <w:spacing w:line="360" w:lineRule="auto"/>
        <w:rPr>
          <w:color w:val="000000" w:themeColor="text1"/>
          <w:highlight w:val="none"/>
        </w:rPr>
      </w:pPr>
      <w:r>
        <w:rPr>
          <w:color w:val="000000" w:themeColor="text1"/>
          <w:highlight w:val="none"/>
        </w:rPr>
        <w:t>为加强对危险品运输事故有效控制，最大限度地减少事故危害程度，保证人民生命、财产安全，保护环境，按照《建设项目环境风险评价技术导则》</w:t>
      </w:r>
      <w:r>
        <w:rPr>
          <w:rFonts w:hint="eastAsia"/>
          <w:color w:val="000000" w:themeColor="text1"/>
          <w:highlight w:val="none"/>
          <w:lang w:val="en-US" w:eastAsia="zh-CN"/>
        </w:rPr>
        <w:t>（</w:t>
      </w:r>
      <w:r>
        <w:rPr>
          <w:rFonts w:hint="default"/>
          <w:color w:val="000000" w:themeColor="text1"/>
          <w:highlight w:val="none"/>
          <w:lang w:val="en-US" w:eastAsia="zh-CN"/>
        </w:rPr>
        <w:t>HJ169-2018</w:t>
      </w:r>
      <w:r>
        <w:rPr>
          <w:rFonts w:hint="eastAsia"/>
          <w:color w:val="000000" w:themeColor="text1"/>
          <w:highlight w:val="none"/>
          <w:lang w:val="en-US" w:eastAsia="zh-CN"/>
        </w:rPr>
        <w:t>）</w:t>
      </w:r>
      <w:r>
        <w:rPr>
          <w:color w:val="000000" w:themeColor="text1"/>
          <w:highlight w:val="none"/>
        </w:rPr>
        <w:t>规定，制定本工程突发环境事件应急预案。应急预案主要内容如下：</w:t>
      </w:r>
    </w:p>
    <w:p w14:paraId="0C6E47D9">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（1）</w:t>
      </w:r>
      <w:r>
        <w:rPr>
          <w:color w:val="000000" w:themeColor="text1"/>
          <w:highlight w:val="none"/>
        </w:rPr>
        <w:t>本项目应急计划区</w:t>
      </w:r>
    </w:p>
    <w:p w14:paraId="1EC91111">
      <w:pPr>
        <w:pageBreakBefore w:val="0"/>
        <w:wordWrap/>
        <w:topLinePunct w:val="0"/>
        <w:bidi w:val="0"/>
        <w:spacing w:line="360" w:lineRule="auto"/>
        <w:rPr>
          <w:color w:val="000000" w:themeColor="text1"/>
          <w:highlight w:val="none"/>
        </w:rPr>
      </w:pPr>
      <w:r>
        <w:rPr>
          <w:color w:val="000000" w:themeColor="text1"/>
          <w:highlight w:val="none"/>
        </w:rPr>
        <w:t>本项目运营期风险源为运输危险品车辆；本项目环境风险保护目标主要为</w:t>
      </w:r>
      <w:r>
        <w:rPr>
          <w:rFonts w:hint="eastAsia"/>
          <w:color w:val="000000" w:themeColor="text1"/>
          <w:highlight w:val="none"/>
          <w:lang w:val="en-US" w:eastAsia="zh-CN"/>
        </w:rPr>
        <w:t>工程跨越的朝鲜河</w:t>
      </w:r>
      <w:r>
        <w:rPr>
          <w:rFonts w:hint="eastAsia"/>
          <w:color w:val="000000" w:themeColor="text1"/>
          <w:highlight w:val="none"/>
        </w:rPr>
        <w:t>水体等</w:t>
      </w:r>
      <w:r>
        <w:rPr>
          <w:color w:val="000000" w:themeColor="text1"/>
          <w:highlight w:val="none"/>
        </w:rPr>
        <w:t>。</w:t>
      </w:r>
    </w:p>
    <w:p w14:paraId="496269CB">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（2）</w:t>
      </w:r>
      <w:r>
        <w:rPr>
          <w:color w:val="000000" w:themeColor="text1"/>
          <w:highlight w:val="none"/>
        </w:rPr>
        <w:t>应急救援组织机构及职责</w:t>
      </w:r>
    </w:p>
    <w:p w14:paraId="29885899">
      <w:pPr>
        <w:pageBreakBefore w:val="0"/>
        <w:wordWrap/>
        <w:topLinePunct w:val="0"/>
        <w:bidi w:val="0"/>
        <w:spacing w:line="360" w:lineRule="auto"/>
        <w:rPr>
          <w:color w:val="000000" w:themeColor="text1"/>
          <w:highlight w:val="none"/>
        </w:rPr>
      </w:pPr>
      <w:r>
        <w:rPr>
          <w:color w:val="000000" w:themeColor="text1"/>
          <w:highlight w:val="none"/>
        </w:rPr>
        <w:t>由项目管理单位领导担任组长，公路路政、排障等领导为组员，另外联系相关部门，如公安、环保、消防、卫生等成为领导小组成员。营运公司应根据应急预案，统一应急行动，明确应急责任人和有关部门的职责，确保在最短的时间将事故控制，以减少对环境污染影响。</w:t>
      </w:r>
    </w:p>
    <w:p w14:paraId="63E7D57B">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color w:val="000000" w:themeColor="text1"/>
          <w:highlight w:val="none"/>
        </w:rPr>
        <w:t>应急执行单位</w:t>
      </w:r>
    </w:p>
    <w:p w14:paraId="31A2CC2F">
      <w:pPr>
        <w:pageBreakBefore w:val="0"/>
        <w:wordWrap/>
        <w:topLinePunct w:val="0"/>
        <w:bidi w:val="0"/>
        <w:spacing w:line="360" w:lineRule="auto"/>
        <w:rPr>
          <w:color w:val="000000" w:themeColor="text1"/>
          <w:highlight w:val="none"/>
        </w:rPr>
      </w:pPr>
      <w:r>
        <w:rPr>
          <w:color w:val="000000" w:themeColor="text1"/>
          <w:highlight w:val="none"/>
        </w:rPr>
        <w:t>施工期：施工单位和建设单位</w:t>
      </w:r>
    </w:p>
    <w:p w14:paraId="353DD16F">
      <w:pPr>
        <w:pageBreakBefore w:val="0"/>
        <w:wordWrap/>
        <w:topLinePunct w:val="0"/>
        <w:bidi w:val="0"/>
        <w:spacing w:line="360" w:lineRule="auto"/>
        <w:rPr>
          <w:color w:val="000000" w:themeColor="text1"/>
          <w:highlight w:val="none"/>
        </w:rPr>
      </w:pPr>
      <w:r>
        <w:rPr>
          <w:color w:val="000000" w:themeColor="text1"/>
          <w:highlight w:val="none"/>
        </w:rPr>
        <w:t>运营期：项目运营单位</w:t>
      </w:r>
    </w:p>
    <w:p w14:paraId="3AB036AA">
      <w:pPr>
        <w:pageBreakBefore w:val="0"/>
        <w:wordWrap/>
        <w:topLinePunct w:val="0"/>
        <w:bidi w:val="0"/>
        <w:spacing w:line="360" w:lineRule="auto"/>
        <w:rPr>
          <w:color w:val="000000" w:themeColor="text1"/>
          <w:highlight w:val="none"/>
        </w:rPr>
      </w:pPr>
      <w:r>
        <w:rPr>
          <w:color w:val="000000" w:themeColor="text1"/>
          <w:highlight w:val="none"/>
        </w:rPr>
        <w:t>运营期项目运营单位成立</w:t>
      </w:r>
      <w:r>
        <w:rPr>
          <w:rFonts w:hint="eastAsia"/>
          <w:color w:val="000000" w:themeColor="text1"/>
          <w:highlight w:val="none"/>
          <w:lang w:eastAsia="zh-CN"/>
        </w:rPr>
        <w:t>“</w:t>
      </w:r>
      <w:r>
        <w:rPr>
          <w:color w:val="000000" w:themeColor="text1"/>
          <w:highlight w:val="none"/>
        </w:rPr>
        <w:t>事故应急救援指挥领导小组</w:t>
      </w:r>
      <w:r>
        <w:rPr>
          <w:rFonts w:hint="eastAsia"/>
          <w:color w:val="000000" w:themeColor="text1"/>
          <w:highlight w:val="none"/>
          <w:lang w:eastAsia="zh-CN"/>
        </w:rPr>
        <w:t>”</w:t>
      </w:r>
      <w:r>
        <w:rPr>
          <w:color w:val="000000" w:themeColor="text1"/>
          <w:highlight w:val="none"/>
        </w:rPr>
        <w:t>，由生产、安全、环保、保卫等部门领导组成，下设应急救援办公室，日常工作由安全部门兼管。发生重大事故时，以指挥领导小组为基础，立即成立事故应急救援指挥部，总经理任总指挥，有关副经理任副总指挥，负责应急救援工作的组织和指挥。</w:t>
      </w:r>
    </w:p>
    <w:p w14:paraId="66EA3D1C">
      <w:pPr>
        <w:pageBreakBefore w:val="0"/>
        <w:wordWrap/>
        <w:topLinePunct w:val="0"/>
        <w:bidi w:val="0"/>
        <w:spacing w:line="360" w:lineRule="auto"/>
        <w:rPr>
          <w:color w:val="000000" w:themeColor="text1"/>
          <w:highlight w:val="none"/>
        </w:rPr>
      </w:pPr>
      <w:r>
        <w:rPr>
          <w:rFonts w:hint="eastAsia"/>
          <w:color w:val="000000" w:themeColor="text1"/>
          <w:highlight w:val="none"/>
        </w:rPr>
        <w:t>2）</w:t>
      </w:r>
      <w:r>
        <w:rPr>
          <w:color w:val="000000" w:themeColor="text1"/>
          <w:highlight w:val="none"/>
        </w:rPr>
        <w:t>应急机构的职能</w:t>
      </w:r>
    </w:p>
    <w:p w14:paraId="2F928CB4">
      <w:pPr>
        <w:pageBreakBefore w:val="0"/>
        <w:wordWrap/>
        <w:topLinePunct w:val="0"/>
        <w:bidi w:val="0"/>
        <w:spacing w:line="360" w:lineRule="auto"/>
        <w:rPr>
          <w:color w:val="000000" w:themeColor="text1"/>
          <w:highlight w:val="none"/>
        </w:rPr>
      </w:pPr>
      <w:r>
        <w:rPr>
          <w:color w:val="000000" w:themeColor="text1"/>
          <w:highlight w:val="none"/>
        </w:rPr>
        <w:t>风险防范应急小组必须配备专门的人员（建议不少于2人）从事该项工作。成立事故应急小组，施工期组长由建设单位负责人担任，营运期由项目管理部门相关负责人担任。应急小组必须制定详细的环境风险应急预案，确定不同事故情况下的具体应急事件、处理步骤、事故上报单位等，主要职责如下：</w:t>
      </w:r>
    </w:p>
    <w:p w14:paraId="41FE3022">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1 \* GB3 \* MERGEFORMAT </w:instrText>
      </w:r>
      <w:r>
        <w:rPr>
          <w:color w:val="000000" w:themeColor="text1"/>
          <w:highlight w:val="none"/>
        </w:rPr>
        <w:fldChar w:fldCharType="separate"/>
      </w:r>
      <w:r>
        <w:rPr>
          <w:rFonts w:hint="eastAsia" w:cs="宋体"/>
          <w:color w:val="000000" w:themeColor="text1"/>
          <w:highlight w:val="none"/>
        </w:rPr>
        <w:t>①</w:t>
      </w:r>
      <w:r>
        <w:rPr>
          <w:color w:val="000000" w:themeColor="text1"/>
          <w:highlight w:val="none"/>
        </w:rPr>
        <w:fldChar w:fldCharType="end"/>
      </w:r>
      <w:r>
        <w:rPr>
          <w:color w:val="000000" w:themeColor="text1"/>
          <w:highlight w:val="none"/>
        </w:rPr>
        <w:t>负责本项目环境风险</w:t>
      </w:r>
      <w:r>
        <w:rPr>
          <w:rFonts w:hint="eastAsia"/>
          <w:color w:val="000000" w:themeColor="text1"/>
          <w:highlight w:val="none"/>
          <w:lang w:eastAsia="zh-CN"/>
        </w:rPr>
        <w:t>“</w:t>
      </w:r>
      <w:r>
        <w:rPr>
          <w:color w:val="000000" w:themeColor="text1"/>
          <w:highlight w:val="none"/>
        </w:rPr>
        <w:t>预案</w:t>
      </w:r>
      <w:r>
        <w:rPr>
          <w:rFonts w:hint="eastAsia"/>
          <w:color w:val="000000" w:themeColor="text1"/>
          <w:highlight w:val="none"/>
          <w:lang w:eastAsia="zh-CN"/>
        </w:rPr>
        <w:t>”</w:t>
      </w:r>
      <w:r>
        <w:rPr>
          <w:color w:val="000000" w:themeColor="text1"/>
          <w:highlight w:val="none"/>
        </w:rPr>
        <w:t>的制定、修订。</w:t>
      </w:r>
    </w:p>
    <w:p w14:paraId="530DDF25">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2 \* GB3 \* MERGEFORMAT </w:instrText>
      </w:r>
      <w:r>
        <w:rPr>
          <w:color w:val="000000" w:themeColor="text1"/>
          <w:highlight w:val="none"/>
        </w:rPr>
        <w:fldChar w:fldCharType="separate"/>
      </w:r>
      <w:r>
        <w:rPr>
          <w:rFonts w:hint="eastAsia" w:cs="宋体"/>
          <w:color w:val="000000" w:themeColor="text1"/>
          <w:highlight w:val="none"/>
        </w:rPr>
        <w:t>②</w:t>
      </w:r>
      <w:r>
        <w:rPr>
          <w:color w:val="000000" w:themeColor="text1"/>
          <w:highlight w:val="none"/>
        </w:rPr>
        <w:fldChar w:fldCharType="end"/>
      </w:r>
      <w:r>
        <w:rPr>
          <w:color w:val="000000" w:themeColor="text1"/>
          <w:highlight w:val="none"/>
        </w:rPr>
        <w:t>组建必要应急救援队伍，并组织实施演练。</w:t>
      </w:r>
    </w:p>
    <w:p w14:paraId="6F50235F">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3 \* GB3 \* MERGEFORMAT </w:instrText>
      </w:r>
      <w:r>
        <w:rPr>
          <w:color w:val="000000" w:themeColor="text1"/>
          <w:highlight w:val="none"/>
        </w:rPr>
        <w:fldChar w:fldCharType="separate"/>
      </w:r>
      <w:r>
        <w:rPr>
          <w:rFonts w:hint="eastAsia" w:cs="宋体"/>
          <w:color w:val="000000" w:themeColor="text1"/>
          <w:highlight w:val="none"/>
        </w:rPr>
        <w:t>③</w:t>
      </w:r>
      <w:r>
        <w:rPr>
          <w:color w:val="000000" w:themeColor="text1"/>
          <w:highlight w:val="none"/>
        </w:rPr>
        <w:fldChar w:fldCharType="end"/>
      </w:r>
      <w:r>
        <w:rPr>
          <w:color w:val="000000" w:themeColor="text1"/>
          <w:highlight w:val="none"/>
        </w:rPr>
        <w:t>根据沿线市、县政府环境污染突发事件应急指挥部门要求检查监督做好重大事故的预防措施和应急救援的各项准备工作。</w:t>
      </w:r>
    </w:p>
    <w:p w14:paraId="1D5DFE2C">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4 \* GB3 \* MERGEFORMAT </w:instrText>
      </w:r>
      <w:r>
        <w:rPr>
          <w:color w:val="000000" w:themeColor="text1"/>
          <w:highlight w:val="none"/>
        </w:rPr>
        <w:fldChar w:fldCharType="separate"/>
      </w:r>
      <w:r>
        <w:rPr>
          <w:rFonts w:hint="eastAsia" w:cs="宋体"/>
          <w:color w:val="000000" w:themeColor="text1"/>
          <w:highlight w:val="none"/>
        </w:rPr>
        <w:t>④</w:t>
      </w:r>
      <w:r>
        <w:rPr>
          <w:color w:val="000000" w:themeColor="text1"/>
          <w:highlight w:val="none"/>
        </w:rPr>
        <w:fldChar w:fldCharType="end"/>
      </w:r>
      <w:r>
        <w:rPr>
          <w:color w:val="000000" w:themeColor="text1"/>
          <w:highlight w:val="none"/>
        </w:rPr>
        <w:t>督促做好应急救援的各项准备工作，组织救援演练；</w:t>
      </w:r>
    </w:p>
    <w:p w14:paraId="26797996">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5 \* GB3 \* MERGEFORMAT </w:instrText>
      </w:r>
      <w:r>
        <w:rPr>
          <w:color w:val="000000" w:themeColor="text1"/>
          <w:highlight w:val="none"/>
        </w:rPr>
        <w:fldChar w:fldCharType="separate"/>
      </w:r>
      <w:r>
        <w:rPr>
          <w:rFonts w:hint="eastAsia" w:cs="宋体"/>
          <w:color w:val="000000" w:themeColor="text1"/>
          <w:highlight w:val="none"/>
        </w:rPr>
        <w:t>⑤</w:t>
      </w:r>
      <w:r>
        <w:rPr>
          <w:color w:val="000000" w:themeColor="text1"/>
          <w:highlight w:val="none"/>
        </w:rPr>
        <w:fldChar w:fldCharType="end"/>
      </w:r>
      <w:r>
        <w:rPr>
          <w:color w:val="000000" w:themeColor="text1"/>
          <w:highlight w:val="none"/>
        </w:rPr>
        <w:t>当施工现场发生紧急情况时，上报所在县环境污染突发事件应急指挥部门并配合协助发布和解除应急救援命令；</w:t>
      </w:r>
    </w:p>
    <w:p w14:paraId="3C535EA9">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6 \* GB3 \* MERGEFORMAT </w:instrText>
      </w:r>
      <w:r>
        <w:rPr>
          <w:color w:val="000000" w:themeColor="text1"/>
          <w:highlight w:val="none"/>
        </w:rPr>
        <w:fldChar w:fldCharType="separate"/>
      </w:r>
      <w:r>
        <w:rPr>
          <w:rFonts w:hint="eastAsia" w:cs="宋体"/>
          <w:color w:val="000000" w:themeColor="text1"/>
          <w:highlight w:val="none"/>
        </w:rPr>
        <w:t>⑥</w:t>
      </w:r>
      <w:r>
        <w:rPr>
          <w:color w:val="000000" w:themeColor="text1"/>
          <w:highlight w:val="none"/>
        </w:rPr>
        <w:fldChar w:fldCharType="end"/>
      </w:r>
      <w:r>
        <w:rPr>
          <w:color w:val="000000" w:themeColor="text1"/>
          <w:highlight w:val="none"/>
        </w:rPr>
        <w:t>配合协助所在</w:t>
      </w:r>
      <w:r>
        <w:rPr>
          <w:rFonts w:hint="eastAsia"/>
          <w:color w:val="000000" w:themeColor="text1"/>
          <w:highlight w:val="none"/>
        </w:rPr>
        <w:t>市</w:t>
      </w:r>
      <w:r>
        <w:rPr>
          <w:color w:val="000000" w:themeColor="text1"/>
          <w:highlight w:val="none"/>
        </w:rPr>
        <w:t>环境污染突发事件应急指挥部门组织救援队伍实施救援行动，立即赴出事现场，摸清事故原因及可能在出现的问题。</w:t>
      </w:r>
    </w:p>
    <w:p w14:paraId="37B2B3C4">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7 \* GB3 \* MERGEFORMAT </w:instrText>
      </w:r>
      <w:r>
        <w:rPr>
          <w:color w:val="000000" w:themeColor="text1"/>
          <w:highlight w:val="none"/>
        </w:rPr>
        <w:fldChar w:fldCharType="separate"/>
      </w:r>
      <w:r>
        <w:rPr>
          <w:rFonts w:hint="eastAsia" w:cs="宋体"/>
          <w:color w:val="000000" w:themeColor="text1"/>
          <w:highlight w:val="none"/>
        </w:rPr>
        <w:t>⑦</w:t>
      </w:r>
      <w:r>
        <w:rPr>
          <w:color w:val="000000" w:themeColor="text1"/>
          <w:highlight w:val="none"/>
        </w:rPr>
        <w:fldChar w:fldCharType="end"/>
      </w:r>
      <w:r>
        <w:rPr>
          <w:color w:val="000000" w:themeColor="text1"/>
          <w:highlight w:val="none"/>
        </w:rPr>
        <w:t>随时了解和掌握处理事的实际情况，根据情况做出应急对策，并向上级有关部门报告事故和事故救援情况。</w:t>
      </w:r>
    </w:p>
    <w:p w14:paraId="049A5189">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8 \* GB3 \* MERGEFORMAT </w:instrText>
      </w:r>
      <w:r>
        <w:rPr>
          <w:color w:val="000000" w:themeColor="text1"/>
          <w:highlight w:val="none"/>
        </w:rPr>
        <w:fldChar w:fldCharType="separate"/>
      </w:r>
      <w:r>
        <w:rPr>
          <w:rFonts w:hint="eastAsia" w:cs="宋体"/>
          <w:color w:val="000000" w:themeColor="text1"/>
          <w:highlight w:val="none"/>
        </w:rPr>
        <w:t>⑧</w:t>
      </w:r>
      <w:r>
        <w:rPr>
          <w:color w:val="000000" w:themeColor="text1"/>
          <w:highlight w:val="none"/>
        </w:rPr>
        <w:fldChar w:fldCharType="end"/>
      </w:r>
      <w:r>
        <w:rPr>
          <w:color w:val="000000" w:themeColor="text1"/>
          <w:highlight w:val="none"/>
        </w:rPr>
        <w:t>保护现场，保持内部通讯畅通，配合当地县环境污染突发事件应急指挥部门政府应急指挥部门进行事故调查处理。</w:t>
      </w:r>
    </w:p>
    <w:p w14:paraId="18F2D354">
      <w:pPr>
        <w:pageBreakBefore w:val="0"/>
        <w:wordWrap/>
        <w:topLinePunct w:val="0"/>
        <w:bidi w:val="0"/>
        <w:spacing w:line="360" w:lineRule="auto"/>
        <w:rPr>
          <w:color w:val="000000" w:themeColor="text1"/>
          <w:highlight w:val="none"/>
        </w:rPr>
      </w:pPr>
      <w:r>
        <w:rPr>
          <w:color w:val="000000" w:themeColor="text1"/>
          <w:highlight w:val="none"/>
        </w:rPr>
        <w:t>应急小组还必须为应急预案配备相应设备，并进行常年维护。本项目主要应急设备包括：灭火设备及不同种类灭火剂、路面清理设备、报警系统等。</w:t>
      </w:r>
    </w:p>
    <w:p w14:paraId="695ABED5">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（3）</w:t>
      </w:r>
      <w:r>
        <w:rPr>
          <w:color w:val="000000" w:themeColor="text1"/>
          <w:highlight w:val="none"/>
        </w:rPr>
        <w:t>预案分级响应条件</w:t>
      </w:r>
    </w:p>
    <w:p w14:paraId="4ADC7EAD">
      <w:pPr>
        <w:pageBreakBefore w:val="0"/>
        <w:wordWrap/>
        <w:topLinePunct w:val="0"/>
        <w:bidi w:val="0"/>
        <w:spacing w:line="360" w:lineRule="auto"/>
        <w:rPr>
          <w:color w:val="000000" w:themeColor="text1"/>
          <w:highlight w:val="none"/>
        </w:rPr>
      </w:pPr>
      <w:r>
        <w:rPr>
          <w:color w:val="000000" w:themeColor="text1"/>
          <w:highlight w:val="none"/>
        </w:rPr>
        <w:t>按照突发事件严重性、紧急程</w:t>
      </w:r>
      <w:r>
        <w:rPr>
          <w:rFonts w:hint="default" w:ascii="Times New Roman" w:hAnsi="Times New Roman" w:cs="Times New Roman"/>
          <w:color w:val="000000" w:themeColor="text1"/>
          <w:highlight w:val="none"/>
        </w:rPr>
        <w:t>度和可能波及的范围，环境污染和生态破坏突发事件的预警分为四级，预警级别由低到高颜色依次为蓝色、黄色、橙色、红色预警，分别与一般环境事件（IV级）、较大环境事件（Ⅲ级）、重大环境事件（II级）、特别重大环境事件（I级）相对应。</w:t>
      </w:r>
    </w:p>
    <w:p w14:paraId="4CCA4825">
      <w:pPr>
        <w:pageBreakBefore w:val="0"/>
        <w:wordWrap/>
        <w:topLinePunct w:val="0"/>
        <w:bidi w:val="0"/>
        <w:spacing w:line="360" w:lineRule="auto"/>
        <w:rPr>
          <w:color w:val="000000" w:themeColor="text1"/>
          <w:highlight w:val="none"/>
        </w:rPr>
      </w:pPr>
      <w:r>
        <w:rPr>
          <w:color w:val="000000" w:themeColor="text1"/>
          <w:highlight w:val="none"/>
        </w:rPr>
        <w:t>根据确定的预警级别予以发布，并决定相应的应急救援预案启动程序。</w:t>
      </w:r>
    </w:p>
    <w:p w14:paraId="1FE92871">
      <w:pPr>
        <w:pageBreakBefore w:val="0"/>
        <w:wordWrap/>
        <w:topLinePunct w:val="0"/>
        <w:bidi w:val="0"/>
        <w:spacing w:line="360" w:lineRule="auto"/>
        <w:rPr>
          <w:color w:val="000000" w:themeColor="text1"/>
          <w:highlight w:val="none"/>
        </w:rPr>
      </w:pPr>
      <w:r>
        <w:rPr>
          <w:color w:val="000000" w:themeColor="text1"/>
          <w:highlight w:val="none"/>
        </w:rPr>
        <w:t xml:space="preserve">预警信息包括突发事件的类别、预警级别、起始时间、可能影响范围、警示事项、应采取的措施和发布机关等。预警信息的发布、调整和解除可通过广播、电视、报刊、通信、信息网络、警报器、宣传车等方式进行。 </w:t>
      </w:r>
    </w:p>
    <w:p w14:paraId="6C1B73A5">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（4）</w:t>
      </w:r>
      <w:r>
        <w:rPr>
          <w:color w:val="000000" w:themeColor="text1"/>
          <w:highlight w:val="none"/>
        </w:rPr>
        <w:t>应急救援保障系统</w:t>
      </w:r>
    </w:p>
    <w:p w14:paraId="0803069C">
      <w:pPr>
        <w:pageBreakBefore w:val="0"/>
        <w:wordWrap/>
        <w:topLinePunct w:val="0"/>
        <w:bidi w:val="0"/>
        <w:spacing w:line="360" w:lineRule="auto"/>
        <w:rPr>
          <w:color w:val="000000" w:themeColor="text1"/>
          <w:highlight w:val="none"/>
        </w:rPr>
      </w:pPr>
      <w:r>
        <w:rPr>
          <w:color w:val="000000" w:themeColor="text1"/>
          <w:highlight w:val="none"/>
        </w:rPr>
        <w:t>施工期施工单位、运营期项目运营管理单位必须配备一些必要的应急救援设备、应急物资和仪器，存放于核实地点，以便快速自救。</w:t>
      </w:r>
    </w:p>
    <w:p w14:paraId="7EE6D133">
      <w:pPr>
        <w:pageBreakBefore w:val="0"/>
        <w:wordWrap/>
        <w:topLinePunct w:val="0"/>
        <w:bidi w:val="0"/>
        <w:spacing w:line="360" w:lineRule="auto"/>
        <w:rPr>
          <w:color w:val="000000" w:themeColor="text1"/>
          <w:highlight w:val="none"/>
        </w:rPr>
      </w:pPr>
      <w:r>
        <w:rPr>
          <w:color w:val="000000" w:themeColor="text1"/>
          <w:highlight w:val="none"/>
        </w:rPr>
        <w:t>主要应急设施：监控中心，建议设在本项目的管理处，一旦紧急情况定级，监控中心就作为应急指挥中心，配有人员全天值班，具有报警装置及报警专用电话。</w:t>
      </w:r>
    </w:p>
    <w:p w14:paraId="36903061">
      <w:pPr>
        <w:pageBreakBefore w:val="0"/>
        <w:wordWrap/>
        <w:topLinePunct w:val="0"/>
        <w:bidi w:val="0"/>
        <w:spacing w:line="360" w:lineRule="auto"/>
        <w:rPr>
          <w:color w:val="000000" w:themeColor="text1"/>
          <w:highlight w:val="none"/>
        </w:rPr>
      </w:pPr>
      <w:r>
        <w:rPr>
          <w:color w:val="000000" w:themeColor="text1"/>
          <w:highlight w:val="none"/>
        </w:rPr>
        <w:t>主要应急设备：包括人员防护设备、消防设备、牵引设备、电力照明设备、撇油设备等，监控中心必须保存所有设备明细表及它们所在的位置。</w:t>
      </w:r>
    </w:p>
    <w:p w14:paraId="1F289C81">
      <w:pPr>
        <w:pageBreakBefore w:val="0"/>
        <w:wordWrap/>
        <w:topLinePunct w:val="0"/>
        <w:bidi w:val="0"/>
        <w:spacing w:line="360" w:lineRule="auto"/>
        <w:rPr>
          <w:color w:val="000000" w:themeColor="text1"/>
          <w:highlight w:val="none"/>
        </w:rPr>
      </w:pPr>
      <w:r>
        <w:rPr>
          <w:color w:val="000000" w:themeColor="text1"/>
          <w:highlight w:val="none"/>
        </w:rPr>
        <w:t>主要应急药品：主要为用于跨越水体发生事故时的隔离拦截材料；油类、化学类的吸附剂、中和制剂，有锯木、稻草、聚丙烯纤维等。</w:t>
      </w:r>
    </w:p>
    <w:p w14:paraId="6E41455E">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（5）</w:t>
      </w:r>
      <w:r>
        <w:rPr>
          <w:color w:val="000000" w:themeColor="text1"/>
          <w:highlight w:val="none"/>
        </w:rPr>
        <w:t>报警、通讯联络方式</w:t>
      </w:r>
    </w:p>
    <w:p w14:paraId="6AE07C4E">
      <w:pPr>
        <w:pageBreakBefore w:val="0"/>
        <w:wordWrap/>
        <w:topLinePunct w:val="0"/>
        <w:bidi w:val="0"/>
        <w:spacing w:line="360" w:lineRule="auto"/>
        <w:rPr>
          <w:color w:val="000000" w:themeColor="text1"/>
          <w:highlight w:val="none"/>
        </w:rPr>
      </w:pPr>
      <w:r>
        <w:rPr>
          <w:color w:val="000000" w:themeColor="text1"/>
          <w:highlight w:val="none"/>
        </w:rPr>
        <w:t>应急中心值班人员了解情况后，立即通知应急领导小组，同时拨打</w:t>
      </w:r>
      <w:r>
        <w:rPr>
          <w:rFonts w:hint="eastAsia"/>
          <w:color w:val="000000" w:themeColor="text1"/>
          <w:highlight w:val="none"/>
          <w:lang w:eastAsia="zh-CN"/>
        </w:rPr>
        <w:t>“</w:t>
      </w:r>
      <w:r>
        <w:rPr>
          <w:color w:val="000000" w:themeColor="text1"/>
          <w:highlight w:val="none"/>
        </w:rPr>
        <w:t>110</w:t>
      </w:r>
      <w:r>
        <w:rPr>
          <w:rFonts w:hint="eastAsia"/>
          <w:color w:val="000000" w:themeColor="text1"/>
          <w:highlight w:val="none"/>
          <w:lang w:eastAsia="zh-CN"/>
        </w:rPr>
        <w:t>”</w:t>
      </w:r>
      <w:r>
        <w:rPr>
          <w:color w:val="000000" w:themeColor="text1"/>
          <w:highlight w:val="none"/>
        </w:rPr>
        <w:t>救援电话，配合所在市环境污染突发事件应急指挥部门开展应急工作。并协助配合通知事故处理小组，组织调动人员、车辆、设备、药物、联合采取应急行动，防止污染扩散。</w:t>
      </w:r>
    </w:p>
    <w:p w14:paraId="044E4283">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（6）</w:t>
      </w:r>
      <w:r>
        <w:rPr>
          <w:color w:val="000000" w:themeColor="text1"/>
          <w:highlight w:val="none"/>
        </w:rPr>
        <w:t>现场应急处置的具体措施</w:t>
      </w:r>
    </w:p>
    <w:p w14:paraId="4821223E">
      <w:pPr>
        <w:pageBreakBefore w:val="0"/>
        <w:wordWrap/>
        <w:topLinePunct w:val="0"/>
        <w:bidi w:val="0"/>
        <w:spacing w:line="360" w:lineRule="auto"/>
        <w:rPr>
          <w:color w:val="000000" w:themeColor="text1"/>
          <w:highlight w:val="none"/>
        </w:rPr>
      </w:pPr>
      <w:r>
        <w:rPr>
          <w:color w:val="000000" w:themeColor="text1"/>
          <w:highlight w:val="none"/>
        </w:rPr>
        <w:t>事故应急处理指挥部接到发出的事故报告后，并由总指挥确定是否启动本《预案》。当判定为重大事故时，应当将事故情况报告所在</w:t>
      </w:r>
      <w:r>
        <w:rPr>
          <w:rFonts w:hint="eastAsia"/>
          <w:color w:val="000000" w:themeColor="text1"/>
          <w:highlight w:val="none"/>
        </w:rPr>
        <w:t>市</w:t>
      </w:r>
      <w:r>
        <w:rPr>
          <w:color w:val="000000" w:themeColor="text1"/>
          <w:highlight w:val="none"/>
        </w:rPr>
        <w:t>人民政府，并由指挥部启动本《预案》，各成员单位按照应急救援中心的要求和各自的职责开展现场救援救护。现场救援指挥根据事故实际情况，成立下列救援专业组：</w:t>
      </w:r>
    </w:p>
    <w:p w14:paraId="3F395694">
      <w:pPr>
        <w:pageBreakBefore w:val="0"/>
        <w:wordWrap/>
        <w:topLinePunct w:val="0"/>
        <w:bidi w:val="0"/>
        <w:spacing w:line="360" w:lineRule="auto"/>
        <w:rPr>
          <w:color w:val="000000" w:themeColor="text1"/>
          <w:highlight w:val="none"/>
        </w:rPr>
      </w:pPr>
      <w:r>
        <w:rPr>
          <w:color w:val="000000" w:themeColor="text1"/>
          <w:highlight w:val="none"/>
        </w:rPr>
        <w:t>危险源控制组：负责在紧急状态下的现场抢险作业，及时控制危险源，并根据危险化学品的性质立即组织专用的防护用品及专用工具等。</w:t>
      </w:r>
    </w:p>
    <w:p w14:paraId="3E97BFF2">
      <w:pPr>
        <w:pageBreakBefore w:val="0"/>
        <w:wordWrap/>
        <w:topLinePunct w:val="0"/>
        <w:bidi w:val="0"/>
        <w:spacing w:line="360" w:lineRule="auto"/>
        <w:rPr>
          <w:color w:val="000000" w:themeColor="text1"/>
          <w:highlight w:val="none"/>
        </w:rPr>
      </w:pPr>
      <w:r>
        <w:rPr>
          <w:color w:val="000000" w:themeColor="text1"/>
          <w:highlight w:val="none"/>
        </w:rPr>
        <w:t>伤员抢救组：负责在现场附近的安全区域内设立临时医疗救护点，对受伤人员进行紧急救治，并护送重伤人员到医院进一步治疗。</w:t>
      </w:r>
    </w:p>
    <w:p w14:paraId="54E96792">
      <w:pPr>
        <w:pageBreakBefore w:val="0"/>
        <w:wordWrap/>
        <w:topLinePunct w:val="0"/>
        <w:bidi w:val="0"/>
        <w:spacing w:line="360" w:lineRule="auto"/>
        <w:rPr>
          <w:color w:val="000000" w:themeColor="text1"/>
          <w:highlight w:val="none"/>
        </w:rPr>
      </w:pPr>
      <w:r>
        <w:rPr>
          <w:color w:val="000000" w:themeColor="text1"/>
          <w:highlight w:val="none"/>
        </w:rPr>
        <w:t>灭火救援组：负责现场灭火、现场伤员的搜救、设备容器的冷却、抢救伤员及事故后对被污染区域的洗消工作。</w:t>
      </w:r>
    </w:p>
    <w:p w14:paraId="6BE7CC37">
      <w:pPr>
        <w:pageBreakBefore w:val="0"/>
        <w:wordWrap/>
        <w:topLinePunct w:val="0"/>
        <w:bidi w:val="0"/>
        <w:spacing w:line="360" w:lineRule="auto"/>
        <w:rPr>
          <w:color w:val="000000" w:themeColor="text1"/>
          <w:highlight w:val="none"/>
        </w:rPr>
      </w:pPr>
      <w:r>
        <w:rPr>
          <w:color w:val="000000" w:themeColor="text1"/>
          <w:highlight w:val="none"/>
        </w:rPr>
        <w:t>安全疏散组：负责对现场周围人员进行防护指导、人员疏散及周围物资转移等工作。</w:t>
      </w:r>
    </w:p>
    <w:p w14:paraId="4699CCC5">
      <w:pPr>
        <w:pageBreakBefore w:val="0"/>
        <w:wordWrap/>
        <w:topLinePunct w:val="0"/>
        <w:bidi w:val="0"/>
        <w:spacing w:line="360" w:lineRule="auto"/>
        <w:rPr>
          <w:color w:val="000000" w:themeColor="text1"/>
          <w:highlight w:val="none"/>
        </w:rPr>
      </w:pPr>
      <w:r>
        <w:rPr>
          <w:color w:val="000000" w:themeColor="text1"/>
          <w:highlight w:val="none"/>
        </w:rPr>
        <w:t>安全警戒组：负责布置安全警戒，禁止无关人员和车辆进入危险区域，在人员疏散区域进行治安巡逻。</w:t>
      </w:r>
    </w:p>
    <w:p w14:paraId="7B65F638">
      <w:pPr>
        <w:pageBreakBefore w:val="0"/>
        <w:wordWrap/>
        <w:topLinePunct w:val="0"/>
        <w:bidi w:val="0"/>
        <w:spacing w:line="360" w:lineRule="auto"/>
        <w:rPr>
          <w:color w:val="000000" w:themeColor="text1"/>
          <w:highlight w:val="none"/>
        </w:rPr>
      </w:pPr>
      <w:r>
        <w:rPr>
          <w:color w:val="000000" w:themeColor="text1"/>
          <w:highlight w:val="none"/>
        </w:rPr>
        <w:t>物资供应组：负责组织抢险物资的供应，组织车辆运送抢险物资。</w:t>
      </w:r>
    </w:p>
    <w:p w14:paraId="3D866E73">
      <w:pPr>
        <w:pageBreakBefore w:val="0"/>
        <w:wordWrap/>
        <w:topLinePunct w:val="0"/>
        <w:bidi w:val="0"/>
        <w:spacing w:line="360" w:lineRule="auto"/>
        <w:rPr>
          <w:color w:val="000000" w:themeColor="text1"/>
          <w:highlight w:val="none"/>
        </w:rPr>
      </w:pPr>
      <w:r>
        <w:rPr>
          <w:color w:val="000000" w:themeColor="text1"/>
          <w:highlight w:val="none"/>
        </w:rPr>
        <w:t>环境监测组：负责对大气、水体、土壤等进行环境即时监测，确定危险物质的成分及浓度，确定污染区域范围，对事故造成的环境影响进行评估，制定环境修复方案并组织实施。</w:t>
      </w:r>
    </w:p>
    <w:p w14:paraId="69AADD78">
      <w:pPr>
        <w:pageBreakBefore w:val="0"/>
        <w:wordWrap/>
        <w:topLinePunct w:val="0"/>
        <w:bidi w:val="0"/>
        <w:spacing w:line="360" w:lineRule="auto"/>
        <w:rPr>
          <w:color w:val="000000" w:themeColor="text1"/>
          <w:highlight w:val="none"/>
        </w:rPr>
      </w:pPr>
      <w:r>
        <w:rPr>
          <w:color w:val="000000" w:themeColor="text1"/>
          <w:highlight w:val="none"/>
        </w:rPr>
        <w:t>专家咨询组：负责对事故应急救援提出应急救援方案和安全措施，为现场指挥救援工作提供技术咨询。</w:t>
      </w:r>
    </w:p>
    <w:p w14:paraId="2D13CB83">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（7）</w:t>
      </w:r>
      <w:r>
        <w:rPr>
          <w:color w:val="000000" w:themeColor="text1"/>
          <w:highlight w:val="none"/>
        </w:rPr>
        <w:t>信息发布</w:t>
      </w:r>
    </w:p>
    <w:p w14:paraId="05154999">
      <w:pPr>
        <w:pageBreakBefore w:val="0"/>
        <w:wordWrap/>
        <w:topLinePunct w:val="0"/>
        <w:bidi w:val="0"/>
        <w:spacing w:line="360" w:lineRule="auto"/>
        <w:rPr>
          <w:color w:val="000000" w:themeColor="text1"/>
          <w:highlight w:val="none"/>
        </w:rPr>
      </w:pPr>
      <w:r>
        <w:rPr>
          <w:color w:val="000000" w:themeColor="text1"/>
          <w:highlight w:val="none"/>
        </w:rPr>
        <w:t>按照快速、及时、准确原则，在事故发生后的抢险救灾过程中，由当地政府宣传部门对公众发布事故具体信息。</w:t>
      </w:r>
    </w:p>
    <w:p w14:paraId="74AD9519">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（8）</w:t>
      </w:r>
      <w:r>
        <w:rPr>
          <w:color w:val="000000" w:themeColor="text1"/>
          <w:highlight w:val="none"/>
        </w:rPr>
        <w:t>应急环境监测、抢险、救援及控制措施</w:t>
      </w:r>
    </w:p>
    <w:p w14:paraId="7AD181FF">
      <w:pPr>
        <w:pageBreakBefore w:val="0"/>
        <w:wordWrap/>
        <w:topLinePunct w:val="0"/>
        <w:bidi w:val="0"/>
        <w:spacing w:line="360" w:lineRule="auto"/>
        <w:rPr>
          <w:color w:val="000000" w:themeColor="text1"/>
          <w:highlight w:val="none"/>
        </w:rPr>
      </w:pPr>
      <w:r>
        <w:rPr>
          <w:color w:val="000000" w:themeColor="text1"/>
          <w:highlight w:val="none"/>
        </w:rPr>
        <w:t>由专业队伍负责对事故现场进行侦查监测，对事故性质、参数与后果进行评估，为指挥部门提供决策依据。成立专门环境监测组，负责对大气、水体、土壤等进行环境监测，确定危险物质成分及浓度，确定污染区域范围，对事故造成的环境影响进行评估，制定环境修复方案并组织实施。</w:t>
      </w:r>
    </w:p>
    <w:p w14:paraId="051DA852">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（9）</w:t>
      </w:r>
      <w:r>
        <w:rPr>
          <w:color w:val="000000" w:themeColor="text1"/>
          <w:highlight w:val="none"/>
        </w:rPr>
        <w:t>实施跟踪监测、恢复措施</w:t>
      </w:r>
    </w:p>
    <w:p w14:paraId="1057A5B5">
      <w:pPr>
        <w:pageBreakBefore w:val="0"/>
        <w:wordWrap/>
        <w:topLinePunct w:val="0"/>
        <w:bidi w:val="0"/>
        <w:spacing w:line="360" w:lineRule="auto"/>
        <w:rPr>
          <w:color w:val="000000" w:themeColor="text1"/>
          <w:highlight w:val="none"/>
        </w:rPr>
      </w:pPr>
      <w:r>
        <w:rPr>
          <w:color w:val="000000" w:themeColor="text1"/>
          <w:highlight w:val="none"/>
        </w:rPr>
        <w:t>开展事故发生点、下游河道进行跟踪环境监测，有效控制事故现场，制定清楚污染措施和恢复措施。</w:t>
      </w:r>
    </w:p>
    <w:p w14:paraId="10DEF446">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（10）</w:t>
      </w:r>
      <w:r>
        <w:rPr>
          <w:color w:val="000000" w:themeColor="text1"/>
          <w:highlight w:val="none"/>
        </w:rPr>
        <w:t>事故后处理</w:t>
      </w:r>
    </w:p>
    <w:p w14:paraId="4BF24038">
      <w:pPr>
        <w:pageBreakBefore w:val="0"/>
        <w:wordWrap/>
        <w:topLinePunct w:val="0"/>
        <w:bidi w:val="0"/>
        <w:spacing w:line="360" w:lineRule="auto"/>
        <w:rPr>
          <w:color w:val="000000" w:themeColor="text1"/>
          <w:highlight w:val="none"/>
        </w:rPr>
      </w:pPr>
      <w:r>
        <w:rPr>
          <w:color w:val="000000" w:themeColor="text1"/>
          <w:highlight w:val="none"/>
        </w:rPr>
        <w:t>在事故现场，由所在县环境污染突发事件应急指挥部领导，其他各个协调管理机构对现场进行处理，本项目施工单位和营运单位主要进行协调和沟通工作，并负责事故处理汇报工作。</w:t>
      </w:r>
    </w:p>
    <w:p w14:paraId="3E0D5CF6">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（11）</w:t>
      </w:r>
      <w:r>
        <w:rPr>
          <w:color w:val="000000" w:themeColor="text1"/>
          <w:highlight w:val="none"/>
        </w:rPr>
        <w:t>事故应急救援关闭与恢复措施</w:t>
      </w:r>
    </w:p>
    <w:p w14:paraId="3FC685C3">
      <w:pPr>
        <w:pageBreakBefore w:val="0"/>
        <w:wordWrap/>
        <w:topLinePunct w:val="0"/>
        <w:bidi w:val="0"/>
        <w:spacing w:line="360" w:lineRule="auto"/>
        <w:rPr>
          <w:color w:val="000000" w:themeColor="text1"/>
          <w:highlight w:val="none"/>
        </w:rPr>
      </w:pPr>
      <w:r>
        <w:rPr>
          <w:color w:val="000000" w:themeColor="text1"/>
          <w:highlight w:val="none"/>
        </w:rPr>
        <w:t>当事故彻底控制后，由专门环境监测组跟踪监测水质状况，并根据监测结果，由应急处理指挥部确定事故应急救援关闭程序与恢复措施，各单位根据各自应急救援预案的要求进行总结评审工作。</w:t>
      </w:r>
    </w:p>
    <w:p w14:paraId="5C322D1F">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（12）</w:t>
      </w:r>
      <w:r>
        <w:rPr>
          <w:color w:val="000000" w:themeColor="text1"/>
          <w:highlight w:val="none"/>
        </w:rPr>
        <w:t>应急培训计划</w:t>
      </w:r>
    </w:p>
    <w:p w14:paraId="5FD2C113">
      <w:pPr>
        <w:pageBreakBefore w:val="0"/>
        <w:wordWrap/>
        <w:topLinePunct w:val="0"/>
        <w:bidi w:val="0"/>
        <w:spacing w:line="360" w:lineRule="auto"/>
        <w:rPr>
          <w:color w:val="000000" w:themeColor="text1"/>
          <w:highlight w:val="none"/>
        </w:rPr>
      </w:pPr>
      <w:r>
        <w:rPr>
          <w:color w:val="000000" w:themeColor="text1"/>
          <w:highlight w:val="none"/>
        </w:rPr>
        <w:t>对各种可能产生风险的环节加强管理，制定风险应急计划，应急计划制定后，应根据可能发生的事故情况，对施工期施工人员和运营期相关人员进行技术培训和演练，以确保应急救援工作有序的进行。</w:t>
      </w:r>
    </w:p>
    <w:p w14:paraId="17AE13B8">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（13）</w:t>
      </w:r>
      <w:r>
        <w:rPr>
          <w:color w:val="000000" w:themeColor="text1"/>
          <w:highlight w:val="none"/>
        </w:rPr>
        <w:t>公众教育和信息</w:t>
      </w:r>
    </w:p>
    <w:p w14:paraId="507EA2A9">
      <w:pPr>
        <w:pageBreakBefore w:val="0"/>
        <w:wordWrap/>
        <w:topLinePunct w:val="0"/>
        <w:bidi w:val="0"/>
        <w:spacing w:line="360" w:lineRule="auto"/>
        <w:rPr>
          <w:color w:val="000000" w:themeColor="text1"/>
          <w:highlight w:val="none"/>
        </w:rPr>
      </w:pPr>
      <w:r>
        <w:rPr>
          <w:color w:val="000000" w:themeColor="text1"/>
          <w:highlight w:val="none"/>
        </w:rPr>
        <w:t>对发生的危险品污染事故，通过媒体对公众进行公示，起到教育和警示作用。</w:t>
      </w:r>
    </w:p>
    <w:p w14:paraId="0B26E5A1">
      <w:pPr>
        <w:pStyle w:val="3"/>
        <w:pageBreakBefore w:val="0"/>
        <w:wordWrap/>
        <w:topLinePunct w:val="0"/>
        <w:bidi w:val="0"/>
        <w:spacing w:line="360" w:lineRule="auto"/>
        <w:rPr>
          <w:color w:val="000000" w:themeColor="text1"/>
          <w:highlight w:val="none"/>
        </w:rPr>
      </w:pPr>
      <w:bookmarkStart w:id="452" w:name="_Toc2372"/>
      <w:bookmarkStart w:id="453" w:name="_Toc28367"/>
      <w:bookmarkStart w:id="454" w:name="_Toc18755"/>
      <w:bookmarkStart w:id="455" w:name="_Toc518574387"/>
      <w:bookmarkStart w:id="456" w:name="_Toc15581"/>
      <w:r>
        <w:rPr>
          <w:rFonts w:hint="eastAsia"/>
          <w:color w:val="000000" w:themeColor="text1"/>
          <w:highlight w:val="none"/>
        </w:rPr>
        <w:t>6</w:t>
      </w:r>
      <w:r>
        <w:rPr>
          <w:color w:val="000000" w:themeColor="text1"/>
          <w:highlight w:val="none"/>
        </w:rPr>
        <w:t>.6风险分析结论</w:t>
      </w:r>
      <w:bookmarkEnd w:id="452"/>
      <w:bookmarkEnd w:id="453"/>
      <w:bookmarkEnd w:id="454"/>
      <w:bookmarkEnd w:id="455"/>
      <w:bookmarkEnd w:id="456"/>
    </w:p>
    <w:p w14:paraId="560DD5E5">
      <w:pPr>
        <w:pageBreakBefore w:val="0"/>
        <w:wordWrap/>
        <w:topLinePunct w:val="0"/>
        <w:bidi w:val="0"/>
        <w:spacing w:line="360" w:lineRule="auto"/>
        <w:rPr>
          <w:color w:val="000000" w:themeColor="text1"/>
          <w:highlight w:val="none"/>
        </w:rPr>
      </w:pPr>
      <w:r>
        <w:rPr>
          <w:color w:val="000000" w:themeColor="text1"/>
          <w:highlight w:val="none"/>
        </w:rPr>
        <w:t>综上所述，本项目采取切实可行的风险事故防范措施并制定风险应急预案，发生风险事故时应立即启动《风险事故预案》，在严格落实风险管理及应急措施后，可将风险发生的概率和影响后果降到最低限度。</w:t>
      </w:r>
    </w:p>
    <w:p w14:paraId="124B649A">
      <w:pPr>
        <w:pageBreakBefore w:val="0"/>
        <w:wordWrap/>
        <w:topLinePunct w:val="0"/>
        <w:bidi w:val="0"/>
        <w:spacing w:line="360" w:lineRule="auto"/>
        <w:rPr>
          <w:color w:val="000000" w:themeColor="text1"/>
          <w:highlight w:val="none"/>
        </w:rPr>
      </w:pPr>
    </w:p>
    <w:p w14:paraId="1A02B1BD">
      <w:pPr>
        <w:pageBreakBefore w:val="0"/>
        <w:wordWrap/>
        <w:topLinePunct w:val="0"/>
        <w:bidi w:val="0"/>
        <w:spacing w:line="360" w:lineRule="auto"/>
        <w:ind w:firstLine="0" w:firstLineChars="0"/>
        <w:rPr>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20BA2917">
      <w:pPr>
        <w:pStyle w:val="2"/>
        <w:pageBreakBefore w:val="0"/>
        <w:wordWrap/>
        <w:topLinePunct w:val="0"/>
        <w:bidi w:val="0"/>
        <w:spacing w:line="360" w:lineRule="auto"/>
        <w:ind w:left="431" w:hanging="431"/>
        <w:jc w:val="center"/>
        <w:rPr>
          <w:color w:val="000000" w:themeColor="text1"/>
          <w:highlight w:val="none"/>
        </w:rPr>
      </w:pPr>
      <w:bookmarkStart w:id="457" w:name="_Toc16218"/>
      <w:bookmarkStart w:id="458" w:name="_Toc14962"/>
      <w:bookmarkStart w:id="459" w:name="_Toc19559"/>
      <w:bookmarkStart w:id="460" w:name="_Toc5601"/>
      <w:bookmarkStart w:id="461" w:name="_Toc16518"/>
      <w:r>
        <w:rPr>
          <w:rFonts w:hint="eastAsia"/>
          <w:color w:val="000000" w:themeColor="text1"/>
          <w:highlight w:val="none"/>
        </w:rPr>
        <w:t>7</w:t>
      </w:r>
      <w:r>
        <w:rPr>
          <w:color w:val="000000" w:themeColor="text1"/>
          <w:highlight w:val="none"/>
        </w:rPr>
        <w:t>环境保护措施及其可行性论证</w:t>
      </w:r>
      <w:bookmarkEnd w:id="457"/>
      <w:bookmarkEnd w:id="458"/>
      <w:bookmarkEnd w:id="459"/>
      <w:bookmarkEnd w:id="460"/>
      <w:bookmarkEnd w:id="461"/>
    </w:p>
    <w:p w14:paraId="3FEB8762">
      <w:pPr>
        <w:pStyle w:val="3"/>
        <w:pageBreakBefore w:val="0"/>
        <w:wordWrap/>
        <w:topLinePunct w:val="0"/>
        <w:bidi w:val="0"/>
        <w:spacing w:line="360" w:lineRule="auto"/>
        <w:rPr>
          <w:color w:val="000000" w:themeColor="text1"/>
          <w:highlight w:val="none"/>
        </w:rPr>
      </w:pPr>
      <w:bookmarkStart w:id="462" w:name="_Toc11356"/>
      <w:bookmarkStart w:id="463" w:name="_Toc17405"/>
      <w:bookmarkStart w:id="464" w:name="_Toc7968"/>
      <w:bookmarkStart w:id="465" w:name="_Toc11594"/>
      <w:bookmarkStart w:id="466" w:name="_Toc451873601"/>
      <w:r>
        <w:rPr>
          <w:color w:val="000000" w:themeColor="text1"/>
          <w:highlight w:val="none"/>
        </w:rPr>
        <w:t>7.1生态环境</w:t>
      </w:r>
      <w:bookmarkEnd w:id="462"/>
      <w:bookmarkEnd w:id="463"/>
      <w:bookmarkEnd w:id="464"/>
      <w:bookmarkEnd w:id="465"/>
      <w:bookmarkEnd w:id="466"/>
    </w:p>
    <w:p w14:paraId="5C61DC61">
      <w:pPr>
        <w:pStyle w:val="4"/>
        <w:pageBreakBefore w:val="0"/>
        <w:wordWrap/>
        <w:topLinePunct w:val="0"/>
        <w:bidi w:val="0"/>
        <w:spacing w:before="120" w:line="360" w:lineRule="auto"/>
        <w:rPr>
          <w:color w:val="000000" w:themeColor="text1"/>
          <w:highlight w:val="none"/>
        </w:rPr>
      </w:pPr>
      <w:bookmarkStart w:id="467" w:name="_Toc9377"/>
      <w:bookmarkStart w:id="468" w:name="_Toc246"/>
      <w:r>
        <w:rPr>
          <w:rFonts w:hint="eastAsia"/>
          <w:color w:val="000000" w:themeColor="text1"/>
          <w:highlight w:val="none"/>
        </w:rPr>
        <w:t>7</w:t>
      </w:r>
      <w:r>
        <w:rPr>
          <w:color w:val="000000" w:themeColor="text1"/>
          <w:highlight w:val="none"/>
        </w:rPr>
        <w:t>.1.1施工期</w:t>
      </w:r>
      <w:bookmarkEnd w:id="467"/>
      <w:bookmarkEnd w:id="468"/>
    </w:p>
    <w:p w14:paraId="37D14DA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.1.1.1植物保护措施</w:t>
      </w:r>
    </w:p>
    <w:p w14:paraId="62B9DBBA">
      <w:pPr>
        <w:pageBreakBefore w:val="0"/>
        <w:wordWrap/>
        <w:topLinePunct w:val="0"/>
        <w:bidi w:val="0"/>
        <w:spacing w:line="360" w:lineRule="auto"/>
        <w:rPr>
          <w:color w:val="000000" w:themeColor="text1"/>
          <w:highlight w:val="none"/>
        </w:rPr>
      </w:pPr>
      <w:r>
        <w:rPr>
          <w:color w:val="000000" w:themeColor="text1"/>
          <w:highlight w:val="none"/>
        </w:rPr>
        <w:t>（1）严格按照设计文件范围确定征占土地，进行地表植被清理工作；严格控制路基开挖施工作业面，避免超挖破坏周围植被；禁止施工人员、车辆进入非施工占地区域。</w:t>
      </w:r>
    </w:p>
    <w:p w14:paraId="6A59B9C0">
      <w:pPr>
        <w:pageBreakBefore w:val="0"/>
        <w:wordWrap/>
        <w:topLinePunct w:val="0"/>
        <w:bidi w:val="0"/>
        <w:spacing w:line="360" w:lineRule="auto"/>
        <w:rPr>
          <w:color w:val="000000" w:themeColor="text1"/>
          <w:highlight w:val="none"/>
        </w:rPr>
      </w:pPr>
      <w:r>
        <w:rPr>
          <w:color w:val="000000" w:themeColor="text1"/>
          <w:highlight w:val="none"/>
        </w:rPr>
        <w:t>（2）优化施工方案，合理安排施工进度，避开雨天施工。</w:t>
      </w:r>
    </w:p>
    <w:p w14:paraId="7C299B7E">
      <w:pPr>
        <w:pageBreakBefore w:val="0"/>
        <w:wordWrap/>
        <w:topLinePunct w:val="0"/>
        <w:bidi w:val="0"/>
        <w:spacing w:line="360" w:lineRule="auto"/>
        <w:rPr>
          <w:color w:val="000000" w:themeColor="text1"/>
          <w:highlight w:val="none"/>
        </w:rPr>
      </w:pPr>
      <w:r>
        <w:rPr>
          <w:color w:val="000000" w:themeColor="text1"/>
          <w:highlight w:val="none"/>
        </w:rPr>
        <w:t>（3）</w:t>
      </w:r>
      <w:r>
        <w:rPr>
          <w:rFonts w:hint="eastAsia"/>
          <w:color w:val="000000" w:themeColor="text1"/>
          <w:highlight w:val="none"/>
        </w:rPr>
        <w:t>临时占地尽量设置在永久占地范围内，严禁超范围占地</w:t>
      </w:r>
      <w:r>
        <w:rPr>
          <w:color w:val="000000" w:themeColor="text1"/>
          <w:highlight w:val="none"/>
        </w:rPr>
        <w:t>。</w:t>
      </w:r>
    </w:p>
    <w:p w14:paraId="7884424D">
      <w:pPr>
        <w:pageBreakBefore w:val="0"/>
        <w:wordWrap/>
        <w:topLinePunct w:val="0"/>
        <w:bidi w:val="0"/>
        <w:spacing w:line="360" w:lineRule="auto"/>
        <w:rPr>
          <w:color w:val="000000" w:themeColor="text1"/>
          <w:highlight w:val="none"/>
        </w:rPr>
      </w:pPr>
      <w:r>
        <w:rPr>
          <w:color w:val="000000" w:themeColor="text1"/>
          <w:highlight w:val="none"/>
        </w:rPr>
        <w:t>（4）</w:t>
      </w:r>
      <w:r>
        <w:rPr>
          <w:rFonts w:hint="eastAsia"/>
          <w:color w:val="000000" w:themeColor="text1"/>
          <w:highlight w:val="none"/>
        </w:rPr>
        <w:t>永久占地和临时占地施工前，做好表层土壤保护，应将表土</w:t>
      </w:r>
      <w:r>
        <w:rPr>
          <w:rFonts w:hint="eastAsia"/>
          <w:color w:val="000000" w:themeColor="text1"/>
          <w:highlight w:val="none"/>
          <w:lang w:eastAsia="zh-CN"/>
        </w:rPr>
        <w:t>（</w:t>
      </w:r>
      <w:r>
        <w:rPr>
          <w:rFonts w:hint="eastAsia"/>
          <w:color w:val="000000" w:themeColor="text1"/>
          <w:highlight w:val="none"/>
        </w:rPr>
        <w:t>林地约30cm、农用地约20cm</w:t>
      </w:r>
      <w:r>
        <w:rPr>
          <w:rFonts w:hint="eastAsia"/>
          <w:color w:val="000000" w:themeColor="text1"/>
          <w:highlight w:val="none"/>
          <w:lang w:eastAsia="zh-CN"/>
        </w:rPr>
        <w:t>）</w:t>
      </w:r>
      <w:r>
        <w:rPr>
          <w:rFonts w:hint="eastAsia"/>
          <w:color w:val="000000" w:themeColor="text1"/>
          <w:highlight w:val="none"/>
        </w:rPr>
        <w:t>剥离，集中堆存，采取盖措施，防止水土流失，回覆于进场路工程区、施工便道区和弃渣场，用于土地整治和绿化覆土，剩余表土依据《新建黑龙江鹤岗机场项目耕地耕作层土壤剥离利用方案》全部外运用于改良中低产和被污染耕地的治理，表土剥离存储满足《黑龙江省黑土地保护利用条例》及《黑龙江省人民政府办公厅关于建设占用耕地耕作层土壤剥离利用工作的指导意见(试行)》(黑政办规(2021)18号)要求。</w:t>
      </w:r>
    </w:p>
    <w:p w14:paraId="6E2E225D">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5</w:t>
      </w:r>
      <w:r>
        <w:rPr>
          <w:rFonts w:hint="eastAsia"/>
          <w:color w:val="000000" w:themeColor="text1"/>
          <w:highlight w:val="none"/>
        </w:rPr>
        <w:t>）工程占用农田较多，故工程设计时，</w:t>
      </w:r>
      <w:r>
        <w:rPr>
          <w:rFonts w:hint="eastAsia"/>
          <w:color w:val="000000" w:themeColor="text1"/>
          <w:highlight w:val="none"/>
          <w:lang w:val="en-US" w:eastAsia="zh-CN"/>
        </w:rPr>
        <w:t>即</w:t>
      </w:r>
      <w:r>
        <w:rPr>
          <w:rFonts w:hint="eastAsia"/>
          <w:color w:val="000000" w:themeColor="text1"/>
          <w:highlight w:val="none"/>
        </w:rPr>
        <w:t>考虑了占地的影响，采用</w:t>
      </w:r>
      <w:r>
        <w:rPr>
          <w:color w:val="000000" w:themeColor="text1"/>
          <w:highlight w:val="none"/>
        </w:rPr>
        <w:t>收缩边坡、降低路基高度</w:t>
      </w:r>
      <w:r>
        <w:rPr>
          <w:rFonts w:hint="eastAsia"/>
          <w:color w:val="000000" w:themeColor="text1"/>
          <w:highlight w:val="none"/>
        </w:rPr>
        <w:t>的方式减少占地。项目施工期间要严格控制施工作业带宽度，施工便道尽量利用现有道路，需要新修建道路时控制路宽，尽量减少临时占地，同时尽量以</w:t>
      </w:r>
      <w:r>
        <w:rPr>
          <w:color w:val="000000" w:themeColor="text1"/>
          <w:highlight w:val="none"/>
        </w:rPr>
        <w:t>挡墙代替</w:t>
      </w:r>
      <w:r>
        <w:rPr>
          <w:rFonts w:hint="eastAsia"/>
          <w:color w:val="000000" w:themeColor="text1"/>
          <w:highlight w:val="none"/>
        </w:rPr>
        <w:t>边坡降低对</w:t>
      </w:r>
      <w:r>
        <w:rPr>
          <w:color w:val="000000" w:themeColor="text1"/>
          <w:highlight w:val="none"/>
        </w:rPr>
        <w:t>农田的影响。</w:t>
      </w:r>
    </w:p>
    <w:p w14:paraId="0AA55108">
      <w:pPr>
        <w:pageBreakBefore w:val="0"/>
        <w:wordWrap/>
        <w:topLinePunct w:val="0"/>
        <w:bidi w:val="0"/>
        <w:spacing w:line="360" w:lineRule="auto"/>
        <w:rPr>
          <w:color w:val="000000" w:themeColor="text1"/>
          <w:highlight w:val="none"/>
        </w:rPr>
      </w:pPr>
      <w:r>
        <w:rPr>
          <w:rFonts w:hint="eastAsia"/>
          <w:color w:val="000000" w:themeColor="text1"/>
          <w:highlight w:val="none"/>
        </w:rPr>
        <w:t>临时用地使用前，对施工人员进行培训，要求严格保护临时用地内的树木。尽量保护征地范围内的林木，可以移栽的树木一定要移栽；加强管理，减少对生态的破坏。</w:t>
      </w:r>
    </w:p>
    <w:p w14:paraId="2CE7D966">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6</w:t>
      </w:r>
      <w:r>
        <w:rPr>
          <w:color w:val="000000" w:themeColor="text1"/>
          <w:highlight w:val="none"/>
        </w:rPr>
        <w:t>）</w:t>
      </w:r>
      <w:r>
        <w:rPr>
          <w:rFonts w:hint="eastAsia"/>
          <w:color w:val="000000" w:themeColor="text1"/>
          <w:highlight w:val="none"/>
        </w:rPr>
        <w:t>施工占用林地，建设单位应当按照《中华人民共和国森林法》、《森林法实施条例》等相关法律法规办理项目征占用林地手续后方可开工建设。永久及临时占用的林地依据黑龙江省森林工业总局《关于印发建设项目使用林地、林木补偿费标准的通知》（黑森计</w:t>
      </w:r>
      <w:r>
        <w:rPr>
          <w:rFonts w:hint="eastAsia" w:ascii="宋体" w:hAnsi="宋体" w:eastAsia="宋体" w:cs="宋体"/>
          <w:color w:val="000000" w:themeColor="text1"/>
          <w:highlight w:val="none"/>
        </w:rPr>
        <w:t>〔</w:t>
      </w:r>
      <w:r>
        <w:rPr>
          <w:rFonts w:hint="eastAsia"/>
          <w:color w:val="000000" w:themeColor="text1"/>
          <w:highlight w:val="none"/>
        </w:rPr>
        <w:t>2016</w:t>
      </w:r>
      <w:r>
        <w:rPr>
          <w:rFonts w:hint="eastAsia" w:ascii="宋体" w:hAnsi="宋体" w:eastAsia="宋体" w:cs="宋体"/>
          <w:color w:val="000000" w:themeColor="text1"/>
          <w:highlight w:val="none"/>
        </w:rPr>
        <w:t>〕</w:t>
      </w:r>
      <w:r>
        <w:rPr>
          <w:rFonts w:hint="eastAsia"/>
          <w:color w:val="000000" w:themeColor="text1"/>
          <w:highlight w:val="none"/>
        </w:rPr>
        <w:t>1091号），对占用林地所有人进行经济补偿。</w:t>
      </w:r>
    </w:p>
    <w:p w14:paraId="1F4FA63C">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7</w:t>
      </w:r>
      <w:r>
        <w:rPr>
          <w:rFonts w:hint="eastAsia"/>
          <w:color w:val="000000" w:themeColor="text1"/>
          <w:highlight w:val="none"/>
        </w:rPr>
        <w:t>）在施工过程中发现国家或省级重点保护野生植物时，应报告当地林业和环境保护部门，并立即实施挽救和妥善保护，并在最近区域内寻找相似生境进行移栽。</w:t>
      </w:r>
    </w:p>
    <w:p w14:paraId="6CFCE3FD">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8</w:t>
      </w:r>
      <w:r>
        <w:rPr>
          <w:rFonts w:hint="eastAsia"/>
          <w:color w:val="000000" w:themeColor="text1"/>
          <w:highlight w:val="none"/>
        </w:rPr>
        <w:t>）道路建成绿化时选择适合当地生存的树种，在布局上还应考虑多种树种的交错分布，提高绿化区域内植物种类的多样性。</w:t>
      </w:r>
    </w:p>
    <w:p w14:paraId="23CB544A">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9</w:t>
      </w:r>
      <w:r>
        <w:rPr>
          <w:rFonts w:hint="eastAsia"/>
          <w:color w:val="000000" w:themeColor="text1"/>
          <w:highlight w:val="none"/>
        </w:rPr>
        <w:t>）</w:t>
      </w:r>
      <w:r>
        <w:rPr>
          <w:color w:val="000000" w:themeColor="text1"/>
          <w:highlight w:val="none"/>
        </w:rPr>
        <w:t>根据《中华人民共和国土地管理法》、《国务院关于深化改革严格土地管理的规定》（国发</w:t>
      </w:r>
      <w:r>
        <w:rPr>
          <w:rFonts w:hint="eastAsia" w:ascii="宋体" w:hAnsi="宋体" w:eastAsia="宋体" w:cs="宋体"/>
          <w:color w:val="000000" w:themeColor="text1"/>
          <w:highlight w:val="none"/>
        </w:rPr>
        <w:t>〔</w:t>
      </w:r>
      <w:r>
        <w:rPr>
          <w:rFonts w:hint="eastAsia"/>
          <w:color w:val="000000" w:themeColor="text1"/>
          <w:highlight w:val="none"/>
        </w:rPr>
        <w:t>20</w:t>
      </w:r>
      <w:r>
        <w:rPr>
          <w:rFonts w:hint="eastAsia"/>
          <w:color w:val="000000" w:themeColor="text1"/>
          <w:highlight w:val="none"/>
          <w:lang w:val="en-US" w:eastAsia="zh-CN"/>
        </w:rPr>
        <w:t>04</w:t>
      </w:r>
      <w:r>
        <w:rPr>
          <w:rFonts w:hint="eastAsia" w:ascii="宋体" w:hAnsi="宋体" w:eastAsia="宋体" w:cs="宋体"/>
          <w:color w:val="000000" w:themeColor="text1"/>
          <w:highlight w:val="none"/>
        </w:rPr>
        <w:t>〕</w:t>
      </w:r>
      <w:r>
        <w:rPr>
          <w:color w:val="000000" w:themeColor="text1"/>
          <w:highlight w:val="none"/>
        </w:rPr>
        <w:t>28）对耕地开垦费的缴纳和使用有专门要求。本项目在估算中考虑占地补偿及耕地复垦费用，通过委托补充方式与沿线村屯签订委托补充耕地协议，协议中应规定建设方面要按照省政府规定的标准按时缴纳耕地开垦费，由地方有关部门负责开垦与项目占用数量相等、质量相当的耕地。</w:t>
      </w:r>
    </w:p>
    <w:p w14:paraId="6202741F">
      <w:pPr>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0</w:t>
      </w:r>
      <w:r>
        <w:rPr>
          <w:rFonts w:hint="eastAsia"/>
          <w:color w:val="000000" w:themeColor="text1"/>
          <w:highlight w:val="none"/>
        </w:rPr>
        <w:t>）施工期采取措施抑制施工扬尘，减轻对农作物和植被生长的影响。</w:t>
      </w:r>
    </w:p>
    <w:p w14:paraId="1F9F622F">
      <w:pPr>
        <w:pageBreakBefore w:val="0"/>
        <w:wordWrap/>
        <w:topLinePunct w:val="0"/>
        <w:bidi w:val="0"/>
        <w:spacing w:line="360" w:lineRule="auto"/>
        <w:rPr>
          <w:color w:val="000000" w:themeColor="text1"/>
          <w:highlight w:val="none"/>
        </w:rPr>
      </w:pPr>
      <w:r>
        <w:rPr>
          <w:rFonts w:hint="eastAsia"/>
          <w:color w:val="000000" w:themeColor="text1"/>
          <w:highlight w:val="none"/>
        </w:rPr>
        <w:t>从总体上看，公路建设生态影响主要集中在公路两侧线形范围内，对此范围外的区域野生植物的影响较小。因此只要坚持对砍伐林木的异地补偿、对保护物种异地种植、沿线路堤边坡的绿化措施，就可大大减少森林植被破坏所产生的负面影响。</w:t>
      </w:r>
    </w:p>
    <w:p w14:paraId="33CFEF3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.1.1.2动物保护措施</w:t>
      </w:r>
    </w:p>
    <w:p w14:paraId="3521300A">
      <w:pPr>
        <w:pageBreakBefore w:val="0"/>
        <w:wordWrap/>
        <w:topLinePunct w:val="0"/>
        <w:bidi w:val="0"/>
        <w:spacing w:line="360" w:lineRule="auto"/>
        <w:rPr>
          <w:color w:val="000000" w:themeColor="text1"/>
          <w:highlight w:val="none"/>
        </w:rPr>
      </w:pPr>
      <w:r>
        <w:rPr>
          <w:color w:val="000000" w:themeColor="text1"/>
          <w:highlight w:val="none"/>
        </w:rPr>
        <w:t>（1）提高施工人员的保护意识，严禁捕猎野生动物；施工人员必须遵守《中华人民共和国野生动物保护法》，严禁在施工区及其周围捕猎野生动物；施工过程中若发现</w:t>
      </w:r>
      <w:r>
        <w:rPr>
          <w:rFonts w:hint="eastAsia"/>
          <w:color w:val="000000" w:themeColor="text1"/>
          <w:highlight w:val="none"/>
        </w:rPr>
        <w:t>国家级及省级</w:t>
      </w:r>
      <w:r>
        <w:rPr>
          <w:color w:val="000000" w:themeColor="text1"/>
          <w:highlight w:val="none"/>
        </w:rPr>
        <w:t>重点保护动物，应及时进行护养或放归。</w:t>
      </w:r>
    </w:p>
    <w:p w14:paraId="559B1CF4">
      <w:pPr>
        <w:pageBreakBefore w:val="0"/>
        <w:wordWrap/>
        <w:topLinePunct w:val="0"/>
        <w:bidi w:val="0"/>
        <w:spacing w:line="360" w:lineRule="auto"/>
        <w:rPr>
          <w:color w:val="000000" w:themeColor="text1"/>
          <w:highlight w:val="none"/>
        </w:rPr>
      </w:pPr>
      <w:r>
        <w:rPr>
          <w:color w:val="000000" w:themeColor="text1"/>
          <w:highlight w:val="none"/>
        </w:rPr>
        <w:t>（2）根据施工总平面布置图确定施工用地范围，进行标桩划界，禁止施工人员、施工机械进入非施工占地区域；非施工区严禁烟火、狩猎和垂钓等活动；禁止施工人员野外用火，使对野生动物的干扰降至最低程度。</w:t>
      </w:r>
    </w:p>
    <w:p w14:paraId="7D5B1A9A">
      <w:pPr>
        <w:pageBreakBefore w:val="0"/>
        <w:wordWrap/>
        <w:topLinePunct w:val="0"/>
        <w:bidi w:val="0"/>
        <w:spacing w:line="360" w:lineRule="auto"/>
        <w:rPr>
          <w:color w:val="000000" w:themeColor="text1"/>
          <w:highlight w:val="none"/>
        </w:rPr>
      </w:pPr>
      <w:r>
        <w:rPr>
          <w:color w:val="000000" w:themeColor="text1"/>
          <w:highlight w:val="none"/>
        </w:rPr>
        <w:t>（3）做好施工方案和工序安排，合理安排施工时间，尽可能避开野生动物繁殖期施工，避开晨昏、正午进行大规模、高噪声设备集中作业；加强施工管理，尽量缩短桥梁施工工期，减少工程施工噪声对野生动物的惊扰。</w:t>
      </w:r>
      <w:r>
        <w:rPr>
          <w:rFonts w:hint="eastAsia"/>
          <w:color w:val="000000" w:themeColor="text1"/>
          <w:highlight w:val="none"/>
        </w:rPr>
        <w:t>选用噪声低的施工机械，减少噪声对动物的影响。</w:t>
      </w:r>
    </w:p>
    <w:p w14:paraId="09AF02DD">
      <w:pPr>
        <w:pageBreakBefore w:val="0"/>
        <w:wordWrap/>
        <w:topLinePunct w:val="0"/>
        <w:bidi w:val="0"/>
        <w:spacing w:line="360" w:lineRule="auto"/>
        <w:rPr>
          <w:color w:val="000000" w:themeColor="text1"/>
          <w:highlight w:val="none"/>
        </w:rPr>
      </w:pPr>
      <w:r>
        <w:rPr>
          <w:color w:val="000000" w:themeColor="text1"/>
          <w:highlight w:val="none"/>
        </w:rPr>
        <w:t>（4）桥涵路段施工时，减少对公路两侧原有生境破坏，保护河道两侧植被，</w:t>
      </w:r>
      <w:r>
        <w:rPr>
          <w:rFonts w:hint="eastAsia"/>
          <w:color w:val="000000" w:themeColor="text1"/>
          <w:highlight w:val="none"/>
        </w:rPr>
        <w:t>并</w:t>
      </w:r>
      <w:r>
        <w:rPr>
          <w:color w:val="000000" w:themeColor="text1"/>
          <w:highlight w:val="none"/>
        </w:rPr>
        <w:t>应设施便涵、便桥，避免因桥涵施工造成动物活动阻隔</w:t>
      </w:r>
      <w:r>
        <w:rPr>
          <w:rFonts w:hint="eastAsia"/>
          <w:color w:val="000000" w:themeColor="text1"/>
          <w:highlight w:val="none"/>
          <w:lang w:eastAsia="zh-CN"/>
        </w:rPr>
        <w:t>，</w:t>
      </w:r>
      <w:r>
        <w:rPr>
          <w:color w:val="000000" w:themeColor="text1"/>
          <w:highlight w:val="none"/>
        </w:rPr>
        <w:t>减轻对两栖类、爬行类的影响。</w:t>
      </w:r>
    </w:p>
    <w:p w14:paraId="1D7CE94C">
      <w:pPr>
        <w:pageBreakBefore w:val="0"/>
        <w:wordWrap/>
        <w:topLinePunct w:val="0"/>
        <w:bidi w:val="0"/>
        <w:spacing w:line="360" w:lineRule="auto"/>
        <w:rPr>
          <w:color w:val="000000" w:themeColor="text1"/>
          <w:highlight w:val="none"/>
        </w:rPr>
      </w:pPr>
      <w:r>
        <w:rPr>
          <w:color w:val="000000" w:themeColor="text1"/>
          <w:highlight w:val="none"/>
        </w:rPr>
        <w:t>（5）加强工程建设环境保护监督管理、统筹安排，设立环境保护监督机构和环保专职人员，加强对施工人员的环保教育，严禁施工人员盗猎野生动物，对违法行为进行依法处置。</w:t>
      </w:r>
    </w:p>
    <w:p w14:paraId="5620438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.1.1.3水生生态保护措施</w:t>
      </w:r>
    </w:p>
    <w:p w14:paraId="7AD5FF0B">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rPr>
        <w:t>加强施工期管理和环境保护宣传，以宣传册、标志牌等形式，对施工人员及时进行生态保护宣传教育</w:t>
      </w:r>
      <w:r>
        <w:rPr>
          <w:rFonts w:hint="eastAsia"/>
          <w:color w:val="000000" w:themeColor="text1"/>
          <w:highlight w:val="none"/>
          <w:lang w:eastAsia="zh-CN"/>
        </w:rPr>
        <w:t>；</w:t>
      </w:r>
      <w:r>
        <w:rPr>
          <w:rFonts w:hint="eastAsia"/>
          <w:color w:val="000000" w:themeColor="text1"/>
          <w:highlight w:val="none"/>
        </w:rPr>
        <w:t>加强施工管理，禁止施工人员钓、网等捕鱼行为发生。</w:t>
      </w:r>
    </w:p>
    <w:p w14:paraId="7A6C4EFC">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rPr>
        <w:t>优化施工组织设计，合理有序进行施工</w:t>
      </w:r>
      <w:r>
        <w:rPr>
          <w:rFonts w:hint="eastAsia"/>
          <w:color w:val="000000" w:themeColor="text1"/>
          <w:highlight w:val="none"/>
          <w:lang w:eastAsia="zh-CN"/>
        </w:rPr>
        <w:t>；</w:t>
      </w:r>
      <w:r>
        <w:rPr>
          <w:rFonts w:hint="eastAsia"/>
          <w:color w:val="000000" w:themeColor="text1"/>
          <w:highlight w:val="none"/>
        </w:rPr>
        <w:t>合理安排施工时间，避开鱼类产卵期及洄游期5月末~9月施工，选在枯水期和非灌溉期施工，施工前设置钢护筒围堰，减少对水体的扰动影响。</w:t>
      </w:r>
    </w:p>
    <w:p w14:paraId="577783AB">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rPr>
        <w:t>本项目大桥施工时，架设施工便桥，其他中桥均设置施工便涵，均布设在永久占地范围内，严禁在永久占地范围外施工。</w:t>
      </w:r>
    </w:p>
    <w:p w14:paraId="6D042809">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rFonts w:hint="eastAsia"/>
          <w:color w:val="000000" w:themeColor="text1"/>
          <w:highlight w:val="none"/>
        </w:rPr>
        <w:t>施工便桥、便涵施工及拆除过程，采用先进的施工工艺和设备，合理安排施工顺序和进度。避开鱼类产卵及洄游季节</w:t>
      </w:r>
      <w:r>
        <w:rPr>
          <w:rFonts w:hint="eastAsia"/>
          <w:color w:val="000000" w:themeColor="text1"/>
          <w:highlight w:val="none"/>
          <w:lang w:eastAsia="zh-CN"/>
        </w:rPr>
        <w:t>（</w:t>
      </w:r>
      <w:r>
        <w:rPr>
          <w:rFonts w:hint="eastAsia"/>
          <w:color w:val="000000" w:themeColor="text1"/>
          <w:highlight w:val="none"/>
        </w:rPr>
        <w:t>5月末至9月份</w:t>
      </w:r>
      <w:r>
        <w:rPr>
          <w:rFonts w:hint="eastAsia"/>
          <w:color w:val="000000" w:themeColor="text1"/>
          <w:highlight w:val="none"/>
          <w:lang w:eastAsia="zh-CN"/>
        </w:rPr>
        <w:t>）</w:t>
      </w:r>
      <w:r>
        <w:rPr>
          <w:rFonts w:hint="eastAsia"/>
          <w:color w:val="000000" w:themeColor="text1"/>
          <w:highlight w:val="none"/>
        </w:rPr>
        <w:t>，选择水量小的枯水期施工，以减小悬浮物的扩散范围。临时施工便桥使用过程中严格控制桥面上行驶的车辆，装载易起尘的物料要加盖苦布、控制车速，防止物料</w:t>
      </w:r>
      <w:r>
        <w:rPr>
          <w:rFonts w:hint="eastAsia"/>
          <w:color w:val="000000" w:themeColor="text1"/>
          <w:highlight w:val="none"/>
          <w:lang w:val="en-US" w:eastAsia="zh-CN"/>
        </w:rPr>
        <w:t>洒落</w:t>
      </w:r>
      <w:r>
        <w:rPr>
          <w:rFonts w:hint="eastAsia"/>
          <w:color w:val="000000" w:themeColor="text1"/>
          <w:highlight w:val="none"/>
        </w:rPr>
        <w:t>和产生的扬尘落入海水中产生悬浮泥沙。</w:t>
      </w:r>
    </w:p>
    <w:p w14:paraId="06464426">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5</w:t>
      </w:r>
      <w:r>
        <w:rPr>
          <w:color w:val="000000" w:themeColor="text1"/>
          <w:highlight w:val="none"/>
        </w:rPr>
        <w:t>）施工期及时处理固体垃圾，有效处理废水，禁止将生</w:t>
      </w:r>
      <w:r>
        <w:rPr>
          <w:rFonts w:hint="eastAsia"/>
          <w:color w:val="000000" w:themeColor="text1"/>
          <w:highlight w:val="none"/>
        </w:rPr>
        <w:t>活</w:t>
      </w:r>
      <w:r>
        <w:rPr>
          <w:color w:val="000000" w:themeColor="text1"/>
          <w:highlight w:val="none"/>
        </w:rPr>
        <w:t>污水和生产废水排入地表水体；施工用料堆放远离地表水体堆放，严禁有毒有害物质进入水体对鱼类等水生生物造成伤害。</w:t>
      </w:r>
    </w:p>
    <w:p w14:paraId="64969FEA">
      <w:pPr>
        <w:pageBreakBefore w:val="0"/>
        <w:wordWrap/>
        <w:topLinePunct w:val="0"/>
        <w:bidi w:val="0"/>
        <w:spacing w:line="360" w:lineRule="auto"/>
        <w:rPr>
          <w:color w:val="000000" w:themeColor="text1"/>
          <w:highlight w:val="none"/>
        </w:rPr>
      </w:pPr>
      <w:r>
        <w:rPr>
          <w:color w:val="000000" w:themeColor="text1"/>
          <w:highlight w:val="none"/>
        </w:rPr>
        <w:t>（</w:t>
      </w:r>
      <w:r>
        <w:rPr>
          <w:rFonts w:hint="eastAsia"/>
          <w:color w:val="000000" w:themeColor="text1"/>
          <w:highlight w:val="none"/>
          <w:lang w:val="en-US" w:eastAsia="zh-CN"/>
        </w:rPr>
        <w:t>6</w:t>
      </w:r>
      <w:r>
        <w:rPr>
          <w:color w:val="000000" w:themeColor="text1"/>
          <w:highlight w:val="none"/>
        </w:rPr>
        <w:t>）</w:t>
      </w:r>
      <w:r>
        <w:rPr>
          <w:rFonts w:hint="eastAsia"/>
          <w:color w:val="000000" w:themeColor="text1"/>
          <w:highlight w:val="none"/>
        </w:rPr>
        <w:t>对涉水工程采取围堰施工，尽量缩短水中作业时间，设置泥浆</w:t>
      </w:r>
      <w:r>
        <w:rPr>
          <w:color w:val="000000" w:themeColor="text1"/>
          <w:highlight w:val="none"/>
        </w:rPr>
        <w:t>分离机</w:t>
      </w:r>
      <w:r>
        <w:rPr>
          <w:rFonts w:hint="eastAsia"/>
          <w:color w:val="000000" w:themeColor="text1"/>
          <w:highlight w:val="none"/>
        </w:rPr>
        <w:t>及沉淀池，严防泥浆水外流进入水体。</w:t>
      </w:r>
    </w:p>
    <w:p w14:paraId="235B8195">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7</w:t>
      </w:r>
      <w:r>
        <w:rPr>
          <w:rFonts w:hint="eastAsia"/>
          <w:color w:val="000000" w:themeColor="text1"/>
          <w:highlight w:val="none"/>
        </w:rPr>
        <w:t>）</w:t>
      </w:r>
      <w:r>
        <w:rPr>
          <w:color w:val="000000" w:themeColor="text1"/>
          <w:highlight w:val="none"/>
        </w:rPr>
        <w:t>施工中注意场地清理工作，避免土料、粉尘受雨水冲刷污染河道；桥墩基础施工中，要做好泥浆</w:t>
      </w:r>
      <w:r>
        <w:rPr>
          <w:rFonts w:hint="eastAsia"/>
          <w:color w:val="000000" w:themeColor="text1"/>
          <w:highlight w:val="none"/>
        </w:rPr>
        <w:t>收集处理处理</w:t>
      </w:r>
      <w:r>
        <w:rPr>
          <w:color w:val="000000" w:themeColor="text1"/>
          <w:highlight w:val="none"/>
        </w:rPr>
        <w:t>，防止悬浮泥沙污染和淤积河道。</w:t>
      </w:r>
    </w:p>
    <w:p w14:paraId="458190B4">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8</w:t>
      </w:r>
      <w:r>
        <w:rPr>
          <w:rFonts w:hint="eastAsia"/>
          <w:color w:val="000000" w:themeColor="text1"/>
          <w:highlight w:val="none"/>
        </w:rPr>
        <w:t>）加强科学管理，严格限制工程施工区域在其占用河道范围内，划定施工作业水域范围，避免任意扩大施工范围，以减小施工作业对鱼类的影响范围。</w:t>
      </w:r>
    </w:p>
    <w:p w14:paraId="0E71A0E9">
      <w:pPr>
        <w:pageBreakBefore w:val="0"/>
        <w:wordWrap/>
        <w:topLinePunct w:val="0"/>
        <w:bidi w:val="0"/>
        <w:spacing w:line="360" w:lineRule="auto"/>
        <w:rPr>
          <w:color w:val="000000" w:themeColor="text1"/>
          <w:highlight w:val="none"/>
        </w:rPr>
      </w:pPr>
      <w:r>
        <w:rPr>
          <w:rFonts w:hint="eastAsia"/>
          <w:color w:val="000000" w:themeColor="text1"/>
          <w:highlight w:val="none"/>
        </w:rPr>
        <w:t>由于鱼类择水而栖迁到其它地方，本公路对鱼类的影响只局限于施工区域，不会改变跨越河流的水量、水质，原有的鱼类资源及其生息环境不会有太大的变化，因此对该流域鱼类种类、数量的影响不大。</w:t>
      </w:r>
    </w:p>
    <w:p w14:paraId="46ED4EB7">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.1.1.4</w:t>
      </w:r>
      <w:r>
        <w:rPr>
          <w:rFonts w:hint="eastAsia"/>
          <w:color w:val="000000" w:themeColor="text1"/>
          <w:highlight w:val="none"/>
          <w:lang w:val="en-US" w:eastAsia="zh-CN"/>
        </w:rPr>
        <w:t>表土剥离及</w:t>
      </w:r>
      <w:r>
        <w:rPr>
          <w:color w:val="000000" w:themeColor="text1"/>
          <w:highlight w:val="none"/>
        </w:rPr>
        <w:t>临时占地恢复措施</w:t>
      </w:r>
    </w:p>
    <w:p w14:paraId="44307217">
      <w:pPr>
        <w:pageBreakBefore w:val="0"/>
        <w:wordWrap/>
        <w:topLinePunct w:val="0"/>
        <w:bidi w:val="0"/>
        <w:spacing w:line="360" w:lineRule="auto"/>
        <w:rPr>
          <w:rFonts w:hint="eastAsia"/>
          <w:color w:val="000000" w:themeColor="text1"/>
          <w:highlight w:val="none"/>
        </w:rPr>
      </w:pPr>
      <w:r>
        <w:rPr>
          <w:color w:val="000000" w:themeColor="text1"/>
          <w:highlight w:val="none"/>
        </w:rPr>
        <w:t>（1）</w:t>
      </w:r>
      <w:r>
        <w:rPr>
          <w:rFonts w:hint="eastAsia"/>
          <w:color w:val="000000" w:themeColor="text1"/>
          <w:highlight w:val="none"/>
        </w:rPr>
        <w:t>表土剥离防治措施</w:t>
      </w:r>
    </w:p>
    <w:p w14:paraId="4B4FB36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施工组织设计中，应明确</w:t>
      </w:r>
      <w:r>
        <w:rPr>
          <w:rFonts w:hint="eastAsia"/>
          <w:color w:val="000000" w:themeColor="text1"/>
          <w:highlight w:val="none"/>
          <w:lang w:val="en-US" w:eastAsia="zh-CN"/>
        </w:rPr>
        <w:t>对</w:t>
      </w:r>
      <w:r>
        <w:rPr>
          <w:rFonts w:hint="eastAsia"/>
          <w:color w:val="000000" w:themeColor="text1"/>
          <w:highlight w:val="none"/>
        </w:rPr>
        <w:t>临时占地表土层(0~30cm)剥离、临时堆放方案及水土流失预防措施设计，确保肥力较高表土层用于工程后期生态护坡及植被恢复</w:t>
      </w:r>
      <w:r>
        <w:rPr>
          <w:rFonts w:hint="eastAsia"/>
          <w:color w:val="000000" w:themeColor="text1"/>
          <w:highlight w:val="none"/>
          <w:lang w:eastAsia="zh-CN"/>
        </w:rPr>
        <w:t>，</w:t>
      </w:r>
      <w:r>
        <w:rPr>
          <w:rFonts w:hint="eastAsia"/>
          <w:color w:val="000000" w:themeColor="text1"/>
          <w:highlight w:val="none"/>
        </w:rPr>
        <w:t>临时堆土场利用路基工程区及施工便道区，同时避让永久基本农田、生态保护红线、森林公园及自然保护区等敏感区，满足《黑龙江省黑土地保护利用条例》、《黑龙江省人民政府办公厅关于建设占用耕地耕作层土壤剥离利用工作的指导意见(试行)》(黑政办规(2021)18号)及《自然资源部关于规范临时用地管理的通知》(自然资规(2021)2号)要求，保护黑土资源，表土单独堆存，耕作层剥离，坚持“谁用地、谁承担，谁剥离、谁受益”原则，施工结束后，用于土地整治、恢复临时工程用地等。</w:t>
      </w:r>
    </w:p>
    <w:p w14:paraId="2D24D711">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建议剥离表土堆场施工前设置相应的防护及排水设施，周边设置围挡措施，表土按照要求层层堆置、逐层碾压，并经常洒水，覆盖篷布，大风天气应暂停堆土场施工。施工后期及时将表土回覆于拟建公路绿化区域，场内进行植被恢复，基本不会再产生影响。本项目剥离表土，均贮存至现有永久占地及临时占地范围内，不新增表土剥离占地。</w:t>
      </w:r>
    </w:p>
    <w:p w14:paraId="41E009DB">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rPr>
        <w:t>综上所述</w:t>
      </w:r>
      <w:r>
        <w:rPr>
          <w:rFonts w:hint="eastAsia"/>
          <w:color w:val="000000" w:themeColor="text1"/>
          <w:highlight w:val="none"/>
          <w:lang w:eastAsia="zh-CN"/>
        </w:rPr>
        <w:t>，</w:t>
      </w:r>
      <w:r>
        <w:rPr>
          <w:rFonts w:hint="eastAsia"/>
          <w:color w:val="000000" w:themeColor="text1"/>
          <w:highlight w:val="none"/>
        </w:rPr>
        <w:t>本项目严格落实黑土地保护利用的相关法律法规、规章制度，做好黑土地保护利用工作。节约、集约使用黑土地，按照有关标准、规范和管理规定剥离表土，做好表土保护，避免导致水淹耕地或者破坏黑土地生态环境。表土剥离、运输、存储过程中，采取水土保持和扬尘防治措施、必要的工程防护和保育措施，防止土壤和环境污染，防止出现水土流失、土壤质量退化和安全隐患</w:t>
      </w:r>
      <w:r>
        <w:rPr>
          <w:rFonts w:hint="eastAsia"/>
          <w:color w:val="000000" w:themeColor="text1"/>
          <w:highlight w:val="none"/>
          <w:lang w:eastAsia="zh-CN"/>
        </w:rPr>
        <w:t>。</w:t>
      </w:r>
    </w:p>
    <w:p w14:paraId="7B46B748">
      <w:pPr>
        <w:pageBreakBefore w:val="0"/>
        <w:wordWrap/>
        <w:topLinePunct w:val="0"/>
        <w:bidi w:val="0"/>
        <w:spacing w:line="360" w:lineRule="auto"/>
        <w:rPr>
          <w:color w:val="000000" w:themeColor="text1"/>
          <w:highlight w:val="none"/>
        </w:rPr>
      </w:pPr>
      <w:r>
        <w:rPr>
          <w:color w:val="000000" w:themeColor="text1"/>
          <w:highlight w:val="none"/>
        </w:rPr>
        <w:t>（2）</w:t>
      </w:r>
      <w:r>
        <w:rPr>
          <w:rFonts w:hint="eastAsia"/>
          <w:color w:val="000000" w:themeColor="text1"/>
          <w:highlight w:val="none"/>
        </w:rPr>
        <w:t>临时工程</w:t>
      </w:r>
      <w:r>
        <w:rPr>
          <w:color w:val="000000" w:themeColor="text1"/>
          <w:highlight w:val="none"/>
        </w:rPr>
        <w:t>的土地恢复措施</w:t>
      </w:r>
    </w:p>
    <w:p w14:paraId="6E40F6D3">
      <w:pPr>
        <w:pageBreakBefore w:val="0"/>
        <w:wordWrap/>
        <w:topLinePunct w:val="0"/>
        <w:bidi w:val="0"/>
        <w:spacing w:line="360" w:lineRule="auto"/>
        <w:rPr>
          <w:color w:val="000000" w:themeColor="text1"/>
          <w:highlight w:val="none"/>
        </w:rPr>
      </w:pPr>
      <w:r>
        <w:rPr>
          <w:color w:val="000000" w:themeColor="text1"/>
          <w:highlight w:val="none"/>
        </w:rPr>
        <w:t>由于地表形态、地形地貌、临时占地类型等恢复条件不同，土地恢复应该采取有针对性地措施。工程结束后拆除工棚等临时性建筑物，平整土地，对因施工而遭到破坏植被给予恢复。</w:t>
      </w:r>
    </w:p>
    <w:p w14:paraId="1241EDF5">
      <w:pPr>
        <w:pageBreakBefore w:val="0"/>
        <w:wordWrap/>
        <w:topLinePunct w:val="0"/>
        <w:bidi w:val="0"/>
        <w:spacing w:line="360" w:lineRule="auto"/>
        <w:rPr>
          <w:color w:val="000000" w:themeColor="text1"/>
          <w:highlight w:val="none"/>
        </w:rPr>
      </w:pPr>
      <w:r>
        <w:rPr>
          <w:color w:val="000000" w:themeColor="text1"/>
          <w:highlight w:val="none"/>
        </w:rPr>
        <w:t>表土剥离厚度30cm，剥离后表土就地临时堆放，四周采用编织袋装土拦挡措施，上部进行苫盖，待工程结束后，表土</w:t>
      </w:r>
      <w:r>
        <w:rPr>
          <w:rFonts w:hint="eastAsia"/>
          <w:color w:val="000000" w:themeColor="text1"/>
          <w:highlight w:val="none"/>
          <w:lang w:val="en-US" w:eastAsia="zh-CN"/>
        </w:rPr>
        <w:t>用于</w:t>
      </w:r>
      <w:r>
        <w:rPr>
          <w:color w:val="000000" w:themeColor="text1"/>
          <w:highlight w:val="none"/>
        </w:rPr>
        <w:t>工程后期生态护坡及植被</w:t>
      </w:r>
      <w:r>
        <w:rPr>
          <w:rFonts w:hint="eastAsia"/>
          <w:color w:val="000000" w:themeColor="text1"/>
          <w:highlight w:val="none"/>
        </w:rPr>
        <w:t>恢复</w:t>
      </w:r>
      <w:r>
        <w:rPr>
          <w:color w:val="000000" w:themeColor="text1"/>
          <w:highlight w:val="none"/>
        </w:rPr>
        <w:t>。</w:t>
      </w:r>
    </w:p>
    <w:p w14:paraId="79A706A1">
      <w:pPr>
        <w:pageBreakBefore w:val="0"/>
        <w:wordWrap/>
        <w:topLinePunct w:val="0"/>
        <w:bidi w:val="0"/>
        <w:spacing w:line="360" w:lineRule="auto"/>
        <w:rPr>
          <w:rFonts w:hint="default" w:eastAsia="宋体"/>
          <w:color w:val="000000" w:themeColor="text1"/>
          <w:highlight w:val="none"/>
          <w:lang w:val="en-US" w:eastAsia="zh-CN"/>
        </w:rPr>
      </w:pPr>
      <w:r>
        <w:rPr>
          <w:rFonts w:hint="eastAsia"/>
          <w:color w:val="000000" w:themeColor="text1"/>
          <w:highlight w:val="none"/>
          <w:lang w:val="en-US" w:eastAsia="zh-CN"/>
        </w:rPr>
        <w:t>1）施工场地</w:t>
      </w:r>
    </w:p>
    <w:p w14:paraId="77858AD3">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color w:val="000000" w:themeColor="text1"/>
          <w:highlight w:val="none"/>
        </w:rPr>
        <w:t>本项目施工场地（</w:t>
      </w:r>
      <w:r>
        <w:rPr>
          <w:rFonts w:hint="eastAsia"/>
          <w:color w:val="000000" w:themeColor="text1"/>
          <w:highlight w:val="none"/>
          <w:lang w:val="en-US" w:eastAsia="zh-CN"/>
        </w:rPr>
        <w:t>综合站场</w:t>
      </w:r>
      <w:r>
        <w:rPr>
          <w:rFonts w:hint="eastAsia"/>
          <w:color w:val="000000" w:themeColor="text1"/>
          <w:highlight w:val="none"/>
        </w:rPr>
        <w:t>、桥梁施工场地</w:t>
      </w:r>
      <w:r>
        <w:rPr>
          <w:rFonts w:hint="eastAsia"/>
          <w:color w:val="000000" w:themeColor="text1"/>
          <w:highlight w:val="none"/>
          <w:lang w:val="en-US" w:eastAsia="zh-CN"/>
        </w:rPr>
        <w:t>等</w:t>
      </w:r>
      <w:r>
        <w:rPr>
          <w:color w:val="000000" w:themeColor="text1"/>
          <w:highlight w:val="none"/>
        </w:rPr>
        <w:t>）由于土壤表面多覆盖水泥和石料等坚硬物体，加之重型车辆来往运输，对土壤破坏最大，可</w:t>
      </w:r>
      <w:bookmarkStart w:id="469" w:name="_Hlk89692722"/>
      <w:r>
        <w:rPr>
          <w:color w:val="000000" w:themeColor="text1"/>
          <w:highlight w:val="none"/>
        </w:rPr>
        <w:t>先清除</w:t>
      </w:r>
      <w:r>
        <w:rPr>
          <w:rFonts w:hint="eastAsia"/>
          <w:color w:val="000000" w:themeColor="text1"/>
          <w:highlight w:val="none"/>
        </w:rPr>
        <w:t>临时建筑</w:t>
      </w:r>
      <w:r>
        <w:rPr>
          <w:rFonts w:hint="eastAsia" w:ascii="Times New Roman" w:hAnsi="Times New Roman" w:eastAsia="宋体" w:cs="Times New Roman"/>
          <w:color w:val="000000" w:themeColor="text1"/>
          <w:highlight w:val="none"/>
          <w:lang w:val="en-US" w:eastAsia="zh-CN"/>
        </w:rPr>
        <w:t>及</w:t>
      </w:r>
      <w:r>
        <w:rPr>
          <w:rFonts w:hint="default" w:ascii="Times New Roman" w:hAnsi="Times New Roman" w:eastAsia="宋体" w:cs="Times New Roman"/>
          <w:color w:val="000000" w:themeColor="text1"/>
          <w:highlight w:val="none"/>
          <w:lang w:val="en-US" w:eastAsia="zh-CN"/>
        </w:rPr>
        <w:t>硬化表层，复填其他疏松土壤</w:t>
      </w:r>
      <w:bookmarkEnd w:id="469"/>
      <w:r>
        <w:rPr>
          <w:rFonts w:hint="default" w:ascii="Times New Roman" w:hAnsi="Times New Roman" w:eastAsia="宋体" w:cs="Times New Roman"/>
          <w:color w:val="000000" w:themeColor="text1"/>
          <w:highlight w:val="none"/>
          <w:lang w:val="en-US" w:eastAsia="zh-CN"/>
        </w:rPr>
        <w:t>，恢复原有土地利用类型。</w:t>
      </w:r>
    </w:p>
    <w:p w14:paraId="56241AD7">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2）弃土场</w:t>
      </w:r>
    </w:p>
    <w:p w14:paraId="7AD90CE8">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eastAsia" w:ascii="Times New Roman" w:hAnsi="Times New Roman" w:eastAsia="宋体" w:cs="Times New Roman"/>
          <w:color w:val="000000" w:themeColor="text1"/>
          <w:highlight w:val="none"/>
          <w:lang w:val="en-US" w:eastAsia="zh-CN"/>
        </w:rPr>
        <w:t>施工前对场地四周采用编织袋装土拦挡措施，弃土结束后对弃土场土质梯形边沟沟底和沟坡进行撒播种草，植草面积1386m</w:t>
      </w:r>
      <w:r>
        <w:rPr>
          <w:rFonts w:hint="eastAsia" w:ascii="Times New Roman" w:hAnsi="Times New Roman" w:eastAsia="宋体" w:cs="Times New Roman"/>
          <w:color w:val="000000" w:themeColor="text1"/>
          <w:highlight w:val="none"/>
          <w:vertAlign w:val="superscript"/>
          <w:lang w:val="en-US" w:eastAsia="zh-CN"/>
        </w:rPr>
        <w:t>2</w:t>
      </w:r>
      <w:r>
        <w:rPr>
          <w:rFonts w:hint="eastAsia" w:ascii="Times New Roman" w:hAnsi="Times New Roman" w:eastAsia="宋体" w:cs="Times New Roman"/>
          <w:color w:val="000000" w:themeColor="text1"/>
          <w:highlight w:val="none"/>
          <w:lang w:val="en-US" w:eastAsia="zh-CN"/>
        </w:rPr>
        <w:t>，</w:t>
      </w:r>
      <w:r>
        <w:rPr>
          <w:rFonts w:hint="default" w:ascii="Times New Roman" w:hAnsi="Times New Roman" w:eastAsia="宋体" w:cs="Times New Roman"/>
          <w:color w:val="000000" w:themeColor="text1"/>
          <w:highlight w:val="none"/>
          <w:lang w:val="en-US" w:eastAsia="zh-CN"/>
        </w:rPr>
        <w:t>撒播密度80kg/hm</w:t>
      </w:r>
      <w:r>
        <w:rPr>
          <w:rFonts w:hint="default" w:ascii="Times New Roman" w:hAnsi="Times New Roman" w:eastAsia="宋体" w:cs="Times New Roman"/>
          <w:color w:val="000000" w:themeColor="text1"/>
          <w:highlight w:val="none"/>
          <w:vertAlign w:val="superscript"/>
          <w:lang w:val="en-US" w:eastAsia="zh-CN"/>
        </w:rPr>
        <w:t>2</w:t>
      </w:r>
      <w:r>
        <w:rPr>
          <w:rFonts w:hint="default" w:ascii="Times New Roman" w:hAnsi="Times New Roman" w:eastAsia="宋体" w:cs="Times New Roman"/>
          <w:color w:val="000000" w:themeColor="text1"/>
          <w:highlight w:val="none"/>
          <w:lang w:val="en-US" w:eastAsia="zh-CN"/>
        </w:rPr>
        <w:t>。</w:t>
      </w:r>
    </w:p>
    <w:p w14:paraId="63FBE86F">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eastAsia" w:ascii="Times New Roman" w:hAnsi="Times New Roman" w:cs="Times New Roman"/>
          <w:color w:val="000000" w:themeColor="text1"/>
          <w:highlight w:val="none"/>
          <w:lang w:val="en-US" w:eastAsia="zh-CN"/>
        </w:rPr>
        <w:t>3）施工便道</w:t>
      </w:r>
    </w:p>
    <w:p w14:paraId="34D984F2">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default" w:ascii="Times New Roman" w:hAnsi="Times New Roman" w:eastAsia="宋体" w:cs="Times New Roman"/>
          <w:color w:val="000000" w:themeColor="text1"/>
          <w:highlight w:val="none"/>
          <w:lang w:val="en-US" w:eastAsia="zh-CN"/>
        </w:rPr>
        <w:t>本项目施工前对施工便道进行表土剥离，表土剥离厚度30cm，剥离后表土临时堆放于对应的取土场内，四周采用编织袋装土拦挡措施，上部进行苦盖，待工程结束后，表土作为绿化用土。</w:t>
      </w:r>
    </w:p>
    <w:p w14:paraId="3B48DDC9">
      <w:pPr>
        <w:pageBreakBefore w:val="0"/>
        <w:wordWrap/>
        <w:topLinePunct w:val="0"/>
        <w:bidi w:val="0"/>
        <w:spacing w:line="360" w:lineRule="auto"/>
        <w:rPr>
          <w:rFonts w:hint="default" w:ascii="Times New Roman" w:hAnsi="Times New Roman" w:eastAsia="宋体" w:cs="Times New Roman"/>
          <w:color w:val="000000" w:themeColor="text1"/>
          <w:highlight w:val="none"/>
          <w:lang w:val="en-US" w:eastAsia="zh-CN"/>
        </w:rPr>
      </w:pPr>
      <w:r>
        <w:rPr>
          <w:rFonts w:hint="default" w:ascii="Times New Roman" w:hAnsi="Times New Roman" w:eastAsia="宋体" w:cs="Times New Roman"/>
          <w:color w:val="000000" w:themeColor="text1"/>
          <w:highlight w:val="none"/>
          <w:lang w:val="en-US" w:eastAsia="zh-CN"/>
        </w:rPr>
        <w:t>本项目施工便道占地类型均为耕地，施工结束后及时土地整治，恢复耕地</w:t>
      </w:r>
      <w:r>
        <w:rPr>
          <w:rFonts w:hint="eastAsia" w:ascii="Times New Roman" w:hAnsi="Times New Roman" w:cs="Times New Roman"/>
          <w:color w:val="000000" w:themeColor="text1"/>
          <w:highlight w:val="none"/>
          <w:lang w:val="en-US" w:eastAsia="zh-CN"/>
        </w:rPr>
        <w:t>0.76</w:t>
      </w:r>
      <w:r>
        <w:rPr>
          <w:rFonts w:hint="default" w:ascii="Times New Roman" w:hAnsi="Times New Roman" w:eastAsia="宋体" w:cs="Times New Roman"/>
          <w:color w:val="000000" w:themeColor="text1"/>
          <w:highlight w:val="none"/>
          <w:lang w:val="en-US" w:eastAsia="zh-CN"/>
        </w:rPr>
        <w:t>hm</w:t>
      </w:r>
      <w:r>
        <w:rPr>
          <w:rFonts w:hint="eastAsia" w:ascii="Times New Roman" w:hAnsi="Times New Roman" w:cs="Times New Roman"/>
          <w:color w:val="000000" w:themeColor="text1"/>
          <w:highlight w:val="none"/>
          <w:vertAlign w:val="superscript"/>
          <w:lang w:val="en-US" w:eastAsia="zh-CN"/>
        </w:rPr>
        <w:t>2</w:t>
      </w:r>
      <w:r>
        <w:rPr>
          <w:rFonts w:hint="eastAsia" w:ascii="Times New Roman" w:hAnsi="Times New Roman" w:cs="Times New Roman"/>
          <w:color w:val="000000" w:themeColor="text1"/>
          <w:highlight w:val="none"/>
          <w:lang w:val="en-US" w:eastAsia="zh-CN"/>
        </w:rPr>
        <w:t>。</w:t>
      </w:r>
    </w:p>
    <w:p w14:paraId="4A59F74C">
      <w:pPr>
        <w:pageBreakBefore w:val="0"/>
        <w:wordWrap/>
        <w:topLinePunct w:val="0"/>
        <w:bidi w:val="0"/>
        <w:spacing w:line="360" w:lineRule="auto"/>
        <w:rPr>
          <w:rFonts w:ascii="Times New Roman" w:hAnsi="Times New Roman" w:cs="Times New Roman"/>
          <w:color w:val="000000" w:themeColor="text1"/>
          <w:highlight w:val="none"/>
        </w:rPr>
      </w:pPr>
      <w:r>
        <w:rPr>
          <w:rFonts w:ascii="Times New Roman" w:hAnsi="Times New Roman" w:cs="Times New Roman"/>
          <w:color w:val="000000" w:themeColor="text1"/>
          <w:highlight w:val="none"/>
        </w:rPr>
        <w:t>采取生态恢复工程措施情况下，临时占地占评价区比例较小，对土地利用结构影响很小。</w:t>
      </w:r>
    </w:p>
    <w:p w14:paraId="702DAAAF">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.1.1.5水土保持措施</w:t>
      </w:r>
    </w:p>
    <w:p w14:paraId="3650F757">
      <w:pPr>
        <w:pageBreakBefore w:val="0"/>
        <w:wordWrap/>
        <w:topLinePunct w:val="0"/>
        <w:bidi w:val="0"/>
        <w:spacing w:line="360" w:lineRule="auto"/>
        <w:rPr>
          <w:color w:val="000000" w:themeColor="text1"/>
          <w:highlight w:val="none"/>
        </w:rPr>
      </w:pPr>
      <w:r>
        <w:rPr>
          <w:color w:val="000000" w:themeColor="text1"/>
          <w:highlight w:val="none"/>
        </w:rPr>
        <w:t>做好公路沿线水土保持工作，减少水土流失，施工中合理安排工期，尽量避免和减少雨季进行路基开挖，减少土石方和废弃方堆放量，严格按照设计和水保措施进行施工，施工中应完善边沟、排截水沟等排水工程，保持排水通畅，施工中若造成堵塞，应及时清除。</w:t>
      </w:r>
    </w:p>
    <w:p w14:paraId="4B6E2487">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.1.1.6景观影响保护措施</w:t>
      </w:r>
    </w:p>
    <w:p w14:paraId="12C1CEF1">
      <w:pPr>
        <w:pageBreakBefore w:val="0"/>
        <w:wordWrap/>
        <w:topLinePunct w:val="0"/>
        <w:bidi w:val="0"/>
        <w:spacing w:line="360" w:lineRule="auto"/>
        <w:rPr>
          <w:color w:val="000000" w:themeColor="text1"/>
          <w:highlight w:val="none"/>
        </w:rPr>
      </w:pPr>
      <w:r>
        <w:rPr>
          <w:color w:val="000000" w:themeColor="text1"/>
          <w:highlight w:val="none"/>
        </w:rPr>
        <w:t>（1）保持施工场地干净、整洁，合理安排各种不同工序布局，保持场地内井然有序。</w:t>
      </w:r>
    </w:p>
    <w:p w14:paraId="500B7891">
      <w:pPr>
        <w:pageBreakBefore w:val="0"/>
        <w:wordWrap/>
        <w:topLinePunct w:val="0"/>
        <w:bidi w:val="0"/>
        <w:spacing w:line="360" w:lineRule="auto"/>
        <w:rPr>
          <w:color w:val="000000" w:themeColor="text1"/>
          <w:highlight w:val="none"/>
        </w:rPr>
      </w:pPr>
      <w:r>
        <w:rPr>
          <w:color w:val="000000" w:themeColor="text1"/>
          <w:highlight w:val="none"/>
        </w:rPr>
        <w:t>（2）施工结束后，对临时占地等进行土地平整，及时复垦和植被恢复，重现原有景观。</w:t>
      </w:r>
    </w:p>
    <w:p w14:paraId="2DE8A93C">
      <w:pPr>
        <w:pageBreakBefore w:val="0"/>
        <w:wordWrap/>
        <w:topLinePunct w:val="0"/>
        <w:bidi w:val="0"/>
        <w:spacing w:line="360" w:lineRule="auto"/>
        <w:rPr>
          <w:color w:val="000000" w:themeColor="text1"/>
          <w:highlight w:val="none"/>
        </w:rPr>
      </w:pPr>
      <w:r>
        <w:rPr>
          <w:color w:val="000000" w:themeColor="text1"/>
          <w:highlight w:val="none"/>
        </w:rPr>
        <w:t>（3）本次评价要求在边坡稳定的前提下，顺应地形，宜采用以植物措施为主的柔性边坡生态防护方案，避免对景观产生不利影响。</w:t>
      </w:r>
    </w:p>
    <w:p w14:paraId="5F87F743">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.1.1.</w:t>
      </w:r>
      <w:r>
        <w:rPr>
          <w:rFonts w:hint="eastAsia"/>
          <w:color w:val="000000" w:themeColor="text1"/>
          <w:highlight w:val="none"/>
          <w:lang w:val="en-US" w:eastAsia="zh-CN"/>
        </w:rPr>
        <w:t>7黑土地</w:t>
      </w:r>
      <w:r>
        <w:rPr>
          <w:color w:val="000000" w:themeColor="text1"/>
          <w:highlight w:val="none"/>
        </w:rPr>
        <w:t>保护措施</w:t>
      </w:r>
    </w:p>
    <w:p w14:paraId="4F842376">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rPr>
        <w:t>施工期生产生活废水均不外排，此外，共设置桥梁</w:t>
      </w:r>
      <w:r>
        <w:rPr>
          <w:rFonts w:hint="eastAsia"/>
          <w:color w:val="000000" w:themeColor="text1"/>
          <w:highlight w:val="none"/>
          <w:lang w:val="en-US" w:eastAsia="zh-CN"/>
        </w:rPr>
        <w:t>3</w:t>
      </w:r>
      <w:r>
        <w:rPr>
          <w:rFonts w:hint="eastAsia"/>
          <w:color w:val="000000" w:themeColor="text1"/>
          <w:highlight w:val="none"/>
        </w:rPr>
        <w:t>座及箱涵</w:t>
      </w:r>
      <w:r>
        <w:rPr>
          <w:rFonts w:hint="eastAsia"/>
          <w:color w:val="000000" w:themeColor="text1"/>
          <w:highlight w:val="none"/>
          <w:lang w:val="en-US" w:eastAsia="zh-CN"/>
        </w:rPr>
        <w:t>12</w:t>
      </w:r>
      <w:r>
        <w:rPr>
          <w:rFonts w:hint="eastAsia"/>
          <w:color w:val="000000" w:themeColor="text1"/>
          <w:highlight w:val="none"/>
        </w:rPr>
        <w:t>道等，可消除因公路建设而产生阻隔影响，保持道路两侧水力联通，避免导致水淹耕地，或者破坏黑土地生态环境</w:t>
      </w:r>
      <w:r>
        <w:rPr>
          <w:rFonts w:hint="eastAsia"/>
          <w:color w:val="000000" w:themeColor="text1"/>
          <w:highlight w:val="none"/>
          <w:lang w:eastAsia="zh-CN"/>
        </w:rPr>
        <w:t>，</w:t>
      </w:r>
      <w:r>
        <w:rPr>
          <w:rFonts w:hint="eastAsia"/>
          <w:color w:val="000000" w:themeColor="text1"/>
          <w:highlight w:val="none"/>
        </w:rPr>
        <w:t>防止出现水土流失、土壤质量退化和安全隐患</w:t>
      </w:r>
      <w:r>
        <w:rPr>
          <w:rFonts w:hint="eastAsia"/>
          <w:color w:val="000000" w:themeColor="text1"/>
          <w:highlight w:val="none"/>
          <w:lang w:eastAsia="zh-CN"/>
        </w:rPr>
        <w:t>；</w:t>
      </w:r>
    </w:p>
    <w:p w14:paraId="06322AE7">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rPr>
        <w:t>建设用地指标满足《公路工程项目建设用地指标》(建标(2011)124号)</w:t>
      </w:r>
      <w:r>
        <w:rPr>
          <w:rFonts w:hint="eastAsia"/>
          <w:color w:val="000000" w:themeColor="text1"/>
          <w:highlight w:val="none"/>
          <w:lang w:eastAsia="zh-CN"/>
        </w:rPr>
        <w:t>，</w:t>
      </w:r>
      <w:r>
        <w:rPr>
          <w:rFonts w:hint="eastAsia"/>
          <w:color w:val="000000" w:themeColor="text1"/>
          <w:highlight w:val="none"/>
        </w:rPr>
        <w:t>尽量避开基本农田，节约、集约使用土地资源</w:t>
      </w:r>
      <w:r>
        <w:rPr>
          <w:rFonts w:hint="eastAsia"/>
          <w:color w:val="000000" w:themeColor="text1"/>
          <w:highlight w:val="none"/>
          <w:lang w:eastAsia="zh-CN"/>
        </w:rPr>
        <w:t>；</w:t>
      </w:r>
    </w:p>
    <w:p w14:paraId="6678487D">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rPr>
        <w:t>保护黑土资源，表土单独堆存，耕作层剥离，坚持“谁用地、谁承担，谁剥离、谁受益”原则，施工结束后，用于土地整治、恢复临时工程用地等。</w:t>
      </w:r>
    </w:p>
    <w:p w14:paraId="2F2BC1C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rFonts w:hint="eastAsia"/>
          <w:color w:val="000000" w:themeColor="text1"/>
          <w:highlight w:val="none"/>
        </w:rPr>
        <w:t>本项目剥离表土，均贮存至现有永久占地及临时占地范围内，不新增表土剥离占地。</w:t>
      </w:r>
    </w:p>
    <w:p w14:paraId="1D66245F">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5</w:t>
      </w:r>
      <w:r>
        <w:rPr>
          <w:rFonts w:hint="eastAsia"/>
          <w:color w:val="000000" w:themeColor="text1"/>
          <w:highlight w:val="none"/>
          <w:lang w:eastAsia="zh-CN"/>
        </w:rPr>
        <w:t>）</w:t>
      </w:r>
      <w:r>
        <w:rPr>
          <w:rFonts w:hint="eastAsia"/>
          <w:color w:val="000000" w:themeColor="text1"/>
          <w:highlight w:val="none"/>
        </w:rPr>
        <w:t>剥离表土堆场施工前设置相应的防护及排水设施(截排水沟)，周边设置围挡措施，表土按照要求层层堆置、逐层碾压，并经常洒水、苦盖，大风天气应暂停堆土场施工。</w:t>
      </w:r>
    </w:p>
    <w:p w14:paraId="53C99BED">
      <w:pPr>
        <w:pStyle w:val="4"/>
        <w:pageBreakBefore w:val="0"/>
        <w:wordWrap/>
        <w:topLinePunct w:val="0"/>
        <w:bidi w:val="0"/>
        <w:spacing w:before="120" w:line="360" w:lineRule="auto"/>
        <w:rPr>
          <w:color w:val="000000" w:themeColor="text1"/>
          <w:highlight w:val="none"/>
        </w:rPr>
      </w:pPr>
      <w:bookmarkStart w:id="470" w:name="_Toc29139"/>
      <w:bookmarkStart w:id="471" w:name="_Toc25215"/>
      <w:r>
        <w:rPr>
          <w:rFonts w:hint="eastAsia"/>
          <w:color w:val="000000" w:themeColor="text1"/>
          <w:highlight w:val="none"/>
        </w:rPr>
        <w:t>7</w:t>
      </w:r>
      <w:r>
        <w:rPr>
          <w:color w:val="000000" w:themeColor="text1"/>
          <w:highlight w:val="none"/>
        </w:rPr>
        <w:t>.1.2运营期</w:t>
      </w:r>
      <w:bookmarkEnd w:id="470"/>
      <w:bookmarkEnd w:id="471"/>
    </w:p>
    <w:p w14:paraId="55522230">
      <w:pPr>
        <w:pageBreakBefore w:val="0"/>
        <w:wordWrap/>
        <w:topLinePunct w:val="0"/>
        <w:bidi w:val="0"/>
        <w:spacing w:line="360" w:lineRule="auto"/>
        <w:rPr>
          <w:color w:val="000000" w:themeColor="text1"/>
          <w:highlight w:val="none"/>
        </w:rPr>
      </w:pPr>
      <w:r>
        <w:rPr>
          <w:color w:val="000000" w:themeColor="text1"/>
          <w:highlight w:val="none"/>
        </w:rPr>
        <w:t>（1）做好工程完工后生态恢复工作，以尽量减少植被破坏及对水土流失、水质和水生生物的不利影响。</w:t>
      </w:r>
    </w:p>
    <w:p w14:paraId="4D4684AB">
      <w:pPr>
        <w:pageBreakBefore w:val="0"/>
        <w:wordWrap/>
        <w:topLinePunct w:val="0"/>
        <w:bidi w:val="0"/>
        <w:spacing w:line="360" w:lineRule="auto"/>
        <w:rPr>
          <w:color w:val="000000" w:themeColor="text1"/>
          <w:highlight w:val="none"/>
        </w:rPr>
      </w:pPr>
      <w:r>
        <w:rPr>
          <w:color w:val="000000" w:themeColor="text1"/>
          <w:highlight w:val="none"/>
        </w:rPr>
        <w:t>（2）路基边坡采用植草等形式进行绿化，公路边沟外侧至路界内宜林范围根据不同路段地貌分别种植常绿或速生乔木，</w:t>
      </w:r>
      <w:r>
        <w:rPr>
          <w:rFonts w:hint="eastAsia"/>
          <w:color w:val="000000" w:themeColor="text1"/>
          <w:highlight w:val="none"/>
        </w:rPr>
        <w:t>选择多种植物组合，</w:t>
      </w:r>
      <w:r>
        <w:rPr>
          <w:color w:val="000000" w:themeColor="text1"/>
          <w:highlight w:val="none"/>
        </w:rPr>
        <w:t>局部考虑植草坪。建议在保留现有物种同时，种植以高大乔木物种为主，乔灌草结合的绿化带。</w:t>
      </w:r>
      <w:r>
        <w:rPr>
          <w:rFonts w:hint="eastAsia"/>
          <w:color w:val="000000" w:themeColor="text1"/>
          <w:highlight w:val="none"/>
        </w:rPr>
        <w:t>穿越</w:t>
      </w:r>
      <w:r>
        <w:rPr>
          <w:rFonts w:hint="eastAsia"/>
          <w:color w:val="000000" w:themeColor="text1"/>
          <w:highlight w:val="none"/>
          <w:lang w:val="en-US" w:eastAsia="zh-CN"/>
        </w:rPr>
        <w:t>林地</w:t>
      </w:r>
      <w:r>
        <w:rPr>
          <w:rFonts w:hint="eastAsia"/>
          <w:color w:val="000000" w:themeColor="text1"/>
          <w:highlight w:val="none"/>
        </w:rPr>
        <w:t>路段路基边坡植被恢复，还应充分考虑小气候条件对植物群落的影响，应选择能适应公路气候环境的植物。这些植物与当地植物种类相比，应具有更强的竞争力。</w:t>
      </w:r>
    </w:p>
    <w:p w14:paraId="76D33180">
      <w:pPr>
        <w:pageBreakBefore w:val="0"/>
        <w:wordWrap/>
        <w:topLinePunct w:val="0"/>
        <w:bidi w:val="0"/>
        <w:spacing w:line="360" w:lineRule="auto"/>
        <w:rPr>
          <w:color w:val="000000" w:themeColor="text1"/>
          <w:highlight w:val="none"/>
        </w:rPr>
      </w:pPr>
      <w:r>
        <w:rPr>
          <w:rFonts w:hint="eastAsia"/>
          <w:color w:val="000000" w:themeColor="text1"/>
          <w:highlight w:val="none"/>
        </w:rPr>
        <w:t>（3）互通立交处进行成片绿化，并尽可能保护立交处原有植被，同时注意不同植物种类、色彩、高矮搭配，建设绿色环保互通。</w:t>
      </w:r>
    </w:p>
    <w:p w14:paraId="3D26556C">
      <w:pPr>
        <w:pageBreakBefore w:val="0"/>
        <w:wordWrap/>
        <w:topLinePunct w:val="0"/>
        <w:bidi w:val="0"/>
        <w:spacing w:line="360" w:lineRule="auto"/>
        <w:rPr>
          <w:color w:val="000000" w:themeColor="text1"/>
          <w:highlight w:val="none"/>
        </w:rPr>
      </w:pPr>
      <w:r>
        <w:rPr>
          <w:rFonts w:hint="eastAsia"/>
          <w:color w:val="000000" w:themeColor="text1"/>
          <w:highlight w:val="none"/>
        </w:rPr>
        <w:t>（4）本项目共设置桥梁</w:t>
      </w:r>
      <w:r>
        <w:rPr>
          <w:rFonts w:hint="eastAsia"/>
          <w:color w:val="000000" w:themeColor="text1"/>
          <w:highlight w:val="none"/>
          <w:lang w:val="en-US" w:eastAsia="zh-CN"/>
        </w:rPr>
        <w:t>3</w:t>
      </w:r>
      <w:r>
        <w:rPr>
          <w:rFonts w:hint="eastAsia"/>
          <w:color w:val="000000" w:themeColor="text1"/>
          <w:highlight w:val="none"/>
        </w:rPr>
        <w:t>座、钢筋混凝土箱涵</w:t>
      </w:r>
      <w:r>
        <w:rPr>
          <w:color w:val="000000" w:themeColor="text1"/>
          <w:highlight w:val="none"/>
        </w:rPr>
        <w:t>12</w:t>
      </w:r>
      <w:r>
        <w:rPr>
          <w:rFonts w:hint="eastAsia"/>
          <w:color w:val="000000" w:themeColor="text1"/>
          <w:highlight w:val="none"/>
        </w:rPr>
        <w:t>道，可充分发挥通行作用，消除因公路建设而产生的分离和阻隔，故公路阻隔对动物影响很小。</w:t>
      </w:r>
    </w:p>
    <w:p w14:paraId="117C5F52">
      <w:pPr>
        <w:pStyle w:val="3"/>
        <w:pageBreakBefore w:val="0"/>
        <w:wordWrap/>
        <w:topLinePunct w:val="0"/>
        <w:bidi w:val="0"/>
        <w:spacing w:line="360" w:lineRule="auto"/>
        <w:rPr>
          <w:color w:val="000000" w:themeColor="text1"/>
          <w:highlight w:val="none"/>
        </w:rPr>
      </w:pPr>
      <w:bookmarkStart w:id="472" w:name="_Toc9072"/>
      <w:bookmarkStart w:id="473" w:name="_Toc451873603"/>
      <w:bookmarkStart w:id="474" w:name="_Toc27153"/>
      <w:bookmarkStart w:id="475" w:name="_Toc10026"/>
      <w:bookmarkStart w:id="476" w:name="_Toc3623"/>
      <w:r>
        <w:rPr>
          <w:rFonts w:hint="eastAsia"/>
          <w:color w:val="000000" w:themeColor="text1"/>
          <w:highlight w:val="none"/>
        </w:rPr>
        <w:t>7</w:t>
      </w:r>
      <w:r>
        <w:rPr>
          <w:color w:val="000000" w:themeColor="text1"/>
          <w:highlight w:val="none"/>
        </w:rPr>
        <w:t>.2声环境</w:t>
      </w:r>
      <w:bookmarkEnd w:id="472"/>
      <w:bookmarkEnd w:id="473"/>
      <w:bookmarkEnd w:id="474"/>
      <w:bookmarkEnd w:id="475"/>
      <w:bookmarkEnd w:id="476"/>
    </w:p>
    <w:p w14:paraId="29F17AC2">
      <w:pPr>
        <w:pStyle w:val="4"/>
        <w:pageBreakBefore w:val="0"/>
        <w:wordWrap/>
        <w:topLinePunct w:val="0"/>
        <w:bidi w:val="0"/>
        <w:spacing w:before="120" w:line="360" w:lineRule="auto"/>
        <w:rPr>
          <w:color w:val="000000" w:themeColor="text1"/>
          <w:highlight w:val="none"/>
        </w:rPr>
      </w:pPr>
      <w:bookmarkStart w:id="477" w:name="_Toc23790"/>
      <w:bookmarkStart w:id="478" w:name="_Toc5282"/>
      <w:r>
        <w:rPr>
          <w:rFonts w:hint="eastAsia"/>
          <w:color w:val="000000" w:themeColor="text1"/>
          <w:highlight w:val="none"/>
        </w:rPr>
        <w:t>7</w:t>
      </w:r>
      <w:r>
        <w:rPr>
          <w:color w:val="000000" w:themeColor="text1"/>
          <w:highlight w:val="none"/>
        </w:rPr>
        <w:t>.2.1施工期</w:t>
      </w:r>
      <w:bookmarkEnd w:id="477"/>
      <w:bookmarkEnd w:id="478"/>
    </w:p>
    <w:p w14:paraId="039B9BEA">
      <w:pPr>
        <w:pageBreakBefore w:val="0"/>
        <w:wordWrap/>
        <w:topLinePunct w:val="0"/>
        <w:bidi w:val="0"/>
        <w:spacing w:line="360" w:lineRule="auto"/>
        <w:rPr>
          <w:color w:val="000000" w:themeColor="text1"/>
          <w:highlight w:val="none"/>
        </w:rPr>
      </w:pPr>
      <w:r>
        <w:rPr>
          <w:color w:val="000000" w:themeColor="text1"/>
          <w:highlight w:val="none"/>
        </w:rPr>
        <w:t>施工期噪声控制可从声源、传播途径、接收者防护以及控制施工时间等方面来考虑。</w:t>
      </w:r>
    </w:p>
    <w:p w14:paraId="172881D0">
      <w:pPr>
        <w:pageBreakBefore w:val="0"/>
        <w:wordWrap/>
        <w:topLinePunct w:val="0"/>
        <w:bidi w:val="0"/>
        <w:spacing w:line="360" w:lineRule="auto"/>
        <w:rPr>
          <w:color w:val="000000" w:themeColor="text1"/>
          <w:highlight w:val="none"/>
        </w:rPr>
      </w:pPr>
      <w:r>
        <w:rPr>
          <w:color w:val="000000" w:themeColor="text1"/>
          <w:highlight w:val="none"/>
        </w:rPr>
        <w:t>（1）</w:t>
      </w:r>
      <w:r>
        <w:rPr>
          <w:rFonts w:hint="eastAsia"/>
          <w:color w:val="000000" w:themeColor="text1"/>
          <w:highlight w:val="none"/>
        </w:rPr>
        <w:t>合理布局</w:t>
      </w:r>
      <w:r>
        <w:rPr>
          <w:color w:val="000000" w:themeColor="text1"/>
          <w:highlight w:val="none"/>
        </w:rPr>
        <w:t>，</w:t>
      </w:r>
      <w:r>
        <w:rPr>
          <w:rFonts w:hint="eastAsia"/>
          <w:color w:val="000000" w:themeColor="text1"/>
          <w:highlight w:val="none"/>
        </w:rPr>
        <w:t>临时工程及大型施工设备远离敏感点设置；合理制定施工计划，避免大量噪声设备同时使用。</w:t>
      </w:r>
    </w:p>
    <w:p w14:paraId="797C2331">
      <w:pPr>
        <w:pageBreakBefore w:val="0"/>
        <w:wordWrap/>
        <w:topLinePunct w:val="0"/>
        <w:bidi w:val="0"/>
        <w:spacing w:line="360" w:lineRule="auto"/>
        <w:rPr>
          <w:color w:val="000000" w:themeColor="text1"/>
          <w:highlight w:val="none"/>
        </w:rPr>
      </w:pPr>
      <w:r>
        <w:rPr>
          <w:color w:val="000000" w:themeColor="text1"/>
          <w:highlight w:val="none"/>
        </w:rPr>
        <w:t>（2）途经敏感点路段</w:t>
      </w:r>
      <w:r>
        <w:rPr>
          <w:rStyle w:val="41"/>
          <w:rFonts w:eastAsia="宋体"/>
          <w:color w:val="000000" w:themeColor="text1"/>
          <w:sz w:val="24"/>
          <w:szCs w:val="24"/>
          <w:highlight w:val="none"/>
        </w:rPr>
        <w:t>施工</w:t>
      </w:r>
      <w:r>
        <w:rPr>
          <w:color w:val="000000" w:themeColor="text1"/>
          <w:highlight w:val="none"/>
        </w:rPr>
        <w:t>安装</w:t>
      </w:r>
      <w:r>
        <w:rPr>
          <w:rFonts w:hint="eastAsia"/>
          <w:color w:val="000000" w:themeColor="text1"/>
          <w:highlight w:val="none"/>
        </w:rPr>
        <w:t>高度3m高</w:t>
      </w:r>
      <w:r>
        <w:rPr>
          <w:color w:val="000000" w:themeColor="text1"/>
          <w:highlight w:val="none"/>
        </w:rPr>
        <w:t>移动式隔声</w:t>
      </w:r>
      <w:r>
        <w:rPr>
          <w:rFonts w:hint="eastAsia"/>
          <w:color w:val="000000" w:themeColor="text1"/>
          <w:highlight w:val="none"/>
        </w:rPr>
        <w:t>、</w:t>
      </w:r>
      <w:r>
        <w:rPr>
          <w:color w:val="000000" w:themeColor="text1"/>
          <w:highlight w:val="none"/>
        </w:rPr>
        <w:t>隔尘挡板</w:t>
      </w:r>
      <w:r>
        <w:rPr>
          <w:rFonts w:hint="eastAsia"/>
          <w:color w:val="000000" w:themeColor="text1"/>
          <w:highlight w:val="none"/>
        </w:rPr>
        <w:t>，长度覆盖整个敏感点，并且向两侧的各延伸50m</w:t>
      </w:r>
      <w:r>
        <w:rPr>
          <w:color w:val="000000" w:themeColor="text1"/>
          <w:highlight w:val="none"/>
        </w:rPr>
        <w:t>。</w:t>
      </w:r>
    </w:p>
    <w:p w14:paraId="7E9D7724">
      <w:pPr>
        <w:pageBreakBefore w:val="0"/>
        <w:wordWrap/>
        <w:topLinePunct w:val="0"/>
        <w:bidi w:val="0"/>
        <w:spacing w:line="360" w:lineRule="auto"/>
        <w:rPr>
          <w:color w:val="000000" w:themeColor="text1"/>
          <w:highlight w:val="none"/>
        </w:rPr>
      </w:pPr>
      <w:r>
        <w:rPr>
          <w:color w:val="000000" w:themeColor="text1"/>
          <w:highlight w:val="none"/>
        </w:rPr>
        <w:t>（3）禁止夜间（22：00-6：00）施工作业。</w:t>
      </w:r>
    </w:p>
    <w:p w14:paraId="1D91DFED">
      <w:pPr>
        <w:pageBreakBefore w:val="0"/>
        <w:wordWrap/>
        <w:topLinePunct w:val="0"/>
        <w:bidi w:val="0"/>
        <w:spacing w:line="360" w:lineRule="auto"/>
        <w:rPr>
          <w:color w:val="000000" w:themeColor="text1"/>
          <w:highlight w:val="none"/>
        </w:rPr>
      </w:pPr>
      <w:r>
        <w:rPr>
          <w:color w:val="000000" w:themeColor="text1"/>
          <w:highlight w:val="none"/>
        </w:rPr>
        <w:t>（4）</w:t>
      </w:r>
      <w:r>
        <w:rPr>
          <w:rFonts w:hint="eastAsia"/>
          <w:color w:val="000000" w:themeColor="text1"/>
          <w:highlight w:val="none"/>
        </w:rPr>
        <w:t>采用低噪声设备，高噪声施工机械采取消声减震措施。施工机械和运输车辆进行定期维护和保养，保证机械、车辆在良好运行状态。</w:t>
      </w:r>
    </w:p>
    <w:p w14:paraId="2D86E90C">
      <w:pPr>
        <w:pageBreakBefore w:val="0"/>
        <w:wordWrap/>
        <w:topLinePunct w:val="0"/>
        <w:bidi w:val="0"/>
        <w:spacing w:line="360" w:lineRule="auto"/>
        <w:rPr>
          <w:color w:val="000000" w:themeColor="text1"/>
          <w:highlight w:val="none"/>
        </w:rPr>
      </w:pPr>
      <w:r>
        <w:rPr>
          <w:color w:val="000000" w:themeColor="text1"/>
          <w:highlight w:val="none"/>
        </w:rPr>
        <w:t>（5）</w:t>
      </w:r>
      <w:r>
        <w:rPr>
          <w:rFonts w:hint="eastAsia"/>
          <w:color w:val="000000" w:themeColor="text1"/>
          <w:highlight w:val="none"/>
        </w:rPr>
        <w:t>物料运输车辆行驶路线尽可能避开村庄等声环境保护目标。不可避免经过环境敏感点运输时，</w:t>
      </w:r>
      <w:r>
        <w:rPr>
          <w:color w:val="000000" w:themeColor="text1"/>
          <w:highlight w:val="none"/>
        </w:rPr>
        <w:t>要求物料运输</w:t>
      </w:r>
      <w:r>
        <w:rPr>
          <w:rFonts w:hint="eastAsia"/>
          <w:color w:val="000000" w:themeColor="text1"/>
          <w:highlight w:val="none"/>
        </w:rPr>
        <w:t>车</w:t>
      </w:r>
      <w:r>
        <w:rPr>
          <w:color w:val="000000" w:themeColor="text1"/>
          <w:highlight w:val="none"/>
        </w:rPr>
        <w:t>减速慢行、禁止鸣笛</w:t>
      </w:r>
      <w:r>
        <w:rPr>
          <w:rFonts w:hint="eastAsia"/>
          <w:color w:val="000000" w:themeColor="text1"/>
          <w:highlight w:val="none"/>
        </w:rPr>
        <w:t>、禁止</w:t>
      </w:r>
      <w:r>
        <w:rPr>
          <w:color w:val="000000" w:themeColor="text1"/>
          <w:highlight w:val="none"/>
        </w:rPr>
        <w:t>夜间运输，</w:t>
      </w:r>
      <w:r>
        <w:rPr>
          <w:rFonts w:hint="eastAsia"/>
          <w:color w:val="000000" w:themeColor="text1"/>
          <w:highlight w:val="none"/>
        </w:rPr>
        <w:t>最大限度</w:t>
      </w:r>
      <w:r>
        <w:rPr>
          <w:color w:val="000000" w:themeColor="text1"/>
          <w:highlight w:val="none"/>
        </w:rPr>
        <w:t>降低</w:t>
      </w:r>
      <w:r>
        <w:rPr>
          <w:rFonts w:hint="eastAsia"/>
          <w:color w:val="000000" w:themeColor="text1"/>
          <w:highlight w:val="none"/>
        </w:rPr>
        <w:t>运输噪声</w:t>
      </w:r>
      <w:r>
        <w:rPr>
          <w:color w:val="000000" w:themeColor="text1"/>
          <w:highlight w:val="none"/>
        </w:rPr>
        <w:t>对沿线环境敏感点的影响。</w:t>
      </w:r>
    </w:p>
    <w:p w14:paraId="21D2F8BB">
      <w:pPr>
        <w:pageBreakBefore w:val="0"/>
        <w:wordWrap/>
        <w:topLinePunct w:val="0"/>
        <w:bidi w:val="0"/>
        <w:spacing w:line="360" w:lineRule="auto"/>
        <w:rPr>
          <w:rFonts w:hint="eastAsia"/>
          <w:color w:val="000000" w:themeColor="text1"/>
          <w:highlight w:val="none"/>
          <w:lang w:val="en-US" w:eastAsia="zh-CN"/>
        </w:rPr>
      </w:pPr>
      <w:r>
        <w:rPr>
          <w:color w:val="000000" w:themeColor="text1"/>
          <w:highlight w:val="none"/>
        </w:rPr>
        <w:t>采取上述措施，施工厂界噪声排放满足《建筑施工场界环境噪声排放标准》（GB12523-2011），即昼间70dB</w:t>
      </w:r>
      <w:r>
        <w:rPr>
          <w:rFonts w:hint="eastAsia"/>
          <w:color w:val="000000" w:themeColor="text1"/>
          <w:highlight w:val="none"/>
          <w:lang w:eastAsia="zh-CN"/>
        </w:rPr>
        <w:t>（</w:t>
      </w:r>
      <w:r>
        <w:rPr>
          <w:color w:val="000000" w:themeColor="text1"/>
          <w:highlight w:val="none"/>
        </w:rPr>
        <w:t>A</w:t>
      </w:r>
      <w:r>
        <w:rPr>
          <w:rFonts w:hint="eastAsia"/>
          <w:color w:val="000000" w:themeColor="text1"/>
          <w:highlight w:val="none"/>
          <w:lang w:eastAsia="zh-CN"/>
        </w:rPr>
        <w:t>）</w:t>
      </w:r>
      <w:r>
        <w:rPr>
          <w:color w:val="000000" w:themeColor="text1"/>
          <w:highlight w:val="none"/>
        </w:rPr>
        <w:t>、夜间55dB</w:t>
      </w:r>
      <w:r>
        <w:rPr>
          <w:rFonts w:hint="eastAsia"/>
          <w:color w:val="000000" w:themeColor="text1"/>
          <w:highlight w:val="none"/>
          <w:lang w:eastAsia="zh-CN"/>
        </w:rPr>
        <w:t>（</w:t>
      </w:r>
      <w:r>
        <w:rPr>
          <w:color w:val="000000" w:themeColor="text1"/>
          <w:highlight w:val="none"/>
        </w:rPr>
        <w:t>A</w:t>
      </w:r>
      <w:r>
        <w:rPr>
          <w:rFonts w:hint="eastAsia"/>
          <w:color w:val="000000" w:themeColor="text1"/>
          <w:highlight w:val="none"/>
          <w:lang w:eastAsia="zh-CN"/>
        </w:rPr>
        <w:t>）</w:t>
      </w:r>
      <w:r>
        <w:rPr>
          <w:color w:val="000000" w:themeColor="text1"/>
          <w:highlight w:val="none"/>
        </w:rPr>
        <w:t>；沿线环境敏感目标在公路施工期时，其声环境可达到《声环境质量标准》（GB3096－2008）中</w:t>
      </w:r>
      <w:r>
        <w:rPr>
          <w:rFonts w:hint="eastAsia"/>
          <w:color w:val="000000" w:themeColor="text1"/>
          <w:highlight w:val="none"/>
          <w:lang w:val="en-US" w:eastAsia="zh-CN"/>
        </w:rPr>
        <w:t>2</w:t>
      </w:r>
      <w:r>
        <w:rPr>
          <w:color w:val="000000" w:themeColor="text1"/>
          <w:highlight w:val="none"/>
        </w:rPr>
        <w:t>类标准。</w:t>
      </w:r>
    </w:p>
    <w:p w14:paraId="61E70014">
      <w:pPr>
        <w:pageBreakBefore w:val="0"/>
        <w:wordWrap/>
        <w:topLinePunct w:val="0"/>
        <w:bidi w:val="0"/>
        <w:spacing w:line="360" w:lineRule="auto"/>
        <w:rPr>
          <w:color w:val="000000" w:themeColor="text1"/>
          <w:highlight w:val="none"/>
        </w:rPr>
      </w:pPr>
      <w:r>
        <w:rPr>
          <w:color w:val="000000" w:themeColor="text1"/>
          <w:highlight w:val="none"/>
        </w:rPr>
        <w:t>本项目施工噪声对沿线环境保护目标的影响属于短期的、暂时的，施工结束后就会自然消失。</w:t>
      </w:r>
    </w:p>
    <w:p w14:paraId="05595D2B">
      <w:pPr>
        <w:pStyle w:val="4"/>
        <w:pageBreakBefore w:val="0"/>
        <w:wordWrap/>
        <w:topLinePunct w:val="0"/>
        <w:bidi w:val="0"/>
        <w:spacing w:before="120" w:line="360" w:lineRule="auto"/>
        <w:ind w:left="851" w:hanging="851"/>
        <w:rPr>
          <w:color w:val="000000" w:themeColor="text1"/>
          <w:highlight w:val="none"/>
        </w:rPr>
      </w:pPr>
      <w:bookmarkStart w:id="479" w:name="_Toc21239"/>
      <w:bookmarkStart w:id="480" w:name="_Toc1239"/>
      <w:r>
        <w:rPr>
          <w:rFonts w:hint="eastAsia"/>
          <w:color w:val="000000" w:themeColor="text1"/>
          <w:highlight w:val="none"/>
        </w:rPr>
        <w:t>7</w:t>
      </w:r>
      <w:r>
        <w:rPr>
          <w:color w:val="000000" w:themeColor="text1"/>
          <w:highlight w:val="none"/>
        </w:rPr>
        <w:t>.2.2运营期</w:t>
      </w:r>
      <w:bookmarkEnd w:id="479"/>
      <w:bookmarkEnd w:id="480"/>
    </w:p>
    <w:p w14:paraId="5E0A2BF7">
      <w:pPr>
        <w:pageBreakBefore w:val="0"/>
        <w:wordWrap/>
        <w:topLinePunct w:val="0"/>
        <w:bidi w:val="0"/>
        <w:spacing w:line="360" w:lineRule="auto"/>
        <w:rPr>
          <w:rFonts w:hint="default" w:ascii="Times New Roman" w:hAnsi="Times New Roman" w:cs="宋体"/>
          <w:color w:val="000000" w:themeColor="text1"/>
          <w:highlight w:val="none"/>
          <w:lang w:val="en-US" w:eastAsia="zh-CN"/>
        </w:rPr>
      </w:pPr>
      <w:r>
        <w:rPr>
          <w:rFonts w:hint="eastAsia"/>
          <w:color w:val="000000" w:themeColor="text1"/>
          <w:highlight w:val="none"/>
          <w:lang w:val="en-US" w:eastAsia="zh-CN"/>
        </w:rPr>
        <w:t>根据5.2.2节的</w:t>
      </w:r>
      <w:r>
        <w:rPr>
          <w:color w:val="000000" w:themeColor="text1"/>
          <w:highlight w:val="none"/>
        </w:rPr>
        <w:t>预测结果可知，</w:t>
      </w:r>
      <w:r>
        <w:rPr>
          <w:rFonts w:hint="eastAsia" w:ascii="Times New Roman" w:hAnsi="Times New Roman" w:cs="宋体"/>
          <w:color w:val="000000" w:themeColor="text1"/>
          <w:highlight w:val="none"/>
          <w:lang w:val="en-US" w:eastAsia="zh-CN"/>
        </w:rPr>
        <w:t>在仅考虑距离衰减情况下，</w:t>
      </w:r>
      <w:r>
        <w:rPr>
          <w:rFonts w:hint="default"/>
          <w:color w:val="000000" w:themeColor="text1"/>
          <w:highlight w:val="none"/>
          <w:lang w:val="en-US" w:eastAsia="zh-CN"/>
        </w:rPr>
        <w:t>4a</w:t>
      </w:r>
      <w:r>
        <w:rPr>
          <w:rFonts w:hint="eastAsia"/>
          <w:color w:val="000000" w:themeColor="text1"/>
          <w:highlight w:val="none"/>
          <w:lang w:val="en-US" w:eastAsia="zh-CN"/>
        </w:rPr>
        <w:t>类声环境功能区近期昼间、夜间功能区均达标；中期昼间、夜间功能区均达标；远期昼间功能区达标、远期夜间超标，夜间达标距离道路边界线30m；2类声环境功能区近期昼间、夜间在功能区内均达标；中期昼间、夜间在功能区内均达标；远期昼间、夜间在功能区内均达标。</w:t>
      </w:r>
    </w:p>
    <w:p w14:paraId="2620882F">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rPr>
        <w:t>道路建成后，</w:t>
      </w:r>
      <w:r>
        <w:rPr>
          <w:rFonts w:hint="eastAsia"/>
          <w:color w:val="000000" w:themeColor="text1"/>
          <w:highlight w:val="none"/>
          <w:lang w:val="en-US" w:eastAsia="zh-CN"/>
        </w:rPr>
        <w:t>机场</w:t>
      </w:r>
      <w:r>
        <w:rPr>
          <w:rFonts w:hint="eastAsia"/>
          <w:color w:val="000000" w:themeColor="text1"/>
          <w:highlight w:val="none"/>
        </w:rPr>
        <w:t>管理部门应</w:t>
      </w:r>
      <w:r>
        <w:rPr>
          <w:color w:val="000000" w:themeColor="text1"/>
          <w:highlight w:val="none"/>
        </w:rPr>
        <w:t>加强道路交通管理，限制超载的车辆进入，可以有效降低交通噪声污染源强。在敏感时段通过采取限鸣（含禁鸣）、限速等措施，合理控制道路交通参数（车流量、车速、车型等），降低交通噪声</w:t>
      </w:r>
      <w:r>
        <w:rPr>
          <w:rFonts w:hint="eastAsia"/>
          <w:color w:val="000000" w:themeColor="text1"/>
          <w:highlight w:val="none"/>
        </w:rPr>
        <w:t>影响。</w:t>
      </w:r>
    </w:p>
    <w:p w14:paraId="309F5682">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color w:val="000000" w:themeColor="text1"/>
          <w:highlight w:val="none"/>
        </w:rPr>
        <w:t>加强道路通车后的道路维护工作，</w:t>
      </w:r>
      <w:r>
        <w:rPr>
          <w:rFonts w:hint="eastAsia"/>
          <w:color w:val="000000" w:themeColor="text1"/>
          <w:highlight w:val="none"/>
        </w:rPr>
        <w:t>对于破损路面及时维修，保证路面</w:t>
      </w:r>
      <w:r>
        <w:rPr>
          <w:color w:val="000000" w:themeColor="text1"/>
          <w:highlight w:val="none"/>
        </w:rPr>
        <w:t>平整度，避免因路况不佳造成车辆颠簸而引起的交通噪声。</w:t>
      </w:r>
    </w:p>
    <w:p w14:paraId="6928D925">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3</w:t>
      </w:r>
      <w:r>
        <w:rPr>
          <w:rFonts w:hint="eastAsia"/>
          <w:color w:val="000000" w:themeColor="text1"/>
          <w:highlight w:val="none"/>
          <w:lang w:eastAsia="zh-CN"/>
        </w:rPr>
        <w:t>）</w:t>
      </w:r>
      <w:r>
        <w:rPr>
          <w:rFonts w:hint="eastAsia"/>
          <w:color w:val="000000" w:themeColor="text1"/>
          <w:highlight w:val="none"/>
        </w:rPr>
        <w:t>在全线设测速和监控设备，避免车辆超速行驶而产生的较强交通噪声。</w:t>
      </w:r>
    </w:p>
    <w:p w14:paraId="5E0AFE88">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4</w:t>
      </w:r>
      <w:r>
        <w:rPr>
          <w:rFonts w:hint="eastAsia"/>
          <w:color w:val="000000" w:themeColor="text1"/>
          <w:highlight w:val="none"/>
          <w:lang w:eastAsia="zh-CN"/>
        </w:rPr>
        <w:t>）</w:t>
      </w:r>
      <w:r>
        <w:rPr>
          <w:rFonts w:hint="eastAsia"/>
          <w:color w:val="000000" w:themeColor="text1"/>
          <w:highlight w:val="none"/>
        </w:rPr>
        <w:t>预留环保投资，在项目验收时进行跟踪监测，核对现有措施的有效性。</w:t>
      </w:r>
    </w:p>
    <w:p w14:paraId="7E32061E">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5</w:t>
      </w:r>
      <w:r>
        <w:rPr>
          <w:rFonts w:hint="eastAsia"/>
          <w:color w:val="000000" w:themeColor="text1"/>
          <w:highlight w:val="none"/>
        </w:rPr>
        <w:t>）对沿线村镇规划建设的控制要求</w:t>
      </w:r>
    </w:p>
    <w:p w14:paraId="59CE7644">
      <w:pPr>
        <w:pStyle w:val="42"/>
        <w:pageBreakBefore w:val="0"/>
        <w:wordWrap/>
        <w:topLinePunct w:val="0"/>
        <w:bidi w:val="0"/>
        <w:spacing w:line="360" w:lineRule="auto"/>
        <w:ind w:firstLine="480" w:firstLineChars="200"/>
        <w:jc w:val="both"/>
        <w:rPr>
          <w:rFonts w:ascii="Times New Roman" w:eastAsia="宋体"/>
          <w:color w:val="000000" w:themeColor="text1"/>
          <w:highlight w:val="none"/>
        </w:rPr>
      </w:pPr>
      <w:r>
        <w:rPr>
          <w:rFonts w:ascii="Times New Roman" w:eastAsia="宋体"/>
          <w:color w:val="000000" w:themeColor="text1"/>
          <w:kern w:val="2"/>
          <w:highlight w:val="none"/>
        </w:rPr>
        <w:t>根据《地面交通噪声污染防治技术政策》中相关要求，合理布局道路两侧规划建筑，道路与敏感建筑物之间加强绿化，同时建议沿线在控制距离内不宜规划建设医院、学校等对声环境质量要求较高的环境保护敏感建筑，或对规划敏感建筑物隔声设计、采用隔声门窗等措施，避免交通噪声对规划敏感建筑物的影响，确保室内声</w:t>
      </w:r>
      <w:r>
        <w:rPr>
          <w:rFonts w:ascii="Times New Roman" w:hAnsi="宋体" w:eastAsia="宋体"/>
          <w:color w:val="000000" w:themeColor="text1"/>
          <w:kern w:val="2"/>
          <w:highlight w:val="none"/>
        </w:rPr>
        <w:t>环境符合</w:t>
      </w:r>
      <w:r>
        <w:rPr>
          <w:rFonts w:ascii="Times New Roman" w:hAnsi="宋体" w:eastAsia="宋体"/>
          <w:color w:val="000000" w:themeColor="text1"/>
          <w:highlight w:val="none"/>
        </w:rPr>
        <w:t>《建筑环境通用规范》（</w:t>
      </w:r>
      <w:r>
        <w:rPr>
          <w:rFonts w:ascii="Times New Roman" w:eastAsia="宋体"/>
          <w:color w:val="000000" w:themeColor="text1"/>
          <w:highlight w:val="none"/>
        </w:rPr>
        <w:t>GB55016-2021</w:t>
      </w:r>
      <w:r>
        <w:rPr>
          <w:rFonts w:ascii="Times New Roman" w:hAnsi="宋体" w:eastAsia="宋体"/>
          <w:color w:val="000000" w:themeColor="text1"/>
          <w:highlight w:val="none"/>
        </w:rPr>
        <w:t>）</w:t>
      </w:r>
      <w:r>
        <w:rPr>
          <w:rFonts w:ascii="Times New Roman" w:hAnsi="宋体" w:eastAsia="宋体"/>
          <w:color w:val="000000" w:themeColor="text1"/>
          <w:kern w:val="2"/>
          <w:highlight w:val="none"/>
        </w:rPr>
        <w:t>噪声限值要求。并在城镇规划区范围建设噪声敏感建筑物时，在不考虑设置声屏障等防治措施前提下得出的中期噪声预测达标距离（</w:t>
      </w:r>
      <w:r>
        <w:rPr>
          <w:rFonts w:ascii="Times New Roman" w:eastAsia="宋体"/>
          <w:color w:val="000000" w:themeColor="text1"/>
          <w:kern w:val="2"/>
          <w:highlight w:val="none"/>
        </w:rPr>
        <w:t>4a</w:t>
      </w:r>
      <w:r>
        <w:rPr>
          <w:rFonts w:ascii="Times New Roman" w:hAnsi="宋体" w:eastAsia="宋体"/>
          <w:color w:val="000000" w:themeColor="text1"/>
          <w:kern w:val="2"/>
          <w:highlight w:val="none"/>
        </w:rPr>
        <w:t>类标准）作为城镇规划区范围内建设噪声敏感建筑物退红线距离。</w:t>
      </w:r>
    </w:p>
    <w:p w14:paraId="5CABAE35">
      <w:pPr>
        <w:pStyle w:val="3"/>
        <w:pageBreakBefore w:val="0"/>
        <w:wordWrap/>
        <w:topLinePunct w:val="0"/>
        <w:bidi w:val="0"/>
        <w:spacing w:line="360" w:lineRule="auto"/>
        <w:rPr>
          <w:color w:val="000000" w:themeColor="text1"/>
          <w:highlight w:val="none"/>
        </w:rPr>
      </w:pPr>
      <w:bookmarkStart w:id="481" w:name="_Toc10878"/>
      <w:bookmarkStart w:id="482" w:name="_Toc4301"/>
      <w:bookmarkStart w:id="483" w:name="_Toc3347"/>
      <w:bookmarkStart w:id="484" w:name="_Toc31040"/>
      <w:bookmarkStart w:id="485" w:name="_Toc451873604"/>
      <w:r>
        <w:rPr>
          <w:rFonts w:hint="eastAsia"/>
          <w:color w:val="000000" w:themeColor="text1"/>
          <w:highlight w:val="none"/>
        </w:rPr>
        <w:t>7</w:t>
      </w:r>
      <w:r>
        <w:rPr>
          <w:color w:val="000000" w:themeColor="text1"/>
          <w:highlight w:val="none"/>
        </w:rPr>
        <w:t>.3环境空气</w:t>
      </w:r>
      <w:bookmarkEnd w:id="481"/>
      <w:bookmarkEnd w:id="482"/>
      <w:bookmarkEnd w:id="483"/>
      <w:bookmarkEnd w:id="484"/>
      <w:bookmarkEnd w:id="485"/>
    </w:p>
    <w:p w14:paraId="67F20967">
      <w:pPr>
        <w:pStyle w:val="4"/>
        <w:pageBreakBefore w:val="0"/>
        <w:wordWrap/>
        <w:topLinePunct w:val="0"/>
        <w:bidi w:val="0"/>
        <w:spacing w:before="120" w:line="360" w:lineRule="auto"/>
        <w:rPr>
          <w:color w:val="000000" w:themeColor="text1"/>
          <w:highlight w:val="none"/>
        </w:rPr>
      </w:pPr>
      <w:bookmarkStart w:id="486" w:name="_Toc8029"/>
      <w:bookmarkStart w:id="487" w:name="_Toc9095"/>
      <w:r>
        <w:rPr>
          <w:rFonts w:hint="eastAsia"/>
          <w:color w:val="000000" w:themeColor="text1"/>
          <w:highlight w:val="none"/>
        </w:rPr>
        <w:t>7</w:t>
      </w:r>
      <w:r>
        <w:rPr>
          <w:color w:val="000000" w:themeColor="text1"/>
          <w:highlight w:val="none"/>
        </w:rPr>
        <w:t>.3.1施工期</w:t>
      </w:r>
      <w:bookmarkEnd w:id="486"/>
      <w:bookmarkEnd w:id="487"/>
    </w:p>
    <w:p w14:paraId="220AF53D">
      <w:pPr>
        <w:pageBreakBefore w:val="0"/>
        <w:numPr>
          <w:ilvl w:val="0"/>
          <w:numId w:val="0"/>
        </w:numPr>
        <w:wordWrap/>
        <w:topLinePunct w:val="0"/>
        <w:bidi w:val="0"/>
        <w:spacing w:line="360" w:lineRule="auto"/>
        <w:ind w:firstLine="480" w:firstLineChars="200"/>
        <w:rPr>
          <w:color w:val="000000" w:themeColor="text1"/>
          <w:sz w:val="24"/>
          <w:szCs w:val="24"/>
          <w:highlight w:val="none"/>
        </w:rPr>
      </w:pPr>
      <w:r>
        <w:rPr>
          <w:rFonts w:ascii="Times New Roman" w:hAnsi="Times New Roman" w:eastAsia="宋体" w:cs="Times New Roman"/>
          <w:color w:val="000000" w:themeColor="text1"/>
          <w:kern w:val="2"/>
          <w:sz w:val="24"/>
          <w:szCs w:val="24"/>
          <w:highlight w:val="none"/>
          <w:lang w:val="en-US" w:eastAsia="zh-CN" w:bidi="ar-SA"/>
        </w:rPr>
        <w:t>（1）</w:t>
      </w:r>
      <w:r>
        <w:rPr>
          <w:color w:val="000000" w:themeColor="text1"/>
          <w:sz w:val="24"/>
          <w:szCs w:val="24"/>
          <w:highlight w:val="none"/>
        </w:rPr>
        <w:t>本工程设置</w:t>
      </w:r>
      <w:r>
        <w:rPr>
          <w:rFonts w:hint="eastAsia"/>
          <w:color w:val="000000" w:themeColor="text1"/>
          <w:sz w:val="24"/>
          <w:szCs w:val="24"/>
          <w:highlight w:val="none"/>
          <w:lang w:val="en-US" w:eastAsia="zh-CN"/>
        </w:rPr>
        <w:t>综合站场1</w:t>
      </w:r>
      <w:r>
        <w:rPr>
          <w:color w:val="000000" w:themeColor="text1"/>
          <w:sz w:val="24"/>
          <w:szCs w:val="24"/>
          <w:highlight w:val="none"/>
        </w:rPr>
        <w:t>处，</w:t>
      </w:r>
      <w:r>
        <w:rPr>
          <w:rFonts w:hint="eastAsia"/>
          <w:color w:val="000000" w:themeColor="text1"/>
          <w:sz w:val="24"/>
          <w:szCs w:val="24"/>
          <w:highlight w:val="none"/>
        </w:rPr>
        <w:t>基层</w:t>
      </w:r>
      <w:r>
        <w:rPr>
          <w:color w:val="000000" w:themeColor="text1"/>
          <w:sz w:val="24"/>
          <w:szCs w:val="24"/>
          <w:highlight w:val="none"/>
        </w:rPr>
        <w:t>拌合站建立时</w:t>
      </w:r>
      <w:r>
        <w:rPr>
          <w:rFonts w:hint="eastAsia"/>
          <w:color w:val="000000" w:themeColor="text1"/>
          <w:sz w:val="24"/>
          <w:szCs w:val="24"/>
          <w:highlight w:val="none"/>
        </w:rPr>
        <w:t>全封闭拌合及骨料输送，出料口设置除尘器除尘，</w:t>
      </w:r>
      <w:r>
        <w:rPr>
          <w:color w:val="000000" w:themeColor="text1"/>
          <w:sz w:val="24"/>
          <w:szCs w:val="24"/>
          <w:highlight w:val="none"/>
        </w:rPr>
        <w:t>周边200m</w:t>
      </w:r>
      <w:r>
        <w:rPr>
          <w:rFonts w:hint="eastAsia"/>
          <w:color w:val="000000" w:themeColor="text1"/>
          <w:sz w:val="24"/>
          <w:szCs w:val="24"/>
          <w:highlight w:val="none"/>
        </w:rPr>
        <w:t>内</w:t>
      </w:r>
      <w:r>
        <w:rPr>
          <w:color w:val="000000" w:themeColor="text1"/>
          <w:sz w:val="24"/>
          <w:szCs w:val="24"/>
          <w:highlight w:val="none"/>
        </w:rPr>
        <w:t>无居民分布</w:t>
      </w:r>
      <w:r>
        <w:rPr>
          <w:rFonts w:hint="eastAsia"/>
          <w:color w:val="000000" w:themeColor="text1"/>
          <w:sz w:val="24"/>
          <w:szCs w:val="24"/>
          <w:highlight w:val="none"/>
        </w:rPr>
        <w:t>；</w:t>
      </w:r>
      <w:r>
        <w:rPr>
          <w:rFonts w:hint="eastAsia"/>
          <w:color w:val="000000" w:themeColor="text1"/>
          <w:kern w:val="2"/>
          <w:sz w:val="24"/>
          <w:highlight w:val="none"/>
        </w:rPr>
        <w:t>沥青拌合站搅拌机楼采用全封闭设计，并设有沥青烟回收装置，采用风机将产生的沥青烟导入沥青拌合站的柴油燃烧器中燃烧，沥青烟处理效率可达99.5%以上，项目烘干滚筒产生的颗粒物与燃烧器产生废气通入搅拌楼里与搅拌楼废气一同引入除尘效率为99%的布袋除尘后净化沥青烟颗粒、苯并[a]芘等，处理后的混合气体通过引风机（总风量为10000m</w:t>
      </w:r>
      <w:r>
        <w:rPr>
          <w:rFonts w:hint="eastAsia"/>
          <w:color w:val="000000" w:themeColor="text1"/>
          <w:kern w:val="2"/>
          <w:sz w:val="24"/>
          <w:highlight w:val="none"/>
          <w:vertAlign w:val="superscript"/>
        </w:rPr>
        <w:t>3</w:t>
      </w:r>
      <w:r>
        <w:rPr>
          <w:rFonts w:hint="eastAsia"/>
          <w:color w:val="000000" w:themeColor="text1"/>
          <w:kern w:val="2"/>
          <w:sz w:val="24"/>
          <w:highlight w:val="none"/>
        </w:rPr>
        <w:t>/h）引至15m高排气筒（DA001）排放</w:t>
      </w:r>
      <w:r>
        <w:rPr>
          <w:rFonts w:hint="eastAsia"/>
          <w:color w:val="000000" w:themeColor="text1"/>
          <w:sz w:val="24"/>
          <w:szCs w:val="24"/>
          <w:highlight w:val="none"/>
        </w:rPr>
        <w:t>，</w:t>
      </w:r>
      <w:r>
        <w:rPr>
          <w:color w:val="000000" w:themeColor="text1"/>
          <w:sz w:val="24"/>
          <w:szCs w:val="24"/>
          <w:highlight w:val="none"/>
        </w:rPr>
        <w:t>周边300m</w:t>
      </w:r>
      <w:r>
        <w:rPr>
          <w:rFonts w:hint="eastAsia"/>
          <w:color w:val="000000" w:themeColor="text1"/>
          <w:sz w:val="24"/>
          <w:szCs w:val="24"/>
          <w:highlight w:val="none"/>
        </w:rPr>
        <w:t>内</w:t>
      </w:r>
      <w:r>
        <w:rPr>
          <w:color w:val="000000" w:themeColor="text1"/>
          <w:sz w:val="24"/>
          <w:szCs w:val="24"/>
          <w:highlight w:val="none"/>
        </w:rPr>
        <w:t>无居民分布</w:t>
      </w:r>
      <w:r>
        <w:rPr>
          <w:rFonts w:hint="eastAsia"/>
          <w:color w:val="000000" w:themeColor="text1"/>
          <w:sz w:val="24"/>
          <w:szCs w:val="24"/>
          <w:highlight w:val="none"/>
        </w:rPr>
        <w:t>。</w:t>
      </w:r>
    </w:p>
    <w:p w14:paraId="54CC151F">
      <w:pPr>
        <w:pageBreakBefore w:val="0"/>
        <w:wordWrap/>
        <w:topLinePunct w:val="0"/>
        <w:bidi w:val="0"/>
        <w:spacing w:line="360" w:lineRule="auto"/>
        <w:rPr>
          <w:color w:val="000000" w:themeColor="text1"/>
          <w:highlight w:val="none"/>
        </w:rPr>
      </w:pPr>
      <w:r>
        <w:rPr>
          <w:color w:val="000000" w:themeColor="text1"/>
          <w:highlight w:val="none"/>
        </w:rPr>
        <w:t>（2）途经敏感点路段设置移动式隔声、隔尘挡板长度</w:t>
      </w:r>
      <w:r>
        <w:rPr>
          <w:rFonts w:hint="eastAsia"/>
          <w:color w:val="000000" w:themeColor="text1"/>
          <w:highlight w:val="none"/>
        </w:rPr>
        <w:t>需覆盖敏感点</w:t>
      </w:r>
      <w:r>
        <w:rPr>
          <w:color w:val="000000" w:themeColor="text1"/>
          <w:highlight w:val="none"/>
        </w:rPr>
        <w:t>，高度3m，严禁在档墙外堆放施工材料、建筑垃圾和渣土。</w:t>
      </w:r>
    </w:p>
    <w:p w14:paraId="2672640B">
      <w:pPr>
        <w:pageBreakBefore w:val="0"/>
        <w:wordWrap/>
        <w:topLinePunct w:val="0"/>
        <w:bidi w:val="0"/>
        <w:spacing w:line="360" w:lineRule="auto"/>
        <w:rPr>
          <w:color w:val="000000" w:themeColor="text1"/>
          <w:highlight w:val="none"/>
        </w:rPr>
      </w:pPr>
      <w:r>
        <w:rPr>
          <w:color w:val="000000" w:themeColor="text1"/>
          <w:highlight w:val="none"/>
        </w:rPr>
        <w:t>（3）砂土等散体物质运输车辆必须严加管理，采取用篷布盖严或加水防护措施，减少散落。</w:t>
      </w:r>
    </w:p>
    <w:p w14:paraId="57BC3D5F">
      <w:pPr>
        <w:pageBreakBefore w:val="0"/>
        <w:wordWrap/>
        <w:topLinePunct w:val="0"/>
        <w:bidi w:val="0"/>
        <w:spacing w:line="360" w:lineRule="auto"/>
        <w:rPr>
          <w:color w:val="000000" w:themeColor="text1"/>
          <w:highlight w:val="none"/>
        </w:rPr>
      </w:pPr>
      <w:r>
        <w:rPr>
          <w:color w:val="000000" w:themeColor="text1"/>
          <w:highlight w:val="none"/>
        </w:rPr>
        <w:t>（4）施工场地、运输道路表面采取硬化措施，或采取洒水等方法处理，在干旱大风天气应加强洒水，适当增加洒水次数。</w:t>
      </w:r>
    </w:p>
    <w:p w14:paraId="48B71606">
      <w:pPr>
        <w:pageBreakBefore w:val="0"/>
        <w:wordWrap/>
        <w:topLinePunct w:val="0"/>
        <w:bidi w:val="0"/>
        <w:spacing w:line="360" w:lineRule="auto"/>
        <w:rPr>
          <w:color w:val="000000" w:themeColor="text1"/>
          <w:highlight w:val="none"/>
        </w:rPr>
      </w:pPr>
      <w:r>
        <w:rPr>
          <w:rFonts w:hint="eastAsia"/>
          <w:color w:val="000000" w:themeColor="text1"/>
          <w:highlight w:val="none"/>
        </w:rPr>
        <w:t>（5）</w:t>
      </w:r>
      <w:r>
        <w:rPr>
          <w:rFonts w:hint="eastAsia"/>
          <w:color w:val="000000" w:themeColor="text1"/>
          <w:highlight w:val="none"/>
          <w:lang w:val="en-US" w:eastAsia="zh-CN"/>
        </w:rPr>
        <w:t>综合站场</w:t>
      </w:r>
      <w:r>
        <w:rPr>
          <w:rFonts w:hint="eastAsia"/>
          <w:color w:val="000000" w:themeColor="text1"/>
          <w:highlight w:val="none"/>
        </w:rPr>
        <w:t>周边应设置有效、整洁的隔离围挡。</w:t>
      </w:r>
      <w:r>
        <w:rPr>
          <w:rFonts w:hint="eastAsia"/>
          <w:color w:val="000000" w:themeColor="text1"/>
          <w:highlight w:val="none"/>
          <w:lang w:val="en-US" w:eastAsia="zh-CN"/>
        </w:rPr>
        <w:t>综合站场</w:t>
      </w:r>
      <w:r>
        <w:rPr>
          <w:rFonts w:hint="eastAsia"/>
          <w:color w:val="000000" w:themeColor="text1"/>
          <w:highlight w:val="none"/>
        </w:rPr>
        <w:t>内车辆行驶路面进行硬化；粉状物料采用筒仓存储，砂石等物料采用料棚存储；场地内设置洒水喷淋装置；出入口设置车轮清洗装置；内部道路及场区外部链接道路定期清扫、洒水。场内有专人负责保洁工作，配备相应的洒水设备，及时洒水清扫以减少扬尘污染。</w:t>
      </w:r>
    </w:p>
    <w:p w14:paraId="576A45C6">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6</w:t>
      </w:r>
      <w:r>
        <w:rPr>
          <w:rFonts w:hint="eastAsia"/>
          <w:color w:val="000000" w:themeColor="text1"/>
          <w:highlight w:val="none"/>
        </w:rPr>
        <w:t>）加强施工期环境管理，强化施工人员的环保意识，严格执行沿线地方政府和有关部门颁布的有关环境保护及施工建设方面的有关规定。</w:t>
      </w:r>
    </w:p>
    <w:p w14:paraId="1677F5CF">
      <w:pPr>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7</w:t>
      </w:r>
      <w:r>
        <w:rPr>
          <w:rFonts w:hint="eastAsia"/>
          <w:color w:val="000000" w:themeColor="text1"/>
          <w:highlight w:val="none"/>
        </w:rPr>
        <w:t>）根据《扬尘在线监测系统建设及运行技术规范》、《施工场地扬尘排放标准》（DB13/2934-2019）开展施工期扬尘监测。扬尘在线监测仪包含符合HJ653的</w:t>
      </w:r>
      <w:r>
        <w:rPr>
          <w:color w:val="000000" w:themeColor="text1"/>
          <w:highlight w:val="none"/>
        </w:rPr>
        <w:t>β</w:t>
      </w:r>
      <w:r>
        <w:rPr>
          <w:rFonts w:hint="eastAsia"/>
          <w:color w:val="000000" w:themeColor="text1"/>
          <w:highlight w:val="none"/>
        </w:rPr>
        <w:t>射线法监测仪及光散射法监测仪两类。监测点位应设置于施工区域围栏安全范围内，可直接监控施工场地主要施工活动。监测点位不宜轻易变动，以保证监测的连续性和数据的可比性。监测点位应优先设置于车辆进出口处，监测点位数量多于车辆进出口数量时，其它监测点位应结合常年主导风向，设置在工地所在区域主导风向下风向的施工场地边界，兼顾扬尘最大落地浓度。当与其他建筑工地相邻或施工场地外侧是交通道路且受道路扬尘影响较大时，应避开在相邻边界处设置监测点。</w:t>
      </w:r>
    </w:p>
    <w:p w14:paraId="5D98E49F">
      <w:pPr>
        <w:keepNext w:val="0"/>
        <w:keepLines w:val="0"/>
        <w:pageBreakBefore w:val="0"/>
        <w:widowControl w:val="0"/>
        <w:kinsoku/>
        <w:wordWrap/>
        <w:overflowPunct/>
        <w:topLinePunct w:val="0"/>
        <w:autoSpaceDE/>
        <w:autoSpaceDN/>
        <w:bidi w:val="0"/>
        <w:adjustRightInd w:val="0"/>
        <w:snapToGrid w:val="0"/>
        <w:spacing w:line="360" w:lineRule="auto"/>
        <w:textAlignment w:val="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8</w:t>
      </w:r>
      <w:r>
        <w:rPr>
          <w:rFonts w:hint="eastAsia"/>
          <w:color w:val="000000" w:themeColor="text1"/>
          <w:highlight w:val="none"/>
          <w:lang w:eastAsia="zh-CN"/>
        </w:rPr>
        <w:t>）</w:t>
      </w:r>
      <w:r>
        <w:rPr>
          <w:rFonts w:hint="eastAsia"/>
          <w:color w:val="000000" w:themeColor="text1"/>
          <w:highlight w:val="none"/>
        </w:rPr>
        <w:t>为减小沥青铺滩时产生的沥青烟对周边大气环境的污染，在沥青铺滩时建议选择铺滩时段为昼间，气象参数选择为晴天并具有二级以上风速，以便于沥青铺滩时产生的烟气能够迅速扩散、稀释与转移。沥青拌合站防治措施要求如下：</w:t>
      </w:r>
    </w:p>
    <w:p w14:paraId="486696BB">
      <w:pPr>
        <w:pageBreakBefore w:val="0"/>
        <w:wordWrap/>
        <w:topLinePunct w:val="0"/>
        <w:bidi w:val="0"/>
        <w:spacing w:line="360" w:lineRule="auto"/>
        <w:rPr>
          <w:color w:val="000000" w:themeColor="text1"/>
          <w:highlight w:val="none"/>
        </w:rPr>
      </w:pPr>
      <w:r>
        <w:rPr>
          <w:rFonts w:hint="eastAsia"/>
          <w:color w:val="000000" w:themeColor="text1"/>
          <w:highlight w:val="none"/>
        </w:rPr>
        <w:t>a.选用先进的设备，沥青加热不得使用燃煤、重油；</w:t>
      </w:r>
    </w:p>
    <w:p w14:paraId="4101BAC4">
      <w:pPr>
        <w:pageBreakBefore w:val="0"/>
        <w:wordWrap/>
        <w:topLinePunct w:val="0"/>
        <w:bidi w:val="0"/>
        <w:spacing w:line="360" w:lineRule="auto"/>
        <w:rPr>
          <w:color w:val="000000" w:themeColor="text1"/>
          <w:highlight w:val="none"/>
        </w:rPr>
      </w:pPr>
      <w:r>
        <w:rPr>
          <w:color w:val="000000" w:themeColor="text1"/>
          <w:highlight w:val="none"/>
        </w:rPr>
        <w:t>b.</w:t>
      </w:r>
      <w:r>
        <w:rPr>
          <w:rFonts w:hint="eastAsia"/>
          <w:color w:val="000000" w:themeColor="text1"/>
          <w:highlight w:val="none"/>
        </w:rPr>
        <w:t>沥青拌合站全封闭作业，拌合站内沥青的加热、使用均应在密闭循环环境下完成；原料全封闭储存、站场内路面硬化；</w:t>
      </w:r>
    </w:p>
    <w:p w14:paraId="5347BCC3">
      <w:pPr>
        <w:pageBreakBefore w:val="0"/>
        <w:wordWrap/>
        <w:topLinePunct w:val="0"/>
        <w:bidi w:val="0"/>
        <w:spacing w:line="360" w:lineRule="auto"/>
        <w:rPr>
          <w:color w:val="000000" w:themeColor="text1"/>
          <w:highlight w:val="none"/>
        </w:rPr>
      </w:pPr>
      <w:r>
        <w:rPr>
          <w:rFonts w:hint="eastAsia"/>
          <w:color w:val="000000" w:themeColor="text1"/>
          <w:highlight w:val="none"/>
        </w:rPr>
        <w:t>c.沥青落料点、提升、振动筛、拌合器设置旋风、布袋除尘器后经15m排气筒排放；</w:t>
      </w:r>
    </w:p>
    <w:p w14:paraId="4E197673">
      <w:pPr>
        <w:pageBreakBefore w:val="0"/>
        <w:wordWrap/>
        <w:topLinePunct w:val="0"/>
        <w:bidi w:val="0"/>
        <w:spacing w:line="360" w:lineRule="auto"/>
        <w:rPr>
          <w:color w:val="000000" w:themeColor="text1"/>
          <w:highlight w:val="none"/>
        </w:rPr>
      </w:pPr>
      <w:r>
        <w:rPr>
          <w:rFonts w:hint="eastAsia"/>
          <w:color w:val="000000" w:themeColor="text1"/>
          <w:highlight w:val="none"/>
        </w:rPr>
        <w:t>d.</w:t>
      </w:r>
      <w:r>
        <w:rPr>
          <w:rFonts w:hint="eastAsia"/>
          <w:color w:val="000000" w:themeColor="text1"/>
          <w:kern w:val="2"/>
          <w:sz w:val="24"/>
          <w:highlight w:val="none"/>
        </w:rPr>
        <w:t>沥青拌合站搅拌机楼采用全封闭设计，并设有沥青烟回收装置，采用风机将产生的沥青烟导入沥青拌合站的柴油燃烧器中燃烧，沥青烟处理效率可达99.5%以上，项目烘干滚筒产生的颗粒物与燃烧器产生废气通入搅拌楼里与搅拌楼废气一同引入除尘效率为99%的布袋除尘后净化沥青烟颗粒、苯并[a]芘等，处理后的混合气体通过引风机（总风量为10000m</w:t>
      </w:r>
      <w:r>
        <w:rPr>
          <w:rFonts w:hint="eastAsia"/>
          <w:color w:val="000000" w:themeColor="text1"/>
          <w:kern w:val="2"/>
          <w:sz w:val="24"/>
          <w:highlight w:val="none"/>
          <w:vertAlign w:val="superscript"/>
        </w:rPr>
        <w:t>3</w:t>
      </w:r>
      <w:r>
        <w:rPr>
          <w:rFonts w:hint="eastAsia"/>
          <w:color w:val="000000" w:themeColor="text1"/>
          <w:kern w:val="2"/>
          <w:sz w:val="24"/>
          <w:highlight w:val="none"/>
        </w:rPr>
        <w:t>/h）引至15m高排气筒（DA001）排放。</w:t>
      </w:r>
      <w:r>
        <w:rPr>
          <w:rFonts w:hint="eastAsia"/>
          <w:color w:val="000000" w:themeColor="text1"/>
          <w:highlight w:val="none"/>
        </w:rPr>
        <w:t>有组织废气中的</w:t>
      </w:r>
      <w:r>
        <w:rPr>
          <w:color w:val="000000" w:themeColor="text1"/>
          <w:highlight w:val="none"/>
        </w:rPr>
        <w:t>苯并芘、非甲烷总烃</w:t>
      </w:r>
      <w:r>
        <w:rPr>
          <w:rFonts w:hint="eastAsia"/>
          <w:color w:val="000000" w:themeColor="text1"/>
          <w:highlight w:val="none"/>
        </w:rPr>
        <w:t>、颗粒物、SO</w:t>
      </w:r>
      <w:r>
        <w:rPr>
          <w:rFonts w:hint="eastAsia"/>
          <w:color w:val="000000" w:themeColor="text1"/>
          <w:highlight w:val="none"/>
          <w:vertAlign w:val="subscript"/>
        </w:rPr>
        <w:t>2</w:t>
      </w:r>
      <w:r>
        <w:rPr>
          <w:rFonts w:hint="eastAsia"/>
          <w:color w:val="000000" w:themeColor="text1"/>
          <w:highlight w:val="none"/>
        </w:rPr>
        <w:t>、NOx及沥青烟排放浓度均</w:t>
      </w:r>
      <w:r>
        <w:rPr>
          <w:color w:val="000000" w:themeColor="text1"/>
          <w:highlight w:val="none"/>
        </w:rPr>
        <w:t>满足《大气污染物综合排放标准》（GB 16297-2012）表2中</w:t>
      </w:r>
      <w:r>
        <w:rPr>
          <w:rFonts w:hint="eastAsia"/>
          <w:color w:val="000000" w:themeColor="text1"/>
          <w:highlight w:val="none"/>
        </w:rPr>
        <w:t>的</w:t>
      </w:r>
      <w:r>
        <w:rPr>
          <w:color w:val="000000" w:themeColor="text1"/>
          <w:highlight w:val="none"/>
        </w:rPr>
        <w:t>二级标准</w:t>
      </w:r>
      <w:r>
        <w:rPr>
          <w:rFonts w:hint="eastAsia"/>
          <w:color w:val="000000" w:themeColor="text1"/>
          <w:highlight w:val="none"/>
        </w:rPr>
        <w:t>；沥青拌合站无组织</w:t>
      </w:r>
      <w:r>
        <w:rPr>
          <w:color w:val="000000" w:themeColor="text1"/>
          <w:highlight w:val="none"/>
        </w:rPr>
        <w:t>颗粒物、</w:t>
      </w:r>
      <w:r>
        <w:rPr>
          <w:rFonts w:hint="eastAsia"/>
          <w:color w:val="000000" w:themeColor="text1"/>
          <w:highlight w:val="none"/>
        </w:rPr>
        <w:t>非甲烷总烃、</w:t>
      </w:r>
      <w:r>
        <w:rPr>
          <w:color w:val="000000" w:themeColor="text1"/>
          <w:highlight w:val="none"/>
        </w:rPr>
        <w:t>苯并芘</w:t>
      </w:r>
      <w:r>
        <w:rPr>
          <w:rFonts w:hint="eastAsia"/>
          <w:color w:val="000000" w:themeColor="text1"/>
          <w:highlight w:val="none"/>
        </w:rPr>
        <w:t>、SO</w:t>
      </w:r>
      <w:r>
        <w:rPr>
          <w:rFonts w:hint="eastAsia"/>
          <w:color w:val="000000" w:themeColor="text1"/>
          <w:highlight w:val="none"/>
          <w:vertAlign w:val="subscript"/>
        </w:rPr>
        <w:t>2</w:t>
      </w:r>
      <w:r>
        <w:rPr>
          <w:rFonts w:hint="eastAsia"/>
          <w:color w:val="000000" w:themeColor="text1"/>
          <w:highlight w:val="none"/>
        </w:rPr>
        <w:t>、NOx及沥青烟浓度</w:t>
      </w:r>
      <w:r>
        <w:rPr>
          <w:color w:val="000000" w:themeColor="text1"/>
          <w:highlight w:val="none"/>
        </w:rPr>
        <w:t>均满足《大气污染物综合排放标准》（GB16297-1996）</w:t>
      </w:r>
      <w:r>
        <w:rPr>
          <w:rFonts w:hint="eastAsia"/>
          <w:color w:val="000000" w:themeColor="text1"/>
          <w:highlight w:val="none"/>
        </w:rPr>
        <w:t>表2中的二级标准</w:t>
      </w:r>
      <w:r>
        <w:rPr>
          <w:color w:val="000000" w:themeColor="text1"/>
          <w:highlight w:val="none"/>
        </w:rPr>
        <w:t>。采用密闭工艺和设备，加强生产车间封闭性，设置半封闭结构料棚</w:t>
      </w:r>
      <w:r>
        <w:rPr>
          <w:rFonts w:hint="eastAsia"/>
          <w:color w:val="000000" w:themeColor="text1"/>
          <w:highlight w:val="none"/>
        </w:rPr>
        <w:t>。</w:t>
      </w:r>
    </w:p>
    <w:p w14:paraId="4FBB247F">
      <w:pPr>
        <w:pageBreakBefore w:val="0"/>
        <w:wordWrap/>
        <w:topLinePunct w:val="0"/>
        <w:bidi w:val="0"/>
        <w:spacing w:line="360" w:lineRule="auto"/>
        <w:rPr>
          <w:color w:val="000000" w:themeColor="text1"/>
          <w:highlight w:val="none"/>
        </w:rPr>
      </w:pPr>
      <w:r>
        <w:rPr>
          <w:rFonts w:hint="eastAsia"/>
          <w:color w:val="000000" w:themeColor="text1"/>
          <w:highlight w:val="none"/>
        </w:rPr>
        <w:t>e.拌合站选择远离村庄等环境敏感点，拌合站周边300m范围无环境敏感点。</w:t>
      </w:r>
    </w:p>
    <w:p w14:paraId="50D3A651">
      <w:pPr>
        <w:pageBreakBefore w:val="0"/>
        <w:wordWrap/>
        <w:topLinePunct w:val="0"/>
        <w:bidi w:val="0"/>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9</w:t>
      </w:r>
      <w:r>
        <w:rPr>
          <w:rFonts w:hint="eastAsia"/>
          <w:color w:val="000000" w:themeColor="text1"/>
          <w:highlight w:val="none"/>
        </w:rPr>
        <w:t>）拌合站采用集中搅拌的方式，全封闭作业。拌合站及桥梁</w:t>
      </w:r>
      <w:r>
        <w:rPr>
          <w:rFonts w:hint="eastAsia"/>
          <w:color w:val="000000" w:themeColor="text1"/>
          <w:highlight w:val="none"/>
          <w:lang w:val="en-US" w:eastAsia="zh-CN"/>
        </w:rPr>
        <w:t>预制场</w:t>
      </w:r>
      <w:r>
        <w:rPr>
          <w:rFonts w:hint="eastAsia"/>
          <w:color w:val="000000" w:themeColor="text1"/>
          <w:highlight w:val="none"/>
        </w:rPr>
        <w:t>大气防治具体措施如下：</w:t>
      </w:r>
    </w:p>
    <w:p w14:paraId="58FAEC0D">
      <w:pPr>
        <w:pageBreakBefore w:val="0"/>
        <w:wordWrap/>
        <w:topLinePunct w:val="0"/>
        <w:bidi w:val="0"/>
        <w:spacing w:line="360" w:lineRule="auto"/>
        <w:rPr>
          <w:color w:val="000000" w:themeColor="text1"/>
          <w:highlight w:val="none"/>
        </w:rPr>
      </w:pPr>
      <w:r>
        <w:rPr>
          <w:rFonts w:hint="eastAsia"/>
          <w:color w:val="000000" w:themeColor="text1"/>
          <w:highlight w:val="none"/>
        </w:rPr>
        <w:t>①拌合站严禁设置在风景名胜区、自然保护区、饮用水水源保护区等环境敏感区保护范围内。</w:t>
      </w:r>
    </w:p>
    <w:p w14:paraId="1BCDD79F">
      <w:pPr>
        <w:pageBreakBefore w:val="0"/>
        <w:wordWrap/>
        <w:topLinePunct w:val="0"/>
        <w:bidi w:val="0"/>
        <w:spacing w:line="360" w:lineRule="auto"/>
        <w:rPr>
          <w:color w:val="000000" w:themeColor="text1"/>
          <w:highlight w:val="none"/>
        </w:rPr>
      </w:pPr>
      <w:r>
        <w:rPr>
          <w:rFonts w:hint="eastAsia"/>
          <w:color w:val="000000" w:themeColor="text1"/>
          <w:highlight w:val="none"/>
        </w:rPr>
        <w:t>②拌合站的配料机、上料仓、搅拌设备及输送设施等，必须配备降尘防尘装备。</w:t>
      </w:r>
    </w:p>
    <w:p w14:paraId="0F65F0D6">
      <w:pPr>
        <w:pageBreakBefore w:val="0"/>
        <w:wordWrap/>
        <w:topLinePunct w:val="0"/>
        <w:bidi w:val="0"/>
        <w:spacing w:line="360" w:lineRule="auto"/>
        <w:rPr>
          <w:color w:val="000000" w:themeColor="text1"/>
          <w:highlight w:val="none"/>
        </w:rPr>
      </w:pPr>
      <w:r>
        <w:rPr>
          <w:rFonts w:hint="eastAsia"/>
          <w:color w:val="000000" w:themeColor="text1"/>
          <w:highlight w:val="none"/>
        </w:rPr>
        <w:t>③拌合站内搅拌砂浆、混凝土及其他易产生扬尘的作业，须搭设操作防护棚罩和采取除、吸尘措施。防护棚除进出口外，里面必须用防尘网和其他材料封闭。拌合完毕后，砂石料池重新堆放后应覆盖，道路应洒水清扫。</w:t>
      </w:r>
    </w:p>
    <w:p w14:paraId="367DFC61">
      <w:pPr>
        <w:pageBreakBefore w:val="0"/>
        <w:wordWrap/>
        <w:topLinePunct w:val="0"/>
        <w:bidi w:val="0"/>
        <w:spacing w:line="360" w:lineRule="auto"/>
        <w:rPr>
          <w:color w:val="000000" w:themeColor="text1"/>
          <w:highlight w:val="none"/>
        </w:rPr>
      </w:pPr>
      <w:r>
        <w:rPr>
          <w:rFonts w:hint="eastAsia"/>
          <w:color w:val="000000" w:themeColor="text1"/>
          <w:highlight w:val="none"/>
        </w:rPr>
        <w:t>④水泥等细颗粒散体材料应安排在库内存放或严密遮盖，临时性货场应采取严格的篷盖和围挡措施，运输和卸料时应用帆布遮盖和封闭。</w:t>
      </w:r>
    </w:p>
    <w:p w14:paraId="13DE3331">
      <w:pPr>
        <w:pageBreakBefore w:val="0"/>
        <w:wordWrap/>
        <w:topLinePunct w:val="0"/>
        <w:bidi w:val="0"/>
        <w:spacing w:line="360" w:lineRule="auto"/>
        <w:rPr>
          <w:color w:val="000000" w:themeColor="text1"/>
          <w:highlight w:val="none"/>
        </w:rPr>
      </w:pPr>
      <w:r>
        <w:rPr>
          <w:rFonts w:hint="eastAsia"/>
          <w:color w:val="000000" w:themeColor="text1"/>
          <w:highlight w:val="none"/>
        </w:rPr>
        <w:t>⑤水泥等材料进料时，应保证材料罐顶的密封性能，预留通气孔应配置除尘设施。</w:t>
      </w:r>
    </w:p>
    <w:p w14:paraId="7F248326">
      <w:pPr>
        <w:pageBreakBefore w:val="0"/>
        <w:wordWrap/>
        <w:topLinePunct w:val="0"/>
        <w:bidi w:val="0"/>
        <w:spacing w:line="360" w:lineRule="auto"/>
        <w:rPr>
          <w:color w:val="000000" w:themeColor="text1"/>
          <w:highlight w:val="none"/>
        </w:rPr>
      </w:pPr>
      <w:r>
        <w:rPr>
          <w:rFonts w:hint="eastAsia"/>
          <w:color w:val="000000" w:themeColor="text1"/>
          <w:highlight w:val="none"/>
        </w:rPr>
        <w:t>⑥上料仓应三面围挡，上料作业面周边应设置喷淋设施。</w:t>
      </w:r>
    </w:p>
    <w:p w14:paraId="2461D250">
      <w:pPr>
        <w:pageBreakBefore w:val="0"/>
        <w:wordWrap/>
        <w:topLinePunct w:val="0"/>
        <w:bidi w:val="0"/>
        <w:spacing w:line="360" w:lineRule="auto"/>
        <w:rPr>
          <w:rFonts w:hint="default"/>
          <w:color w:val="000000" w:themeColor="text1"/>
          <w:highlight w:val="none"/>
          <w:lang w:val="en-US"/>
        </w:rPr>
      </w:pPr>
      <w:r>
        <w:rPr>
          <w:color w:val="000000" w:themeColor="text1"/>
          <w:highlight w:val="none"/>
        </w:rPr>
        <w:t>采取上述措施后，施工场界处扬尘满足《大气污染物综合排放标准》（GB16297-1996）规定的颗粒物无组织排放监控浓度1.0mg/m</w:t>
      </w:r>
      <w:r>
        <w:rPr>
          <w:color w:val="000000" w:themeColor="text1"/>
          <w:highlight w:val="none"/>
          <w:vertAlign w:val="superscript"/>
        </w:rPr>
        <w:t>3</w:t>
      </w:r>
      <w:r>
        <w:rPr>
          <w:color w:val="000000" w:themeColor="text1"/>
          <w:highlight w:val="none"/>
        </w:rPr>
        <w:t>要求</w:t>
      </w:r>
      <w:r>
        <w:rPr>
          <w:rFonts w:hint="eastAsia"/>
          <w:color w:val="000000" w:themeColor="text1"/>
          <w:highlight w:val="none"/>
        </w:rPr>
        <w:t>；有组织废气中的</w:t>
      </w:r>
      <w:r>
        <w:rPr>
          <w:color w:val="000000" w:themeColor="text1"/>
          <w:highlight w:val="none"/>
        </w:rPr>
        <w:t>苯并芘、非甲烷总烃</w:t>
      </w:r>
      <w:r>
        <w:rPr>
          <w:rFonts w:hint="eastAsia"/>
          <w:color w:val="000000" w:themeColor="text1"/>
          <w:highlight w:val="none"/>
        </w:rPr>
        <w:t>、颗粒物、SO</w:t>
      </w:r>
      <w:r>
        <w:rPr>
          <w:rFonts w:hint="eastAsia"/>
          <w:color w:val="000000" w:themeColor="text1"/>
          <w:highlight w:val="none"/>
          <w:vertAlign w:val="subscript"/>
        </w:rPr>
        <w:t>2</w:t>
      </w:r>
      <w:r>
        <w:rPr>
          <w:rFonts w:hint="eastAsia"/>
          <w:color w:val="000000" w:themeColor="text1"/>
          <w:highlight w:val="none"/>
        </w:rPr>
        <w:t>、NOx及沥青烟排放浓度均</w:t>
      </w:r>
      <w:r>
        <w:rPr>
          <w:color w:val="000000" w:themeColor="text1"/>
          <w:highlight w:val="none"/>
        </w:rPr>
        <w:t>满足《大气污染物综合排放标准》（GB 16297-2012）表2中</w:t>
      </w:r>
      <w:r>
        <w:rPr>
          <w:rFonts w:hint="eastAsia"/>
          <w:color w:val="000000" w:themeColor="text1"/>
          <w:highlight w:val="none"/>
        </w:rPr>
        <w:t>的</w:t>
      </w:r>
      <w:r>
        <w:rPr>
          <w:color w:val="000000" w:themeColor="text1"/>
          <w:highlight w:val="none"/>
        </w:rPr>
        <w:t>二级标准</w:t>
      </w:r>
      <w:r>
        <w:rPr>
          <w:rFonts w:hint="eastAsia"/>
          <w:color w:val="000000" w:themeColor="text1"/>
          <w:highlight w:val="none"/>
        </w:rPr>
        <w:t>；沥青拌合站无组织</w:t>
      </w:r>
      <w:r>
        <w:rPr>
          <w:color w:val="000000" w:themeColor="text1"/>
          <w:highlight w:val="none"/>
        </w:rPr>
        <w:t>颗粒物、</w:t>
      </w:r>
      <w:r>
        <w:rPr>
          <w:rFonts w:hint="eastAsia"/>
          <w:color w:val="000000" w:themeColor="text1"/>
          <w:highlight w:val="none"/>
        </w:rPr>
        <w:t>非甲烷总烃、</w:t>
      </w:r>
      <w:r>
        <w:rPr>
          <w:color w:val="000000" w:themeColor="text1"/>
          <w:highlight w:val="none"/>
        </w:rPr>
        <w:t>苯并芘</w:t>
      </w:r>
      <w:r>
        <w:rPr>
          <w:rFonts w:hint="eastAsia"/>
          <w:color w:val="000000" w:themeColor="text1"/>
          <w:highlight w:val="none"/>
        </w:rPr>
        <w:t>、SO</w:t>
      </w:r>
      <w:r>
        <w:rPr>
          <w:rFonts w:hint="eastAsia"/>
          <w:color w:val="000000" w:themeColor="text1"/>
          <w:highlight w:val="none"/>
          <w:vertAlign w:val="subscript"/>
        </w:rPr>
        <w:t>2</w:t>
      </w:r>
      <w:r>
        <w:rPr>
          <w:rFonts w:hint="eastAsia"/>
          <w:color w:val="000000" w:themeColor="text1"/>
          <w:highlight w:val="none"/>
        </w:rPr>
        <w:t>、NOx及沥青烟浓度</w:t>
      </w:r>
      <w:r>
        <w:rPr>
          <w:color w:val="000000" w:themeColor="text1"/>
          <w:highlight w:val="none"/>
        </w:rPr>
        <w:t>均满足《大气污染物综合排放标准》（GB16297-1996）</w:t>
      </w:r>
      <w:r>
        <w:rPr>
          <w:rFonts w:hint="eastAsia"/>
          <w:color w:val="000000" w:themeColor="text1"/>
          <w:highlight w:val="none"/>
        </w:rPr>
        <w:t>表2中的二级标准</w:t>
      </w:r>
      <w:r>
        <w:rPr>
          <w:rFonts w:hint="eastAsia"/>
          <w:color w:val="000000" w:themeColor="text1"/>
          <w:highlight w:val="none"/>
          <w:lang w:val="en-US" w:eastAsia="zh-CN"/>
        </w:rPr>
        <w:t>及《水泥工业大气污染物排放标准》（</w:t>
      </w:r>
      <w:r>
        <w:rPr>
          <w:rFonts w:hint="default"/>
          <w:color w:val="000000" w:themeColor="text1"/>
          <w:highlight w:val="none"/>
          <w:lang w:val="en-US" w:eastAsia="zh-CN"/>
        </w:rPr>
        <w:t>GB4915-2013</w:t>
      </w:r>
      <w:r>
        <w:rPr>
          <w:rFonts w:hint="eastAsia"/>
          <w:color w:val="000000" w:themeColor="text1"/>
          <w:highlight w:val="none"/>
          <w:lang w:val="en-US" w:eastAsia="zh-CN"/>
        </w:rPr>
        <w:t>）中的颗粒物排放标准限值要求</w:t>
      </w:r>
      <w:r>
        <w:rPr>
          <w:color w:val="000000" w:themeColor="text1"/>
          <w:highlight w:val="none"/>
        </w:rPr>
        <w:t>。</w:t>
      </w:r>
    </w:p>
    <w:p w14:paraId="789BDB2D">
      <w:pPr>
        <w:pStyle w:val="4"/>
        <w:pageBreakBefore w:val="0"/>
        <w:wordWrap/>
        <w:topLinePunct w:val="0"/>
        <w:bidi w:val="0"/>
        <w:spacing w:before="120" w:line="360" w:lineRule="auto"/>
        <w:rPr>
          <w:color w:val="000000" w:themeColor="text1"/>
          <w:highlight w:val="none"/>
        </w:rPr>
      </w:pPr>
      <w:bookmarkStart w:id="488" w:name="_Toc17348"/>
      <w:bookmarkStart w:id="489" w:name="_Toc1408"/>
      <w:r>
        <w:rPr>
          <w:color w:val="000000" w:themeColor="text1"/>
          <w:highlight w:val="none"/>
        </w:rPr>
        <w:t>7.3.2营运期</w:t>
      </w:r>
      <w:bookmarkEnd w:id="488"/>
      <w:bookmarkEnd w:id="489"/>
    </w:p>
    <w:p w14:paraId="568C5C2E">
      <w:pPr>
        <w:pageBreakBefore w:val="0"/>
        <w:wordWrap/>
        <w:topLinePunct w:val="0"/>
        <w:bidi w:val="0"/>
        <w:spacing w:line="360" w:lineRule="auto"/>
        <w:rPr>
          <w:color w:val="000000" w:themeColor="text1"/>
          <w:highlight w:val="none"/>
        </w:rPr>
      </w:pPr>
      <w:r>
        <w:rPr>
          <w:color w:val="000000" w:themeColor="text1"/>
          <w:highlight w:val="none"/>
        </w:rPr>
        <w:t>（1）加强公路管理及路面养护，保持公路良好运营状态；加强交通运输车辆管理，禁止尾气严重超标车辆上路行驶。</w:t>
      </w:r>
    </w:p>
    <w:p w14:paraId="190B36C8">
      <w:pPr>
        <w:pageBreakBefore w:val="0"/>
        <w:wordWrap/>
        <w:topLinePunct w:val="0"/>
        <w:bidi w:val="0"/>
        <w:spacing w:line="360" w:lineRule="auto"/>
        <w:rPr>
          <w:color w:val="000000" w:themeColor="text1"/>
          <w:highlight w:val="none"/>
        </w:rPr>
      </w:pPr>
      <w:r>
        <w:rPr>
          <w:color w:val="000000" w:themeColor="text1"/>
          <w:highlight w:val="none"/>
        </w:rPr>
        <w:t>（2）对于装有易产生扬尘运输车辆要求罩盖篷布，防止运输中飞扬洒落。</w:t>
      </w:r>
    </w:p>
    <w:p w14:paraId="1175868D">
      <w:pPr>
        <w:pageBreakBefore w:val="0"/>
        <w:wordWrap/>
        <w:topLinePunct w:val="0"/>
        <w:bidi w:val="0"/>
        <w:spacing w:line="360" w:lineRule="auto"/>
        <w:rPr>
          <w:color w:val="000000" w:themeColor="text1"/>
          <w:highlight w:val="none"/>
        </w:rPr>
      </w:pPr>
      <w:r>
        <w:rPr>
          <w:color w:val="000000" w:themeColor="text1"/>
          <w:highlight w:val="none"/>
        </w:rPr>
        <w:t>（3）公路两侧种植适宜当地生长的林草，增加沿线植被覆盖率，净化尾气、扬尘等，改善路边景观及行车环境。</w:t>
      </w:r>
    </w:p>
    <w:p w14:paraId="7CD1B73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综上，采取以上防治措施可大大降低对周围环境空气的影响，本项目大气污染防治措施是可行的。</w:t>
      </w:r>
    </w:p>
    <w:p w14:paraId="5830EBD6">
      <w:pPr>
        <w:pStyle w:val="3"/>
        <w:pageBreakBefore w:val="0"/>
        <w:wordWrap/>
        <w:topLinePunct w:val="0"/>
        <w:bidi w:val="0"/>
        <w:spacing w:line="360" w:lineRule="auto"/>
        <w:rPr>
          <w:color w:val="000000" w:themeColor="text1"/>
          <w:highlight w:val="none"/>
        </w:rPr>
      </w:pPr>
      <w:bookmarkStart w:id="490" w:name="_Toc451873602"/>
      <w:bookmarkStart w:id="491" w:name="_Toc10974"/>
      <w:bookmarkStart w:id="492" w:name="_Toc15364"/>
      <w:bookmarkStart w:id="493" w:name="_Toc525"/>
      <w:bookmarkStart w:id="494" w:name="_Toc208218319"/>
      <w:bookmarkStart w:id="495" w:name="_Toc264202881"/>
      <w:bookmarkStart w:id="496" w:name="_Toc10814"/>
      <w:bookmarkStart w:id="497" w:name="_Toc21640"/>
      <w:bookmarkStart w:id="498" w:name="_Toc451873605"/>
      <w:bookmarkStart w:id="499" w:name="_Toc28667"/>
      <w:r>
        <w:rPr>
          <w:rFonts w:hint="eastAsia"/>
          <w:color w:val="000000" w:themeColor="text1"/>
          <w:highlight w:val="none"/>
        </w:rPr>
        <w:t>7</w:t>
      </w:r>
      <w:r>
        <w:rPr>
          <w:color w:val="000000" w:themeColor="text1"/>
          <w:highlight w:val="none"/>
        </w:rPr>
        <w:t>.4地表水</w:t>
      </w:r>
      <w:bookmarkEnd w:id="490"/>
      <w:bookmarkEnd w:id="491"/>
      <w:bookmarkEnd w:id="492"/>
      <w:bookmarkEnd w:id="493"/>
      <w:bookmarkEnd w:id="494"/>
      <w:bookmarkEnd w:id="495"/>
      <w:bookmarkEnd w:id="496"/>
    </w:p>
    <w:p w14:paraId="4A5DCDA8">
      <w:pPr>
        <w:pStyle w:val="4"/>
        <w:pageBreakBefore w:val="0"/>
        <w:wordWrap/>
        <w:topLinePunct w:val="0"/>
        <w:bidi w:val="0"/>
        <w:spacing w:before="120" w:line="360" w:lineRule="auto"/>
        <w:rPr>
          <w:color w:val="000000" w:themeColor="text1"/>
          <w:highlight w:val="none"/>
        </w:rPr>
      </w:pPr>
      <w:bookmarkStart w:id="500" w:name="_Toc11486"/>
      <w:bookmarkStart w:id="501" w:name="_Toc30111"/>
      <w:r>
        <w:rPr>
          <w:rFonts w:hint="eastAsia"/>
          <w:color w:val="000000" w:themeColor="text1"/>
          <w:highlight w:val="none"/>
        </w:rPr>
        <w:t>7</w:t>
      </w:r>
      <w:r>
        <w:rPr>
          <w:color w:val="000000" w:themeColor="text1"/>
          <w:highlight w:val="none"/>
        </w:rPr>
        <w:t>.4.1施工期</w:t>
      </w:r>
      <w:bookmarkEnd w:id="500"/>
      <w:bookmarkEnd w:id="501"/>
    </w:p>
    <w:p w14:paraId="5800C72A">
      <w:pPr>
        <w:pageBreakBefore w:val="0"/>
        <w:wordWrap/>
        <w:topLinePunct w:val="0"/>
        <w:bidi w:val="0"/>
        <w:spacing w:line="360" w:lineRule="auto"/>
        <w:rPr>
          <w:color w:val="000000" w:themeColor="text1"/>
          <w:highlight w:val="none"/>
        </w:rPr>
      </w:pPr>
      <w:r>
        <w:rPr>
          <w:rFonts w:hint="eastAsia"/>
          <w:color w:val="000000" w:themeColor="text1"/>
          <w:highlight w:val="none"/>
        </w:rPr>
        <w:t>本项目施工生产生活区远离地表水体布设，建筑材料远离地表水体存放，并进行遮盖、设置围挡；禁止将建筑垃圾、土石方、废水、生活垃圾等排入地表水体。</w:t>
      </w:r>
    </w:p>
    <w:p w14:paraId="21851D0B">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.4.1.1生活污水污染防治措施</w:t>
      </w:r>
    </w:p>
    <w:p w14:paraId="7DE881BB">
      <w:pPr>
        <w:pageBreakBefore w:val="0"/>
        <w:wordWrap/>
        <w:topLinePunct w:val="0"/>
        <w:bidi w:val="0"/>
        <w:spacing w:line="360" w:lineRule="auto"/>
        <w:rPr>
          <w:color w:val="000000" w:themeColor="text1"/>
          <w:highlight w:val="none"/>
        </w:rPr>
      </w:pPr>
      <w:r>
        <w:rPr>
          <w:rFonts w:hint="eastAsia"/>
          <w:color w:val="000000" w:themeColor="text1"/>
          <w:highlight w:val="none"/>
        </w:rPr>
        <w:t>本项目</w:t>
      </w:r>
      <w:r>
        <w:rPr>
          <w:color w:val="000000" w:themeColor="text1"/>
          <w:highlight w:val="none"/>
        </w:rPr>
        <w:t>施工人员生活污水禁止向地表水体排放，临时施工营地远离地表水体设置，</w:t>
      </w:r>
      <w:r>
        <w:rPr>
          <w:rFonts w:hint="eastAsia"/>
          <w:color w:val="000000" w:themeColor="text1"/>
          <w:highlight w:val="none"/>
        </w:rPr>
        <w:t>生活污水排入临时防渗旱厕</w:t>
      </w:r>
      <w:r>
        <w:rPr>
          <w:color w:val="000000" w:themeColor="text1"/>
          <w:highlight w:val="none"/>
        </w:rPr>
        <w:t>，</w:t>
      </w:r>
      <w:r>
        <w:rPr>
          <w:rFonts w:hint="eastAsia"/>
          <w:color w:val="000000" w:themeColor="text1"/>
          <w:highlight w:val="none"/>
        </w:rPr>
        <w:t>定期清掏，不向地表水体排放，对地表水环境影响较小。</w:t>
      </w:r>
    </w:p>
    <w:p w14:paraId="76EB4322">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.4.1.2生产废水污染防治措施</w:t>
      </w:r>
    </w:p>
    <w:p w14:paraId="789FB599">
      <w:pPr>
        <w:pageBreakBefore w:val="0"/>
        <w:wordWrap/>
        <w:topLinePunct w:val="0"/>
        <w:bidi w:val="0"/>
        <w:spacing w:line="360" w:lineRule="auto"/>
        <w:ind w:firstLine="0" w:firstLineChars="0"/>
        <w:rPr>
          <w:color w:val="000000" w:themeColor="text1"/>
          <w:highlight w:val="none"/>
        </w:rPr>
      </w:pPr>
      <w:r>
        <w:rPr>
          <w:color w:val="000000" w:themeColor="text1"/>
          <w:highlight w:val="none"/>
        </w:rPr>
        <w:t>（1）混凝土拌合站冲洗废水</w:t>
      </w:r>
    </w:p>
    <w:p w14:paraId="31F26166">
      <w:pPr>
        <w:pageBreakBefore w:val="0"/>
        <w:wordWrap/>
        <w:topLinePunct w:val="0"/>
        <w:bidi w:val="0"/>
        <w:spacing w:line="360" w:lineRule="auto"/>
        <w:rPr>
          <w:color w:val="000000" w:themeColor="text1"/>
          <w:highlight w:val="none"/>
        </w:rPr>
      </w:pPr>
      <w:r>
        <w:rPr>
          <w:rFonts w:hint="eastAsia"/>
          <w:color w:val="000000" w:themeColor="text1"/>
          <w:highlight w:val="none"/>
        </w:rPr>
        <w:t>①</w:t>
      </w:r>
      <w:r>
        <w:rPr>
          <w:color w:val="000000" w:themeColor="text1"/>
          <w:highlight w:val="none"/>
        </w:rPr>
        <w:t>处理方案</w:t>
      </w:r>
    </w:p>
    <w:p w14:paraId="5688A24E">
      <w:pPr>
        <w:pageBreakBefore w:val="0"/>
        <w:wordWrap/>
        <w:topLinePunct w:val="0"/>
        <w:bidi w:val="0"/>
        <w:spacing w:line="360" w:lineRule="auto"/>
        <w:rPr>
          <w:color w:val="000000" w:themeColor="text1"/>
          <w:highlight w:val="none"/>
        </w:rPr>
      </w:pPr>
      <w:r>
        <w:rPr>
          <w:rFonts w:hint="eastAsia"/>
          <w:color w:val="000000" w:themeColor="text1"/>
          <w:highlight w:val="none"/>
        </w:rPr>
        <w:t>桥梁预制养护及拌合站原料、设备清洗等生产过程会产生废水。项目各施工场地内设置截水沟、防渗沉淀池。收集厂区内的污水经沉淀后</w:t>
      </w:r>
      <w:r>
        <w:rPr>
          <w:color w:val="000000" w:themeColor="text1"/>
          <w:highlight w:val="none"/>
        </w:rPr>
        <w:t>回用于场地</w:t>
      </w:r>
      <w:r>
        <w:rPr>
          <w:rFonts w:hint="eastAsia"/>
          <w:color w:val="000000" w:themeColor="text1"/>
          <w:highlight w:val="none"/>
        </w:rPr>
        <w:t>及物料的</w:t>
      </w:r>
      <w:r>
        <w:rPr>
          <w:color w:val="000000" w:themeColor="text1"/>
          <w:highlight w:val="none"/>
        </w:rPr>
        <w:t>降尘</w:t>
      </w:r>
      <w:r>
        <w:rPr>
          <w:rFonts w:hint="eastAsia"/>
          <w:color w:val="000000" w:themeColor="text1"/>
          <w:highlight w:val="none"/>
        </w:rPr>
        <w:t>用水，不外排</w:t>
      </w:r>
      <w:r>
        <w:rPr>
          <w:color w:val="000000" w:themeColor="text1"/>
          <w:highlight w:val="none"/>
        </w:rPr>
        <w:t>。</w:t>
      </w:r>
    </w:p>
    <w:p w14:paraId="61D794F4">
      <w:pPr>
        <w:pageBreakBefore w:val="0"/>
        <w:wordWrap/>
        <w:topLinePunct w:val="0"/>
        <w:bidi w:val="0"/>
        <w:spacing w:line="360" w:lineRule="auto"/>
        <w:rPr>
          <w:color w:val="000000" w:themeColor="text1"/>
          <w:highlight w:val="none"/>
        </w:rPr>
      </w:pPr>
      <w:r>
        <w:rPr>
          <w:rFonts w:hint="eastAsia"/>
          <w:color w:val="000000" w:themeColor="text1"/>
          <w:highlight w:val="none"/>
        </w:rPr>
        <w:t>材料堆场堆放石灰、沥青的堆场上部设置遮雨顶棚、四周设置围挡、底部采用防渗混凝土硬化处理或铺设防渗膜，防止雨水冲刷及下渗对水环境的影响。</w:t>
      </w:r>
    </w:p>
    <w:p w14:paraId="43E4F237">
      <w:pPr>
        <w:pageBreakBefore w:val="0"/>
        <w:wordWrap/>
        <w:topLinePunct w:val="0"/>
        <w:bidi w:val="0"/>
        <w:spacing w:line="360" w:lineRule="auto"/>
        <w:rPr>
          <w:color w:val="000000" w:themeColor="text1"/>
          <w:highlight w:val="none"/>
        </w:rPr>
      </w:pPr>
      <w:r>
        <w:rPr>
          <w:rFonts w:hint="eastAsia"/>
          <w:color w:val="000000" w:themeColor="text1"/>
          <w:highlight w:val="none"/>
        </w:rPr>
        <w:t>②</w:t>
      </w:r>
      <w:r>
        <w:rPr>
          <w:color w:val="000000" w:themeColor="text1"/>
          <w:highlight w:val="none"/>
        </w:rPr>
        <w:t>方案可行性分析</w:t>
      </w:r>
    </w:p>
    <w:p w14:paraId="11254DB5">
      <w:pPr>
        <w:pageBreakBefore w:val="0"/>
        <w:wordWrap/>
        <w:topLinePunct w:val="0"/>
        <w:bidi w:val="0"/>
        <w:spacing w:line="360" w:lineRule="auto"/>
        <w:rPr>
          <w:color w:val="000000" w:themeColor="text1"/>
          <w:highlight w:val="none"/>
        </w:rPr>
      </w:pPr>
      <w:r>
        <w:rPr>
          <w:color w:val="000000" w:themeColor="text1"/>
          <w:highlight w:val="none"/>
        </w:rPr>
        <w:t>施工废水处理一般有自然沉淀法、混凝沉淀法和机械加速澄清法等三种，三种方法比较见表7.4-1。</w:t>
      </w:r>
    </w:p>
    <w:p w14:paraId="366D68E9">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 xml:space="preserve">表7.4-1 </w:t>
      </w:r>
      <w:r>
        <w:rPr>
          <w:rFonts w:hint="eastAsia"/>
          <w:b/>
          <w:color w:val="000000" w:themeColor="text1"/>
          <w:highlight w:val="none"/>
        </w:rPr>
        <w:t xml:space="preserve"> </w:t>
      </w:r>
      <w:r>
        <w:rPr>
          <w:b/>
          <w:color w:val="000000" w:themeColor="text1"/>
          <w:highlight w:val="none"/>
        </w:rPr>
        <w:t>施工废水处理方案比选</w:t>
      </w:r>
    </w:p>
    <w:tbl>
      <w:tblPr>
        <w:tblStyle w:val="33"/>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47"/>
        <w:gridCol w:w="2506"/>
        <w:gridCol w:w="3162"/>
        <w:gridCol w:w="2413"/>
      </w:tblGrid>
      <w:tr w14:paraId="228FBF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2" w:type="pct"/>
            <w:vAlign w:val="center"/>
          </w:tcPr>
          <w:p w14:paraId="267495D6">
            <w:pPr>
              <w:pStyle w:val="42"/>
              <w:pageBreakBefore w:val="0"/>
              <w:wordWrap/>
              <w:topLinePunct w:val="0"/>
              <w:bidi w:val="0"/>
              <w:spacing w:line="240" w:lineRule="auto"/>
              <w:jc w:val="center"/>
              <w:rPr>
                <w:rFonts w:ascii="Times New Roman" w:eastAsia="宋体"/>
                <w:color w:val="000000" w:themeColor="text1"/>
                <w:sz w:val="21"/>
                <w:szCs w:val="21"/>
                <w:highlight w:val="none"/>
              </w:rPr>
            </w:pPr>
          </w:p>
        </w:tc>
        <w:tc>
          <w:tcPr>
            <w:tcW w:w="1469" w:type="pct"/>
            <w:vAlign w:val="center"/>
          </w:tcPr>
          <w:p w14:paraId="28A984DE">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方案1：自然沉淀池</w:t>
            </w:r>
          </w:p>
        </w:tc>
        <w:tc>
          <w:tcPr>
            <w:tcW w:w="1853" w:type="pct"/>
            <w:vAlign w:val="center"/>
          </w:tcPr>
          <w:p w14:paraId="4DA11CA7">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方案2：混凝沉淀池</w:t>
            </w:r>
          </w:p>
        </w:tc>
        <w:tc>
          <w:tcPr>
            <w:tcW w:w="1414" w:type="pct"/>
            <w:vAlign w:val="center"/>
          </w:tcPr>
          <w:p w14:paraId="319147D6">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方案3：机械加速澄清池</w:t>
            </w:r>
          </w:p>
        </w:tc>
      </w:tr>
      <w:tr w14:paraId="0D0FE1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2" w:type="pct"/>
            <w:vAlign w:val="center"/>
          </w:tcPr>
          <w:p w14:paraId="21682340">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流</w:t>
            </w:r>
          </w:p>
          <w:p w14:paraId="7DC54668">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程</w:t>
            </w:r>
          </w:p>
          <w:p w14:paraId="69DA7C1F">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简</w:t>
            </w:r>
          </w:p>
          <w:p w14:paraId="34B403B8">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述</w:t>
            </w:r>
          </w:p>
        </w:tc>
        <w:tc>
          <w:tcPr>
            <w:tcW w:w="1469" w:type="pct"/>
            <w:vAlign w:val="center"/>
          </w:tcPr>
          <w:p w14:paraId="2C936ED2">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含高悬浮物的废水从砂石料加工系统流出、进入沉淀池，不使用凝聚剂，在沉淀池中进行自然沉淀，上清液回用。</w:t>
            </w:r>
          </w:p>
        </w:tc>
        <w:tc>
          <w:tcPr>
            <w:tcW w:w="1853" w:type="pct"/>
            <w:vAlign w:val="center"/>
          </w:tcPr>
          <w:p w14:paraId="6C2886D1">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废水从砂石料加工系统流出先经沉淀池把粗砂除去后，再进入沉淀池，并在沉淀池中投加凝聚剂。由于絮凝剂的投加，使小于0.07mm的悬浮物得以快速有效的去除，上清液进入清水池回用。</w:t>
            </w:r>
          </w:p>
        </w:tc>
        <w:tc>
          <w:tcPr>
            <w:tcW w:w="1414" w:type="pct"/>
            <w:vAlign w:val="center"/>
          </w:tcPr>
          <w:p w14:paraId="0BA356A4">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废水从砂石料加工系统流出先经沉砂池把粗砂除去后，再进入加速澄清池，在加速澄清池中悬浮物得以快速有效的去除，上清液回用。</w:t>
            </w:r>
          </w:p>
        </w:tc>
      </w:tr>
      <w:tr w14:paraId="239C1A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2" w:type="pct"/>
            <w:vAlign w:val="center"/>
          </w:tcPr>
          <w:p w14:paraId="44D6725C">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流</w:t>
            </w:r>
          </w:p>
          <w:p w14:paraId="3D86CC42">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程</w:t>
            </w:r>
          </w:p>
          <w:p w14:paraId="49F9D611">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图</w:t>
            </w:r>
          </w:p>
        </w:tc>
        <w:tc>
          <w:tcPr>
            <w:tcW w:w="1469" w:type="pct"/>
            <w:vAlign w:val="center"/>
          </w:tcPr>
          <w:p w14:paraId="0AAAA5D2">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drawing>
                <wp:inline distT="0" distB="0" distL="114300" distR="114300">
                  <wp:extent cx="1215390" cy="1007745"/>
                  <wp:effectExtent l="19050" t="0" r="3810" b="0"/>
                  <wp:docPr id="241" name="图片 241" descr="QQ截图2019082914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QQ截图20190829145237"/>
                          <pic:cNvPicPr>
                            <a:picLocks noChangeAspect="1" noChangeArrowheads="1"/>
                          </pic:cNvPicPr>
                        </pic:nvPicPr>
                        <pic:blipFill>
                          <a:blip r:embed="rId84"/>
                          <a:srcRect/>
                          <a:stretch>
                            <a:fillRect/>
                          </a:stretch>
                        </pic:blipFill>
                        <pic:spPr>
                          <a:xfrm>
                            <a:off x="0" y="0"/>
                            <a:ext cx="1215390" cy="1007745"/>
                          </a:xfrm>
                          <a:prstGeom prst="rect">
                            <a:avLst/>
                          </a:prstGeom>
                          <a:noFill/>
                          <a:ln w="9525" cmpd="sng">
                            <a:noFill/>
                            <a:miter lim="800000"/>
                            <a:headEnd/>
                            <a:tailEnd/>
                          </a:ln>
                        </pic:spPr>
                      </pic:pic>
                    </a:graphicData>
                  </a:graphic>
                </wp:inline>
              </w:drawing>
            </w:r>
          </w:p>
        </w:tc>
        <w:tc>
          <w:tcPr>
            <w:tcW w:w="1853" w:type="pct"/>
            <w:vAlign w:val="center"/>
          </w:tcPr>
          <w:p w14:paraId="101992B8">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drawing>
                <wp:inline distT="0" distB="0" distL="114300" distR="114300">
                  <wp:extent cx="1216025" cy="985520"/>
                  <wp:effectExtent l="19050" t="0" r="3175" b="0"/>
                  <wp:docPr id="240" name="图片 240" descr="QQ截图2019082914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QQ截图20190829145305"/>
                          <pic:cNvPicPr>
                            <a:picLocks noChangeAspect="1" noChangeArrowheads="1"/>
                          </pic:cNvPicPr>
                        </pic:nvPicPr>
                        <pic:blipFill>
                          <a:blip r:embed="rId85"/>
                          <a:srcRect/>
                          <a:stretch>
                            <a:fillRect/>
                          </a:stretch>
                        </pic:blipFill>
                        <pic:spPr>
                          <a:xfrm>
                            <a:off x="0" y="0"/>
                            <a:ext cx="1216025" cy="985520"/>
                          </a:xfrm>
                          <a:prstGeom prst="rect">
                            <a:avLst/>
                          </a:prstGeom>
                          <a:noFill/>
                          <a:ln w="9525" cmpd="sng">
                            <a:noFill/>
                            <a:miter lim="800000"/>
                            <a:headEnd/>
                            <a:tailEnd/>
                          </a:ln>
                          <a:effectLst/>
                        </pic:spPr>
                      </pic:pic>
                    </a:graphicData>
                  </a:graphic>
                </wp:inline>
              </w:drawing>
            </w:r>
          </w:p>
        </w:tc>
        <w:tc>
          <w:tcPr>
            <w:tcW w:w="1414" w:type="pct"/>
            <w:vAlign w:val="center"/>
          </w:tcPr>
          <w:p w14:paraId="2E562FAA">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drawing>
                <wp:inline distT="0" distB="0" distL="114300" distR="114300">
                  <wp:extent cx="1216025" cy="1036320"/>
                  <wp:effectExtent l="19050" t="0" r="3175" b="0"/>
                  <wp:docPr id="242" name="图片 242" descr="QQ截图2019082914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descr="QQ截图20190829145322"/>
                          <pic:cNvPicPr>
                            <a:picLocks noChangeAspect="1" noChangeArrowheads="1"/>
                          </pic:cNvPicPr>
                        </pic:nvPicPr>
                        <pic:blipFill>
                          <a:blip r:embed="rId86"/>
                          <a:srcRect/>
                          <a:stretch>
                            <a:fillRect/>
                          </a:stretch>
                        </pic:blipFill>
                        <pic:spPr>
                          <a:xfrm>
                            <a:off x="0" y="0"/>
                            <a:ext cx="1216025" cy="1036320"/>
                          </a:xfrm>
                          <a:prstGeom prst="rect">
                            <a:avLst/>
                          </a:prstGeom>
                          <a:noFill/>
                          <a:ln w="9525" cmpd="sng">
                            <a:noFill/>
                            <a:miter lim="800000"/>
                            <a:headEnd/>
                            <a:tailEnd/>
                          </a:ln>
                        </pic:spPr>
                      </pic:pic>
                    </a:graphicData>
                  </a:graphic>
                </wp:inline>
              </w:drawing>
            </w:r>
          </w:p>
        </w:tc>
      </w:tr>
      <w:tr w14:paraId="6A7BB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62" w:type="pct"/>
            <w:vAlign w:val="center"/>
          </w:tcPr>
          <w:p w14:paraId="324E4DD2">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主要优缺点</w:t>
            </w:r>
          </w:p>
        </w:tc>
        <w:tc>
          <w:tcPr>
            <w:tcW w:w="1469" w:type="pct"/>
            <w:vAlign w:val="center"/>
          </w:tcPr>
          <w:p w14:paraId="1B427D05">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ascii="Times New Roman" w:eastAsia="宋体"/>
                <w:color w:val="000000" w:themeColor="text1"/>
                <w:sz w:val="21"/>
                <w:szCs w:val="21"/>
                <w:highlight w:val="none"/>
              </w:rPr>
              <w:t>该方案特点是处理流程简单，基建技术要求不高，运行操作简单，运行费用少，但为达到较好的处理效果，沉淀池的规模要求较大。</w:t>
            </w:r>
          </w:p>
        </w:tc>
        <w:tc>
          <w:tcPr>
            <w:tcW w:w="1853" w:type="pct"/>
            <w:vAlign w:val="center"/>
          </w:tcPr>
          <w:p w14:paraId="03E69C23">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hint="eastAsia" w:ascii="Times New Roman" w:eastAsia="宋体"/>
                <w:color w:val="000000" w:themeColor="text1"/>
                <w:sz w:val="21"/>
                <w:szCs w:val="21"/>
                <w:highlight w:val="none"/>
              </w:rPr>
              <w:t>这种处理工艺适用于对废水有回用要求的情况很有必要。该方案凝聚剂投加及混合需增加絮凝剂投加设备，而且絮凝沉淀产生的泥浆需进行脱水处理，造价相对方案1高，运行费用增加。</w:t>
            </w:r>
          </w:p>
        </w:tc>
        <w:tc>
          <w:tcPr>
            <w:tcW w:w="1414" w:type="pct"/>
            <w:vAlign w:val="center"/>
          </w:tcPr>
          <w:p w14:paraId="78E13114">
            <w:pPr>
              <w:pStyle w:val="42"/>
              <w:pageBreakBefore w:val="0"/>
              <w:wordWrap/>
              <w:topLinePunct w:val="0"/>
              <w:bidi w:val="0"/>
              <w:spacing w:line="240" w:lineRule="auto"/>
              <w:jc w:val="center"/>
              <w:rPr>
                <w:rFonts w:ascii="Times New Roman" w:eastAsia="宋体"/>
                <w:color w:val="000000" w:themeColor="text1"/>
                <w:sz w:val="21"/>
                <w:szCs w:val="21"/>
                <w:highlight w:val="none"/>
              </w:rPr>
            </w:pPr>
            <w:r>
              <w:rPr>
                <w:rFonts w:hint="eastAsia" w:ascii="Times New Roman" w:eastAsia="宋体"/>
                <w:color w:val="000000" w:themeColor="text1"/>
                <w:sz w:val="21"/>
                <w:szCs w:val="21"/>
                <w:highlight w:val="none"/>
              </w:rPr>
              <w:t>该工艺处理效果好，占地面积省，但池体结构复杂，设计难度和基建技术要求高，特别是运行维护管理要求很高。</w:t>
            </w:r>
          </w:p>
        </w:tc>
      </w:tr>
    </w:tbl>
    <w:p w14:paraId="308BBDA9">
      <w:pPr>
        <w:pageBreakBefore w:val="0"/>
        <w:wordWrap/>
        <w:topLinePunct w:val="0"/>
        <w:bidi w:val="0"/>
        <w:spacing w:line="360" w:lineRule="auto"/>
        <w:rPr>
          <w:color w:val="000000" w:themeColor="text1"/>
          <w:highlight w:val="none"/>
        </w:rPr>
      </w:pPr>
      <w:r>
        <w:rPr>
          <w:color w:val="000000" w:themeColor="text1"/>
          <w:highlight w:val="none"/>
        </w:rPr>
        <w:t>从维护管理、运行费用、占地面积来看，方案1具有较大优势；就去除悬浮物工艺效果而言，方案2和方案3优势较大；由于本项目废水产生量小，且废水经过简单沉淀后可满足回用于场地降尘，故本评价推荐采用方案1</w:t>
      </w:r>
      <w:r>
        <w:rPr>
          <w:rFonts w:hint="eastAsia"/>
          <w:color w:val="000000" w:themeColor="text1"/>
          <w:highlight w:val="none"/>
        </w:rPr>
        <w:t>：废水</w:t>
      </w:r>
      <w:r>
        <w:rPr>
          <w:color w:val="000000" w:themeColor="text1"/>
          <w:highlight w:val="none"/>
        </w:rPr>
        <w:t>从砂石料加工系统流出、进入沉淀池，不使用凝聚剂，在沉淀池中进行自然沉淀，上清液回用。</w:t>
      </w:r>
    </w:p>
    <w:p w14:paraId="218DCBD3">
      <w:pPr>
        <w:pageBreakBefore w:val="0"/>
        <w:wordWrap/>
        <w:topLinePunct w:val="0"/>
        <w:bidi w:val="0"/>
        <w:adjustRightInd/>
        <w:snapToGrid/>
        <w:spacing w:line="360" w:lineRule="auto"/>
        <w:rPr>
          <w:color w:val="000000" w:themeColor="text1"/>
          <w:highlight w:val="none"/>
        </w:rPr>
      </w:pPr>
      <w:r>
        <w:rPr>
          <w:color w:val="000000" w:themeColor="text1"/>
          <w:highlight w:val="none"/>
        </w:rPr>
        <w:t>综上，本项目</w:t>
      </w:r>
      <w:r>
        <w:rPr>
          <w:rFonts w:hint="eastAsia"/>
          <w:color w:val="000000" w:themeColor="text1"/>
          <w:highlight w:val="none"/>
        </w:rPr>
        <w:t>桥梁预制场和</w:t>
      </w:r>
      <w:r>
        <w:rPr>
          <w:color w:val="000000" w:themeColor="text1"/>
          <w:highlight w:val="none"/>
        </w:rPr>
        <w:t>拌合站冲洗废水采取上述处理方案从技术角度分析是基本可行的。</w:t>
      </w:r>
    </w:p>
    <w:p w14:paraId="48F4841F">
      <w:pPr>
        <w:pageBreakBefore w:val="0"/>
        <w:wordWrap/>
        <w:topLinePunct w:val="0"/>
        <w:bidi w:val="0"/>
        <w:adjustRightInd/>
        <w:snapToGrid/>
        <w:spacing w:line="360" w:lineRule="auto"/>
        <w:rPr>
          <w:color w:val="000000" w:themeColor="text1"/>
          <w:highlight w:val="none"/>
        </w:rPr>
      </w:pPr>
      <w:r>
        <w:rPr>
          <w:rFonts w:hint="eastAsia"/>
          <w:color w:val="000000" w:themeColor="text1"/>
          <w:highlight w:val="none"/>
        </w:rPr>
        <w:t>（</w:t>
      </w:r>
      <w:r>
        <w:rPr>
          <w:rFonts w:hint="eastAsia"/>
          <w:color w:val="000000" w:themeColor="text1"/>
          <w:highlight w:val="none"/>
          <w:lang w:val="en-US" w:eastAsia="zh-CN"/>
        </w:rPr>
        <w:t>2</w:t>
      </w:r>
      <w:r>
        <w:rPr>
          <w:rFonts w:hint="eastAsia"/>
          <w:color w:val="000000" w:themeColor="text1"/>
          <w:highlight w:val="none"/>
        </w:rPr>
        <w:t>）</w:t>
      </w:r>
      <w:r>
        <w:rPr>
          <w:color w:val="000000" w:themeColor="text1"/>
          <w:highlight w:val="none"/>
        </w:rPr>
        <w:t>施工机械和车辆冲洗废水</w:t>
      </w:r>
    </w:p>
    <w:p w14:paraId="58AC7F3C">
      <w:pPr>
        <w:pageBreakBefore w:val="0"/>
        <w:wordWrap/>
        <w:topLinePunct w:val="0"/>
        <w:bidi w:val="0"/>
        <w:adjustRightInd/>
        <w:snapToGrid/>
        <w:spacing w:line="360" w:lineRule="auto"/>
        <w:rPr>
          <w:color w:val="000000" w:themeColor="text1"/>
          <w:highlight w:val="none"/>
        </w:rPr>
      </w:pPr>
      <w:r>
        <w:rPr>
          <w:color w:val="000000" w:themeColor="text1"/>
          <w:highlight w:val="none"/>
        </w:rPr>
        <w:t>本项目施工机械和车辆清洗过程产生冲洗废水，经设置的临时隔油沉淀池集中处理后，用于施工场地洒水降尘，不外排，</w:t>
      </w:r>
      <w:r>
        <w:rPr>
          <w:rFonts w:hint="eastAsia"/>
          <w:color w:val="000000" w:themeColor="text1"/>
          <w:highlight w:val="none"/>
        </w:rPr>
        <w:t>沉淀废渣</w:t>
      </w:r>
      <w:r>
        <w:rPr>
          <w:rFonts w:hint="eastAsia"/>
          <w:color w:val="000000" w:themeColor="text1"/>
          <w:highlight w:val="none"/>
          <w:lang w:val="en-US" w:eastAsia="zh-CN"/>
        </w:rPr>
        <w:t>作为施工结束后沉淀池平整填埋使用</w:t>
      </w:r>
      <w:r>
        <w:rPr>
          <w:rFonts w:hint="eastAsia"/>
          <w:color w:val="000000" w:themeColor="text1"/>
          <w:highlight w:val="none"/>
        </w:rPr>
        <w:t>，</w:t>
      </w:r>
      <w:r>
        <w:rPr>
          <w:color w:val="000000" w:themeColor="text1"/>
          <w:highlight w:val="none"/>
        </w:rPr>
        <w:t>对地表水环境影响较小，故施工机械和车辆清洗废水采取临时隔油沉淀池处理回用具有可行性。</w:t>
      </w:r>
    </w:p>
    <w:p w14:paraId="4082F12D">
      <w:pPr>
        <w:pStyle w:val="5"/>
        <w:pageBreakBefore w:val="0"/>
        <w:wordWrap/>
        <w:topLinePunct w:val="0"/>
        <w:bidi w:val="0"/>
        <w:spacing w:before="120" w:line="360" w:lineRule="auto"/>
        <w:rPr>
          <w:color w:val="000000" w:themeColor="text1"/>
          <w:highlight w:val="none"/>
        </w:rPr>
      </w:pPr>
      <w:r>
        <w:rPr>
          <w:rFonts w:hint="eastAsia"/>
          <w:color w:val="000000" w:themeColor="text1"/>
          <w:highlight w:val="none"/>
        </w:rPr>
        <w:t>7</w:t>
      </w:r>
      <w:r>
        <w:rPr>
          <w:color w:val="000000" w:themeColor="text1"/>
          <w:highlight w:val="none"/>
        </w:rPr>
        <w:t>.4.1.3桥梁施工</w:t>
      </w:r>
      <w:r>
        <w:rPr>
          <w:rFonts w:hint="eastAsia"/>
          <w:color w:val="000000" w:themeColor="text1"/>
          <w:highlight w:val="none"/>
        </w:rPr>
        <w:t>废水</w:t>
      </w:r>
      <w:r>
        <w:rPr>
          <w:color w:val="000000" w:themeColor="text1"/>
          <w:highlight w:val="none"/>
        </w:rPr>
        <w:t>防护措施</w:t>
      </w:r>
    </w:p>
    <w:p w14:paraId="3E9EEA33">
      <w:pPr>
        <w:pageBreakBefore w:val="0"/>
        <w:wordWrap/>
        <w:topLinePunct w:val="0"/>
        <w:bidi w:val="0"/>
        <w:spacing w:line="360" w:lineRule="auto"/>
        <w:rPr>
          <w:color w:val="000000" w:themeColor="text1"/>
          <w:highlight w:val="none"/>
        </w:rPr>
      </w:pPr>
      <w:r>
        <w:rPr>
          <w:color w:val="000000" w:themeColor="text1"/>
          <w:highlight w:val="none"/>
        </w:rPr>
        <w:t>（1）</w:t>
      </w:r>
      <w:r>
        <w:rPr>
          <w:rFonts w:hint="eastAsia"/>
          <w:color w:val="000000" w:themeColor="text1"/>
          <w:highlight w:val="none"/>
        </w:rPr>
        <w:t>本项目共有1座中桥涉及涉水</w:t>
      </w:r>
      <w:r>
        <w:rPr>
          <w:color w:val="000000" w:themeColor="text1"/>
          <w:highlight w:val="none"/>
        </w:rPr>
        <w:t>桥墩</w:t>
      </w:r>
      <w:r>
        <w:rPr>
          <w:rFonts w:hint="eastAsia"/>
          <w:color w:val="000000" w:themeColor="text1"/>
          <w:highlight w:val="none"/>
        </w:rPr>
        <w:t>，合理安排施工时间，避开鱼类产卵期及洄游期5月末~9月施工，选在枯水期和非灌溉期施工，涉水</w:t>
      </w:r>
      <w:r>
        <w:rPr>
          <w:color w:val="000000" w:themeColor="text1"/>
          <w:highlight w:val="none"/>
        </w:rPr>
        <w:t>桥墩施工前设置围堰</w:t>
      </w:r>
      <w:r>
        <w:rPr>
          <w:rFonts w:hint="eastAsia"/>
          <w:color w:val="000000" w:themeColor="text1"/>
          <w:highlight w:val="none"/>
        </w:rPr>
        <w:t>。</w:t>
      </w:r>
    </w:p>
    <w:p w14:paraId="23B81929">
      <w:pPr>
        <w:pageBreakBefore w:val="0"/>
        <w:wordWrap/>
        <w:topLinePunct w:val="0"/>
        <w:bidi w:val="0"/>
        <w:spacing w:line="360" w:lineRule="auto"/>
        <w:rPr>
          <w:color w:val="000000" w:themeColor="text1"/>
          <w:highlight w:val="none"/>
        </w:rPr>
      </w:pPr>
      <w:r>
        <w:rPr>
          <w:color w:val="000000" w:themeColor="text1"/>
          <w:highlight w:val="none"/>
        </w:rPr>
        <w:t>（2）施工</w:t>
      </w:r>
      <w:r>
        <w:rPr>
          <w:rFonts w:hint="eastAsia"/>
          <w:color w:val="000000" w:themeColor="text1"/>
          <w:highlight w:val="none"/>
        </w:rPr>
        <w:t>材料运输过程中加盖苫布，防止撒漏，堆放场地应远离地表水体</w:t>
      </w:r>
      <w:r>
        <w:rPr>
          <w:color w:val="000000" w:themeColor="text1"/>
          <w:highlight w:val="none"/>
        </w:rPr>
        <w:t>。</w:t>
      </w:r>
    </w:p>
    <w:p w14:paraId="4A66BD4C">
      <w:pPr>
        <w:pageBreakBefore w:val="0"/>
        <w:wordWrap/>
        <w:topLinePunct w:val="0"/>
        <w:bidi w:val="0"/>
        <w:spacing w:line="360" w:lineRule="auto"/>
        <w:rPr>
          <w:color w:val="000000" w:themeColor="text1"/>
          <w:highlight w:val="none"/>
        </w:rPr>
      </w:pPr>
      <w:r>
        <w:rPr>
          <w:rFonts w:hint="eastAsia"/>
          <w:color w:val="000000" w:themeColor="text1"/>
          <w:highlight w:val="none"/>
        </w:rPr>
        <w:t>（3）施工过程采用低噪声施工机械作业，加强施工人员环保教育，禁止捕捞鱼类等水生动物。</w:t>
      </w:r>
    </w:p>
    <w:p w14:paraId="42CF4592">
      <w:pPr>
        <w:pageBreakBefore w:val="0"/>
        <w:wordWrap/>
        <w:topLinePunct w:val="0"/>
        <w:bidi w:val="0"/>
        <w:snapToGrid/>
        <w:spacing w:line="360" w:lineRule="auto"/>
        <w:rPr>
          <w:color w:val="000000" w:themeColor="text1"/>
          <w:highlight w:val="none"/>
        </w:rPr>
      </w:pPr>
      <w:r>
        <w:rPr>
          <w:color w:val="000000" w:themeColor="text1"/>
          <w:highlight w:val="none"/>
        </w:rPr>
        <w:t>（4）桥涵施工泥浆、钻渣严禁未经处理直接排放，泥浆废水经泥浆分离机处理后泥浆重复回用、废水用于降尘</w:t>
      </w:r>
      <w:r>
        <w:rPr>
          <w:rFonts w:hint="eastAsia"/>
          <w:color w:val="000000" w:themeColor="text1"/>
          <w:highlight w:val="none"/>
        </w:rPr>
        <w:t>用水，施工结束后少量剩余废泥浆经干化后作为原施工场地内沉淀池等平整填埋使用。</w:t>
      </w:r>
      <w:r>
        <w:rPr>
          <w:color w:val="000000" w:themeColor="text1"/>
          <w:highlight w:val="none"/>
        </w:rPr>
        <w:t>泥浆采用泥浆沉淀池处理后泥浆回用、废水用于路基场地降尘；清孔钻渣运至泥浆沉淀池沉淀处理，废水作为施工场地及施工道路洒水循环使用，沉淀钻渣</w:t>
      </w:r>
      <w:r>
        <w:rPr>
          <w:color w:val="000000" w:themeColor="text1"/>
          <w:kern w:val="0"/>
          <w:highlight w:val="none"/>
        </w:rPr>
        <w:t>运至</w:t>
      </w:r>
      <w:r>
        <w:rPr>
          <w:rFonts w:hint="eastAsia"/>
          <w:color w:val="000000" w:themeColor="text1"/>
          <w:kern w:val="0"/>
          <w:highlight w:val="none"/>
        </w:rPr>
        <w:t>线路其余施工段</w:t>
      </w:r>
      <w:r>
        <w:rPr>
          <w:color w:val="000000" w:themeColor="text1"/>
          <w:kern w:val="0"/>
          <w:highlight w:val="none"/>
        </w:rPr>
        <w:t>作为填</w:t>
      </w:r>
      <w:r>
        <w:rPr>
          <w:rFonts w:hint="eastAsia"/>
          <w:color w:val="000000" w:themeColor="text1"/>
          <w:kern w:val="0"/>
          <w:highlight w:val="none"/>
        </w:rPr>
        <w:t>方</w:t>
      </w:r>
      <w:r>
        <w:rPr>
          <w:color w:val="000000" w:themeColor="text1"/>
          <w:highlight w:val="none"/>
        </w:rPr>
        <w:t>，严禁弃入河道或河滩地。不会对地表水产生影响。</w:t>
      </w:r>
    </w:p>
    <w:p w14:paraId="5BE6661E">
      <w:pPr>
        <w:pageBreakBefore w:val="0"/>
        <w:wordWrap/>
        <w:topLinePunct w:val="0"/>
        <w:bidi w:val="0"/>
        <w:spacing w:line="360" w:lineRule="auto"/>
        <w:rPr>
          <w:color w:val="000000" w:themeColor="text1"/>
          <w:highlight w:val="none"/>
        </w:rPr>
      </w:pPr>
      <w:r>
        <w:rPr>
          <w:color w:val="000000" w:themeColor="text1"/>
          <w:highlight w:val="none"/>
        </w:rPr>
        <w:t>（5）桥梁下部结构施工时，加强施工管理和工程监理工作，防止发生水上交通安全事故，严格检查施工机械，防止油料发生泄漏污染水体。</w:t>
      </w:r>
    </w:p>
    <w:p w14:paraId="493C6C28">
      <w:pPr>
        <w:pageBreakBefore w:val="0"/>
        <w:wordWrap/>
        <w:topLinePunct w:val="0"/>
        <w:bidi w:val="0"/>
        <w:spacing w:line="360" w:lineRule="auto"/>
        <w:rPr>
          <w:color w:val="000000" w:themeColor="text1"/>
          <w:highlight w:val="none"/>
        </w:rPr>
      </w:pPr>
      <w:r>
        <w:rPr>
          <w:color w:val="000000" w:themeColor="text1"/>
          <w:highlight w:val="none"/>
        </w:rPr>
        <w:t>采取上述措施，本项目施工对地表水影响较小。</w:t>
      </w:r>
    </w:p>
    <w:p w14:paraId="51A57333">
      <w:pPr>
        <w:pStyle w:val="4"/>
        <w:pageBreakBefore w:val="0"/>
        <w:wordWrap/>
        <w:topLinePunct w:val="0"/>
        <w:bidi w:val="0"/>
        <w:spacing w:before="120" w:line="360" w:lineRule="auto"/>
        <w:ind w:left="851" w:hanging="851"/>
        <w:rPr>
          <w:color w:val="000000" w:themeColor="text1"/>
          <w:highlight w:val="none"/>
        </w:rPr>
      </w:pPr>
      <w:bookmarkStart w:id="502" w:name="_Toc106027259"/>
      <w:bookmarkStart w:id="503" w:name="_Toc163893845"/>
      <w:bookmarkStart w:id="504" w:name="_Toc31379"/>
      <w:bookmarkStart w:id="505" w:name="_Toc19218"/>
      <w:r>
        <w:rPr>
          <w:rFonts w:hint="eastAsia"/>
          <w:color w:val="000000" w:themeColor="text1"/>
          <w:highlight w:val="none"/>
        </w:rPr>
        <w:t>7</w:t>
      </w:r>
      <w:r>
        <w:rPr>
          <w:color w:val="000000" w:themeColor="text1"/>
          <w:highlight w:val="none"/>
        </w:rPr>
        <w:t>.4.2营运期</w:t>
      </w:r>
      <w:bookmarkEnd w:id="502"/>
      <w:bookmarkEnd w:id="503"/>
      <w:bookmarkEnd w:id="504"/>
      <w:bookmarkEnd w:id="505"/>
    </w:p>
    <w:p w14:paraId="3C76A363">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面径流污染物浓度特点为降雨初期到形成路面径流的30min内，路面径流中的悬浮物和油类物质的浓度比较高，30min后其浓度随降雨历时的延长下降较快，化学需氧量浓度随降雨历时的延长下降速度较悬浮物和油类物质慢，降雨经过一段时间后，污染会逐渐降低。</w:t>
      </w:r>
    </w:p>
    <w:p w14:paraId="030E8C08">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地面径流中的污染物主要产生在一次降水初期，在路面污染负荷一定的情况下，降雨初期路面径流污染一般随着降雨量的增加而增大，以降雨初期形成的地表径流浓度最高，随降雨径流形成时间延长而逐渐降低，如地面径流散排将对地表水体产生一定不利影响。在运营期中应特别注意保持路面雨水的收集和导排能力，并加强道路路面的清洁工作。本项目道路路面雨水可以排入项目两侧的边沟中，道路径流污染物经过稀释、自净的过程作用后会降低，排入道路两侧的排水沟中。</w:t>
      </w:r>
    </w:p>
    <w:p w14:paraId="56770C11">
      <w:pPr>
        <w:pStyle w:val="3"/>
        <w:pageBreakBefore w:val="0"/>
        <w:wordWrap/>
        <w:topLinePunct w:val="0"/>
        <w:bidi w:val="0"/>
        <w:spacing w:line="360" w:lineRule="auto"/>
        <w:rPr>
          <w:color w:val="000000" w:themeColor="text1"/>
          <w:highlight w:val="none"/>
        </w:rPr>
      </w:pPr>
      <w:bookmarkStart w:id="506" w:name="_Toc4290"/>
      <w:bookmarkStart w:id="507" w:name="_Toc10998"/>
      <w:r>
        <w:rPr>
          <w:rFonts w:hint="eastAsia"/>
          <w:color w:val="000000" w:themeColor="text1"/>
          <w:highlight w:val="none"/>
        </w:rPr>
        <w:t>7</w:t>
      </w:r>
      <w:r>
        <w:rPr>
          <w:color w:val="000000" w:themeColor="text1"/>
          <w:highlight w:val="none"/>
        </w:rPr>
        <w:t>.5固</w:t>
      </w:r>
      <w:bookmarkEnd w:id="497"/>
      <w:bookmarkEnd w:id="498"/>
      <w:bookmarkEnd w:id="499"/>
      <w:r>
        <w:rPr>
          <w:color w:val="000000" w:themeColor="text1"/>
          <w:highlight w:val="none"/>
        </w:rPr>
        <w:t>体废物</w:t>
      </w:r>
      <w:bookmarkEnd w:id="506"/>
      <w:bookmarkEnd w:id="507"/>
    </w:p>
    <w:p w14:paraId="6F11A062">
      <w:pPr>
        <w:pStyle w:val="4"/>
        <w:pageBreakBefore w:val="0"/>
        <w:wordWrap/>
        <w:topLinePunct w:val="0"/>
        <w:bidi w:val="0"/>
        <w:spacing w:beforeLines="0" w:line="360" w:lineRule="auto"/>
        <w:rPr>
          <w:color w:val="000000" w:themeColor="text1"/>
          <w:highlight w:val="none"/>
        </w:rPr>
      </w:pPr>
      <w:bookmarkStart w:id="508" w:name="_Toc6599"/>
      <w:bookmarkStart w:id="509" w:name="_Toc16899"/>
      <w:r>
        <w:rPr>
          <w:rFonts w:hint="eastAsia"/>
          <w:color w:val="000000" w:themeColor="text1"/>
          <w:highlight w:val="none"/>
        </w:rPr>
        <w:t>7</w:t>
      </w:r>
      <w:r>
        <w:rPr>
          <w:color w:val="000000" w:themeColor="text1"/>
          <w:highlight w:val="none"/>
        </w:rPr>
        <w:t>.5.1施工期</w:t>
      </w:r>
      <w:bookmarkEnd w:id="508"/>
      <w:bookmarkEnd w:id="509"/>
    </w:p>
    <w:p w14:paraId="3870C63D">
      <w:pPr>
        <w:pStyle w:val="5"/>
        <w:pageBreakBefore w:val="0"/>
        <w:wordWrap/>
        <w:topLinePunct w:val="0"/>
        <w:bidi w:val="0"/>
        <w:spacing w:beforeLines="0" w:line="360" w:lineRule="auto"/>
        <w:rPr>
          <w:color w:val="000000" w:themeColor="text1"/>
          <w:highlight w:val="none"/>
        </w:rPr>
      </w:pPr>
      <w:r>
        <w:rPr>
          <w:rFonts w:hint="eastAsia"/>
          <w:color w:val="000000" w:themeColor="text1"/>
          <w:highlight w:val="none"/>
        </w:rPr>
        <w:t>7</w:t>
      </w:r>
      <w:r>
        <w:rPr>
          <w:color w:val="000000" w:themeColor="text1"/>
          <w:highlight w:val="none"/>
        </w:rPr>
        <w:t>.5.1.1生活垃圾</w:t>
      </w:r>
    </w:p>
    <w:p w14:paraId="3DB43A9C">
      <w:pPr>
        <w:pageBreakBefore w:val="0"/>
        <w:wordWrap/>
        <w:topLinePunct w:val="0"/>
        <w:bidi w:val="0"/>
        <w:spacing w:line="360" w:lineRule="auto"/>
        <w:rPr>
          <w:color w:val="000000" w:themeColor="text1"/>
          <w:highlight w:val="none"/>
        </w:rPr>
      </w:pPr>
      <w:r>
        <w:rPr>
          <w:color w:val="000000" w:themeColor="text1"/>
          <w:highlight w:val="none"/>
        </w:rPr>
        <w:t>本项目施工生活垃圾产生量为</w:t>
      </w:r>
      <w:r>
        <w:rPr>
          <w:rFonts w:hint="eastAsia"/>
          <w:color w:val="000000" w:themeColor="text1"/>
          <w:highlight w:val="none"/>
          <w:lang w:val="en-US" w:eastAsia="zh-CN"/>
        </w:rPr>
        <w:t>50</w:t>
      </w:r>
      <w:r>
        <w:rPr>
          <w:color w:val="000000" w:themeColor="text1"/>
          <w:highlight w:val="none"/>
        </w:rPr>
        <w:t>kg/d、</w:t>
      </w:r>
      <w:r>
        <w:rPr>
          <w:rFonts w:hint="eastAsia"/>
          <w:color w:val="000000" w:themeColor="text1"/>
          <w:highlight w:val="none"/>
          <w:lang w:val="en-US" w:eastAsia="zh-CN"/>
        </w:rPr>
        <w:t>18</w:t>
      </w:r>
      <w:r>
        <w:rPr>
          <w:color w:val="000000" w:themeColor="text1"/>
          <w:highlight w:val="none"/>
        </w:rPr>
        <w:t>t/施工期，集中收集后，运至市政指定地点由市政统一处理，严禁随意丢弃。</w:t>
      </w:r>
    </w:p>
    <w:p w14:paraId="050FD61A">
      <w:pPr>
        <w:pStyle w:val="5"/>
        <w:pageBreakBefore w:val="0"/>
        <w:wordWrap/>
        <w:topLinePunct w:val="0"/>
        <w:bidi w:val="0"/>
        <w:spacing w:beforeLines="0" w:line="360" w:lineRule="auto"/>
        <w:rPr>
          <w:color w:val="000000" w:themeColor="text1"/>
          <w:highlight w:val="none"/>
        </w:rPr>
      </w:pPr>
      <w:r>
        <w:rPr>
          <w:rFonts w:hint="eastAsia"/>
          <w:color w:val="000000" w:themeColor="text1"/>
          <w:highlight w:val="none"/>
        </w:rPr>
        <w:t>7</w:t>
      </w:r>
      <w:r>
        <w:rPr>
          <w:color w:val="000000" w:themeColor="text1"/>
          <w:highlight w:val="none"/>
        </w:rPr>
        <w:t>.5.1.2施工弃渣</w:t>
      </w:r>
    </w:p>
    <w:p w14:paraId="05C03FB9">
      <w:pPr>
        <w:pageBreakBefore w:val="0"/>
        <w:wordWrap/>
        <w:topLinePunct w:val="0"/>
        <w:bidi w:val="0"/>
        <w:spacing w:line="360" w:lineRule="auto"/>
        <w:rPr>
          <w:rFonts w:hint="eastAsia"/>
          <w:color w:val="000000" w:themeColor="text1"/>
          <w:highlight w:val="none"/>
          <w:lang w:eastAsia="zh-CN"/>
        </w:rPr>
      </w:pPr>
      <w:r>
        <w:rPr>
          <w:rFonts w:hint="eastAsia"/>
          <w:color w:val="000000" w:themeColor="text1"/>
          <w:sz w:val="24"/>
          <w:szCs w:val="24"/>
          <w:highlight w:val="none"/>
          <w:lang w:val="en-US" w:eastAsia="zh-CN"/>
        </w:rPr>
        <w:t>本项目表土余方3.31万m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全部运至志成村弃渣场，用于对弃渣场内废弃坑塘进行填筑、平整，弃渣场协议见附件9。</w:t>
      </w:r>
      <w:r>
        <w:rPr>
          <w:color w:val="000000" w:themeColor="text1"/>
          <w:highlight w:val="none"/>
        </w:rPr>
        <w:t>工程</w:t>
      </w:r>
      <w:r>
        <w:rPr>
          <w:rFonts w:hint="eastAsia"/>
          <w:color w:val="000000" w:themeColor="text1"/>
          <w:highlight w:val="none"/>
        </w:rPr>
        <w:t>土石方</w:t>
      </w:r>
      <w:r>
        <w:rPr>
          <w:color w:val="000000" w:themeColor="text1"/>
          <w:highlight w:val="none"/>
        </w:rPr>
        <w:t>临时堆置过程主要影响是水土流失，并影响周围景观。</w:t>
      </w:r>
    </w:p>
    <w:p w14:paraId="7B30BFB8">
      <w:pPr>
        <w:pStyle w:val="5"/>
        <w:pageBreakBefore w:val="0"/>
        <w:wordWrap/>
        <w:topLinePunct w:val="0"/>
        <w:bidi w:val="0"/>
        <w:spacing w:beforeLines="0" w:line="360" w:lineRule="auto"/>
        <w:rPr>
          <w:rFonts w:hint="default" w:eastAsia="宋体"/>
          <w:color w:val="000000" w:themeColor="text1"/>
          <w:highlight w:val="none"/>
          <w:lang w:val="en-US" w:eastAsia="zh-CN"/>
        </w:rPr>
      </w:pPr>
      <w:r>
        <w:rPr>
          <w:rFonts w:hint="eastAsia"/>
          <w:color w:val="000000" w:themeColor="text1"/>
          <w:highlight w:val="none"/>
        </w:rPr>
        <w:t>7</w:t>
      </w:r>
      <w:r>
        <w:rPr>
          <w:color w:val="000000" w:themeColor="text1"/>
          <w:highlight w:val="none"/>
        </w:rPr>
        <w:t>.5.1.</w:t>
      </w:r>
      <w:r>
        <w:rPr>
          <w:rFonts w:hint="eastAsia"/>
          <w:color w:val="000000" w:themeColor="text1"/>
          <w:highlight w:val="none"/>
          <w:lang w:val="en-US" w:eastAsia="zh-CN"/>
        </w:rPr>
        <w:t>3建筑垃圾</w:t>
      </w:r>
    </w:p>
    <w:p w14:paraId="4D71733E">
      <w:pPr>
        <w:pageBreakBefore w:val="0"/>
        <w:wordWrap/>
        <w:topLinePunct w:val="0"/>
        <w:bidi w:val="0"/>
        <w:spacing w:line="360" w:lineRule="auto"/>
        <w:rPr>
          <w:color w:val="000000" w:themeColor="text1"/>
          <w:highlight w:val="none"/>
        </w:rPr>
      </w:pPr>
      <w:r>
        <w:rPr>
          <w:rFonts w:hint="eastAsia"/>
          <w:color w:val="000000" w:themeColor="text1"/>
          <w:highlight w:val="none"/>
        </w:rPr>
        <w:t>工程施工垃圾主要包括</w:t>
      </w:r>
      <w:r>
        <w:rPr>
          <w:rFonts w:hint="eastAsia"/>
          <w:color w:val="000000" w:themeColor="text1"/>
          <w:highlight w:val="none"/>
          <w:lang w:val="en-US" w:eastAsia="zh-CN"/>
        </w:rPr>
        <w:t>施工建筑材料废包装以及</w:t>
      </w:r>
      <w:r>
        <w:rPr>
          <w:rFonts w:hint="eastAsia"/>
          <w:color w:val="000000" w:themeColor="text1"/>
          <w:highlight w:val="none"/>
        </w:rPr>
        <w:t>施工结束后临时设施拆除会产生一定数量的建筑垃圾</w:t>
      </w:r>
      <w:r>
        <w:rPr>
          <w:rFonts w:hint="eastAsia"/>
          <w:color w:val="000000" w:themeColor="text1"/>
          <w:highlight w:val="none"/>
          <w:lang w:eastAsia="zh-CN"/>
        </w:rPr>
        <w:t>。</w:t>
      </w:r>
      <w:r>
        <w:rPr>
          <w:rFonts w:hint="eastAsia"/>
          <w:color w:val="000000" w:themeColor="text1"/>
          <w:highlight w:val="none"/>
          <w:lang w:val="en-US" w:eastAsia="zh-CN"/>
        </w:rPr>
        <w:t>建筑材料废包装可卖给废品回收公司再利用</w:t>
      </w:r>
      <w:r>
        <w:rPr>
          <w:rFonts w:hint="eastAsia"/>
          <w:color w:val="000000" w:themeColor="text1"/>
          <w:highlight w:val="none"/>
        </w:rPr>
        <w:t>。施工结束后临时工程拆除产生的建筑垃圾可进行分类处理，水泥、石块等建筑垃圾可运往建筑垃圾处置场，经处理后进行综合利用。</w:t>
      </w:r>
    </w:p>
    <w:p w14:paraId="6732EA6C">
      <w:pPr>
        <w:pStyle w:val="5"/>
        <w:pageBreakBefore w:val="0"/>
        <w:wordWrap/>
        <w:topLinePunct w:val="0"/>
        <w:bidi w:val="0"/>
        <w:spacing w:beforeLines="0" w:line="360" w:lineRule="auto"/>
        <w:rPr>
          <w:rFonts w:hint="default" w:eastAsia="宋体"/>
          <w:color w:val="000000" w:themeColor="text1"/>
          <w:highlight w:val="none"/>
          <w:lang w:val="en-US" w:eastAsia="zh-CN"/>
        </w:rPr>
      </w:pPr>
      <w:r>
        <w:rPr>
          <w:rFonts w:hint="eastAsia"/>
          <w:color w:val="000000" w:themeColor="text1"/>
          <w:highlight w:val="none"/>
        </w:rPr>
        <w:t>7</w:t>
      </w:r>
      <w:r>
        <w:rPr>
          <w:color w:val="000000" w:themeColor="text1"/>
          <w:highlight w:val="none"/>
        </w:rPr>
        <w:t>.5.1.</w:t>
      </w:r>
      <w:r>
        <w:rPr>
          <w:rFonts w:hint="eastAsia"/>
          <w:color w:val="000000" w:themeColor="text1"/>
          <w:highlight w:val="none"/>
          <w:lang w:val="en-US" w:eastAsia="zh-CN"/>
        </w:rPr>
        <w:t>4废泥浆</w:t>
      </w:r>
    </w:p>
    <w:p w14:paraId="3970AEC8">
      <w:pPr>
        <w:pageBreakBefore w:val="0"/>
        <w:wordWrap/>
        <w:topLinePunct w:val="0"/>
        <w:bidi w:val="0"/>
        <w:spacing w:line="360" w:lineRule="auto"/>
        <w:rPr>
          <w:color w:val="000000" w:themeColor="text1"/>
          <w:highlight w:val="none"/>
        </w:rPr>
      </w:pPr>
      <w:r>
        <w:rPr>
          <w:rFonts w:hint="eastAsia"/>
          <w:color w:val="000000" w:themeColor="text1"/>
          <w:highlight w:val="none"/>
        </w:rPr>
        <w:t>桥梁施工过程中</w:t>
      </w:r>
      <w:r>
        <w:rPr>
          <w:color w:val="000000" w:themeColor="text1"/>
          <w:highlight w:val="none"/>
        </w:rPr>
        <w:t>泥浆废水经泥浆分离机处理后泥浆重复回用、废水用于降尘</w:t>
      </w:r>
      <w:r>
        <w:rPr>
          <w:rFonts w:hint="eastAsia"/>
          <w:color w:val="000000" w:themeColor="text1"/>
          <w:highlight w:val="none"/>
        </w:rPr>
        <w:t>用水，施工结束后少量剩余废泥浆经干化后作为原施工场地内沉淀池等平整填埋使用。</w:t>
      </w:r>
    </w:p>
    <w:p w14:paraId="0C0455FE">
      <w:pPr>
        <w:pageBreakBefore w:val="0"/>
        <w:wordWrap/>
        <w:topLinePunct w:val="0"/>
        <w:bidi w:val="0"/>
        <w:spacing w:line="360" w:lineRule="auto"/>
        <w:rPr>
          <w:color w:val="000000" w:themeColor="text1"/>
          <w:highlight w:val="none"/>
        </w:rPr>
      </w:pPr>
      <w:r>
        <w:rPr>
          <w:color w:val="000000" w:themeColor="text1"/>
          <w:highlight w:val="none"/>
        </w:rPr>
        <w:t>施工期固体废物在采取措施后，得到合理处置，对周围环境影响较小。</w:t>
      </w:r>
    </w:p>
    <w:p w14:paraId="50490A3B">
      <w:pPr>
        <w:pStyle w:val="5"/>
        <w:pageBreakBefore w:val="0"/>
        <w:wordWrap/>
        <w:topLinePunct w:val="0"/>
        <w:bidi w:val="0"/>
        <w:spacing w:before="120" w:line="360" w:lineRule="auto"/>
        <w:rPr>
          <w:rFonts w:hint="eastAsia" w:ascii="Times New Roman" w:hAnsi="Times New Roman" w:eastAsia="宋体" w:cs="Times New Roman"/>
          <w:color w:val="000000" w:themeColor="text1"/>
          <w:highlight w:val="none"/>
          <w:lang w:val="en-US" w:eastAsia="zh-CN"/>
        </w:rPr>
      </w:pPr>
      <w:r>
        <w:rPr>
          <w:rFonts w:hint="eastAsia"/>
          <w:color w:val="000000" w:themeColor="text1"/>
          <w:highlight w:val="none"/>
        </w:rPr>
        <w:t>7</w:t>
      </w:r>
      <w:r>
        <w:rPr>
          <w:color w:val="000000" w:themeColor="text1"/>
          <w:highlight w:val="none"/>
        </w:rPr>
        <w:t>.5.1.</w:t>
      </w:r>
      <w:r>
        <w:rPr>
          <w:rFonts w:hint="eastAsia"/>
          <w:color w:val="000000" w:themeColor="text1"/>
          <w:highlight w:val="none"/>
          <w:lang w:val="en-US" w:eastAsia="zh-CN"/>
        </w:rPr>
        <w:t>4</w:t>
      </w:r>
      <w:r>
        <w:rPr>
          <w:rFonts w:hint="eastAsia" w:ascii="Times New Roman" w:hAnsi="Times New Roman" w:eastAsia="宋体" w:cs="Times New Roman"/>
          <w:color w:val="000000" w:themeColor="text1"/>
          <w:highlight w:val="none"/>
          <w:lang w:val="en-US" w:eastAsia="zh-CN"/>
        </w:rPr>
        <w:t>废油类物质</w:t>
      </w:r>
    </w:p>
    <w:p w14:paraId="3397C928">
      <w:pPr>
        <w:pageBreakBefore w:val="0"/>
        <w:wordWrap/>
        <w:topLinePunct w:val="0"/>
        <w:bidi w:val="0"/>
        <w:spacing w:line="360" w:lineRule="auto"/>
        <w:rPr>
          <w:color w:val="000000" w:themeColor="text1"/>
          <w:highlight w:val="none"/>
        </w:rPr>
      </w:pPr>
      <w:r>
        <w:rPr>
          <w:rFonts w:hint="eastAsia"/>
          <w:color w:val="000000" w:themeColor="text1"/>
          <w:highlight w:val="none"/>
        </w:rPr>
        <w:t>废油类物质由隔油沉淀池隔离后，不设置单独贮存区，直接委托有相应处理资质的单位处置。</w:t>
      </w:r>
    </w:p>
    <w:p w14:paraId="4AC0D969">
      <w:pPr>
        <w:pageBreakBefore w:val="0"/>
        <w:wordWrap/>
        <w:topLinePunct w:val="0"/>
        <w:bidi w:val="0"/>
        <w:spacing w:line="360" w:lineRule="auto"/>
        <w:rPr>
          <w:color w:val="000000" w:themeColor="text1"/>
          <w:highlight w:val="none"/>
        </w:rPr>
      </w:pPr>
      <w:r>
        <w:rPr>
          <w:color w:val="000000" w:themeColor="text1"/>
          <w:highlight w:val="none"/>
        </w:rPr>
        <w:t>施工期固体废物在采取措施后，得到合理处置，对周围环境影响较小。</w:t>
      </w:r>
    </w:p>
    <w:p w14:paraId="1235FE75">
      <w:pPr>
        <w:pStyle w:val="4"/>
        <w:pageBreakBefore w:val="0"/>
        <w:wordWrap/>
        <w:topLinePunct w:val="0"/>
        <w:bidi w:val="0"/>
        <w:spacing w:beforeLines="0" w:line="360" w:lineRule="auto"/>
        <w:ind w:left="851" w:hanging="851"/>
        <w:rPr>
          <w:color w:val="000000" w:themeColor="text1"/>
          <w:highlight w:val="none"/>
        </w:rPr>
      </w:pPr>
      <w:bookmarkStart w:id="510" w:name="_Toc16242"/>
      <w:bookmarkStart w:id="511" w:name="_Toc7959"/>
      <w:r>
        <w:rPr>
          <w:rFonts w:hint="eastAsia"/>
          <w:color w:val="000000" w:themeColor="text1"/>
          <w:highlight w:val="none"/>
        </w:rPr>
        <w:t>7</w:t>
      </w:r>
      <w:r>
        <w:rPr>
          <w:color w:val="000000" w:themeColor="text1"/>
          <w:highlight w:val="none"/>
        </w:rPr>
        <w:t>.5.2运营期</w:t>
      </w:r>
      <w:bookmarkEnd w:id="510"/>
      <w:bookmarkEnd w:id="511"/>
    </w:p>
    <w:p w14:paraId="115E9B23">
      <w:pPr>
        <w:pageBreakBefore w:val="0"/>
        <w:wordWrap/>
        <w:topLinePunct w:val="0"/>
        <w:bidi w:val="0"/>
        <w:spacing w:line="360" w:lineRule="auto"/>
        <w:rPr>
          <w:rFonts w:hint="eastAsia" w:eastAsia="宋体"/>
          <w:color w:val="000000" w:themeColor="text1"/>
          <w:highlight w:val="none"/>
          <w:lang w:eastAsia="zh-CN"/>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rFonts w:hint="eastAsia"/>
          <w:color w:val="000000" w:themeColor="text1"/>
          <w:highlight w:val="none"/>
        </w:rPr>
        <w:t>加强人员巡查，如发现有来往车辆乱扔生活垃圾应及时劝阻</w:t>
      </w:r>
      <w:r>
        <w:rPr>
          <w:rFonts w:hint="eastAsia"/>
          <w:color w:val="000000" w:themeColor="text1"/>
          <w:highlight w:val="none"/>
          <w:lang w:eastAsia="zh-CN"/>
        </w:rPr>
        <w:t>。</w:t>
      </w:r>
    </w:p>
    <w:p w14:paraId="6C93191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2</w:t>
      </w:r>
      <w:r>
        <w:rPr>
          <w:rFonts w:hint="eastAsia"/>
          <w:color w:val="000000" w:themeColor="text1"/>
          <w:highlight w:val="none"/>
          <w:lang w:eastAsia="zh-CN"/>
        </w:rPr>
        <w:t>）</w:t>
      </w:r>
      <w:r>
        <w:rPr>
          <w:rFonts w:hint="eastAsia"/>
          <w:color w:val="000000" w:themeColor="text1"/>
          <w:highlight w:val="none"/>
        </w:rPr>
        <w:t>加强公路管理，若发现有生活垃圾应及时清理。</w:t>
      </w:r>
    </w:p>
    <w:p w14:paraId="008E2D08">
      <w:pPr>
        <w:pStyle w:val="3"/>
        <w:pageBreakBefore w:val="0"/>
        <w:wordWrap/>
        <w:topLinePunct w:val="0"/>
        <w:bidi w:val="0"/>
        <w:spacing w:line="360" w:lineRule="auto"/>
        <w:ind w:left="576" w:hanging="576"/>
        <w:rPr>
          <w:color w:val="000000" w:themeColor="text1"/>
          <w:highlight w:val="none"/>
        </w:rPr>
      </w:pPr>
      <w:bookmarkStart w:id="512" w:name="_Toc32710"/>
      <w:r>
        <w:rPr>
          <w:color w:val="000000" w:themeColor="text1"/>
          <w:highlight w:val="none"/>
        </w:rPr>
        <w:t>7.</w:t>
      </w:r>
      <w:r>
        <w:rPr>
          <w:rFonts w:hint="eastAsia"/>
          <w:color w:val="000000" w:themeColor="text1"/>
          <w:highlight w:val="none"/>
          <w:lang w:val="en-US" w:eastAsia="zh-CN"/>
        </w:rPr>
        <w:t>6</w:t>
      </w:r>
      <w:r>
        <w:rPr>
          <w:rFonts w:hint="eastAsia"/>
          <w:color w:val="000000" w:themeColor="text1"/>
          <w:highlight w:val="none"/>
        </w:rPr>
        <w:t>水土流失防治方案</w:t>
      </w:r>
      <w:bookmarkEnd w:id="512"/>
    </w:p>
    <w:p w14:paraId="3D73CDC2">
      <w:pPr>
        <w:pStyle w:val="101"/>
        <w:pageBreakBefore w:val="0"/>
        <w:wordWrap/>
        <w:topLinePunct w:val="0"/>
        <w:bidi w:val="0"/>
        <w:spacing w:beforeLines="0" w:after="0" w:line="360" w:lineRule="auto"/>
        <w:ind w:left="851" w:hanging="851"/>
        <w:rPr>
          <w:color w:val="000000" w:themeColor="text1"/>
          <w:highlight w:val="none"/>
        </w:rPr>
      </w:pPr>
      <w:r>
        <w:rPr>
          <w:color w:val="000000" w:themeColor="text1"/>
          <w:highlight w:val="none"/>
        </w:rPr>
        <w:t>7.6.1</w:t>
      </w:r>
      <w:r>
        <w:rPr>
          <w:rFonts w:hint="eastAsia"/>
          <w:color w:val="000000" w:themeColor="text1"/>
          <w:highlight w:val="none"/>
        </w:rPr>
        <w:t>方案编制原则</w:t>
      </w:r>
    </w:p>
    <w:p w14:paraId="140875E0">
      <w:pPr>
        <w:pageBreakBefore w:val="0"/>
        <w:widowControl/>
        <w:wordWrap/>
        <w:topLinePunct w:val="0"/>
        <w:bidi w:val="0"/>
        <w:spacing w:line="360" w:lineRule="auto"/>
        <w:rPr>
          <w:color w:val="000000" w:themeColor="text1"/>
          <w:kern w:val="0"/>
          <w:highlight w:val="none"/>
        </w:rPr>
      </w:pPr>
      <w:r>
        <w:rPr>
          <w:rFonts w:hint="eastAsia"/>
          <w:color w:val="000000" w:themeColor="text1"/>
          <w:highlight w:val="none"/>
          <w:lang w:eastAsia="zh-CN"/>
        </w:rPr>
        <w:t>（</w:t>
      </w:r>
      <w:r>
        <w:rPr>
          <w:rFonts w:hint="eastAsia"/>
          <w:color w:val="000000" w:themeColor="text1"/>
          <w:highlight w:val="none"/>
          <w:lang w:val="en-US" w:eastAsia="zh-CN"/>
        </w:rPr>
        <w:t>1</w:t>
      </w:r>
      <w:r>
        <w:rPr>
          <w:rFonts w:hint="eastAsia"/>
          <w:color w:val="000000" w:themeColor="text1"/>
          <w:highlight w:val="none"/>
          <w:lang w:eastAsia="zh-CN"/>
        </w:rPr>
        <w:t>）</w:t>
      </w:r>
      <w:r>
        <w:rPr>
          <w:color w:val="000000" w:themeColor="text1"/>
          <w:highlight w:val="none"/>
        </w:rPr>
        <w:t>依据《中华人民共和国水土保持法》、《中华人民共和国水土保持法实施条例》及有关的国家法规、文件规定。坚持以</w:t>
      </w:r>
      <w:r>
        <w:rPr>
          <w:rFonts w:hint="eastAsia"/>
          <w:color w:val="000000" w:themeColor="text1"/>
          <w:highlight w:val="none"/>
          <w:lang w:eastAsia="zh-CN"/>
        </w:rPr>
        <w:t>“</w:t>
      </w:r>
      <w:r>
        <w:rPr>
          <w:color w:val="000000" w:themeColor="text1"/>
          <w:highlight w:val="none"/>
        </w:rPr>
        <w:t>预防为主、全面规划、因地制宜、加强管理、注重效益</w:t>
      </w:r>
      <w:r>
        <w:rPr>
          <w:rFonts w:hint="eastAsia"/>
          <w:color w:val="000000" w:themeColor="text1"/>
          <w:highlight w:val="none"/>
          <w:lang w:eastAsia="zh-CN"/>
        </w:rPr>
        <w:t>”</w:t>
      </w:r>
      <w:r>
        <w:rPr>
          <w:color w:val="000000" w:themeColor="text1"/>
          <w:highlight w:val="none"/>
        </w:rPr>
        <w:t>的方针，并在调查研究的基础上，提出防治水土流失的对策和具体措施，核定工程量，安排实施进度，做好投资概算</w:t>
      </w:r>
      <w:r>
        <w:rPr>
          <w:color w:val="000000" w:themeColor="text1"/>
          <w:kern w:val="0"/>
          <w:highlight w:val="none"/>
        </w:rPr>
        <w:t>。</w:t>
      </w:r>
    </w:p>
    <w:p w14:paraId="6563145C">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hint="eastAsia" w:ascii="Times New Roman" w:eastAsia="宋体"/>
          <w:color w:val="000000" w:themeColor="text1"/>
          <w:kern w:val="2"/>
          <w:highlight w:val="none"/>
          <w:lang w:eastAsia="zh-CN"/>
        </w:rPr>
        <w:t>（</w:t>
      </w:r>
      <w:r>
        <w:rPr>
          <w:rFonts w:hint="eastAsia" w:ascii="Times New Roman" w:eastAsia="宋体"/>
          <w:color w:val="000000" w:themeColor="text1"/>
          <w:kern w:val="2"/>
          <w:highlight w:val="none"/>
          <w:lang w:val="en-US" w:eastAsia="zh-CN"/>
        </w:rPr>
        <w:t>2</w:t>
      </w:r>
      <w:r>
        <w:rPr>
          <w:rFonts w:hint="eastAsia" w:ascii="Times New Roman" w:eastAsia="宋体"/>
          <w:color w:val="000000" w:themeColor="text1"/>
          <w:kern w:val="2"/>
          <w:highlight w:val="none"/>
          <w:lang w:eastAsia="zh-CN"/>
        </w:rPr>
        <w:t>）</w:t>
      </w:r>
      <w:r>
        <w:rPr>
          <w:rFonts w:ascii="Times New Roman" w:eastAsia="宋体"/>
          <w:color w:val="000000" w:themeColor="text1"/>
          <w:kern w:val="2"/>
          <w:highlight w:val="none"/>
        </w:rPr>
        <w:t xml:space="preserve">根据工程造成水土流失的不同情况，结合工程施工区的具体生态环境情况开展水土保持方案设计，做到植物措施与工程措施相结合，合理配置形成有效的防治体系。 </w:t>
      </w:r>
    </w:p>
    <w:p w14:paraId="1B80ADC4">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hint="eastAsia" w:ascii="Times New Roman" w:eastAsia="宋体"/>
          <w:color w:val="000000" w:themeColor="text1"/>
          <w:kern w:val="2"/>
          <w:highlight w:val="none"/>
          <w:lang w:eastAsia="zh-CN"/>
        </w:rPr>
        <w:t>（</w:t>
      </w:r>
      <w:r>
        <w:rPr>
          <w:rFonts w:hint="eastAsia" w:ascii="Times New Roman" w:eastAsia="宋体"/>
          <w:color w:val="000000" w:themeColor="text1"/>
          <w:kern w:val="2"/>
          <w:highlight w:val="none"/>
          <w:lang w:val="en-US" w:eastAsia="zh-CN"/>
        </w:rPr>
        <w:t>3</w:t>
      </w:r>
      <w:r>
        <w:rPr>
          <w:rFonts w:hint="eastAsia" w:ascii="Times New Roman" w:eastAsia="宋体"/>
          <w:color w:val="000000" w:themeColor="text1"/>
          <w:kern w:val="2"/>
          <w:highlight w:val="none"/>
          <w:lang w:eastAsia="zh-CN"/>
        </w:rPr>
        <w:t>）</w:t>
      </w:r>
      <w:r>
        <w:rPr>
          <w:rFonts w:ascii="Times New Roman" w:eastAsia="宋体"/>
          <w:color w:val="000000" w:themeColor="text1"/>
          <w:kern w:val="2"/>
          <w:highlight w:val="none"/>
        </w:rPr>
        <w:t xml:space="preserve">治理工程建设过程中产生的水土流失，保护和合理利用水土资源，实现生态效益、社会效益、经济效益相统一。 </w:t>
      </w:r>
    </w:p>
    <w:p w14:paraId="48D105FE">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hint="eastAsia" w:ascii="Times New Roman" w:eastAsia="宋体"/>
          <w:color w:val="000000" w:themeColor="text1"/>
          <w:kern w:val="2"/>
          <w:highlight w:val="none"/>
          <w:lang w:eastAsia="zh-CN"/>
        </w:rPr>
        <w:t>（</w:t>
      </w:r>
      <w:r>
        <w:rPr>
          <w:rFonts w:hint="eastAsia" w:ascii="Times New Roman" w:eastAsia="宋体"/>
          <w:color w:val="000000" w:themeColor="text1"/>
          <w:kern w:val="2"/>
          <w:highlight w:val="none"/>
          <w:lang w:val="en-US" w:eastAsia="zh-CN"/>
        </w:rPr>
        <w:t>4</w:t>
      </w:r>
      <w:r>
        <w:rPr>
          <w:rFonts w:hint="eastAsia" w:ascii="Times New Roman" w:eastAsia="宋体"/>
          <w:color w:val="000000" w:themeColor="text1"/>
          <w:kern w:val="2"/>
          <w:highlight w:val="none"/>
          <w:lang w:eastAsia="zh-CN"/>
        </w:rPr>
        <w:t>）</w:t>
      </w:r>
      <w:r>
        <w:rPr>
          <w:rFonts w:ascii="Times New Roman" w:eastAsia="宋体"/>
          <w:color w:val="000000" w:themeColor="text1"/>
          <w:kern w:val="2"/>
          <w:highlight w:val="none"/>
        </w:rPr>
        <w:t xml:space="preserve">减少水源污染，提高水土资源的永续利用。 </w:t>
      </w:r>
    </w:p>
    <w:p w14:paraId="16F79567">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hint="eastAsia" w:ascii="Times New Roman" w:eastAsia="宋体"/>
          <w:color w:val="000000" w:themeColor="text1"/>
          <w:kern w:val="2"/>
          <w:highlight w:val="none"/>
          <w:lang w:eastAsia="zh-CN"/>
        </w:rPr>
        <w:t>（</w:t>
      </w:r>
      <w:r>
        <w:rPr>
          <w:rFonts w:hint="eastAsia" w:ascii="Times New Roman" w:eastAsia="宋体"/>
          <w:color w:val="000000" w:themeColor="text1"/>
          <w:kern w:val="2"/>
          <w:highlight w:val="none"/>
          <w:lang w:val="en-US" w:eastAsia="zh-CN"/>
        </w:rPr>
        <w:t>5</w:t>
      </w:r>
      <w:r>
        <w:rPr>
          <w:rFonts w:hint="eastAsia" w:ascii="Times New Roman" w:eastAsia="宋体"/>
          <w:color w:val="000000" w:themeColor="text1"/>
          <w:kern w:val="2"/>
          <w:highlight w:val="none"/>
          <w:lang w:eastAsia="zh-CN"/>
        </w:rPr>
        <w:t>）</w:t>
      </w:r>
      <w:r>
        <w:rPr>
          <w:rFonts w:ascii="Times New Roman" w:eastAsia="宋体"/>
          <w:color w:val="000000" w:themeColor="text1"/>
          <w:kern w:val="2"/>
          <w:highlight w:val="none"/>
        </w:rPr>
        <w:t>各项水土保持措施的设计应以预防为主，防治为重，从实际出发，因地制宜，因害设防，定性准确，定量合理，使水土保持方案具有针对性和可操作性。</w:t>
      </w:r>
    </w:p>
    <w:p w14:paraId="0386C534">
      <w:pPr>
        <w:pStyle w:val="101"/>
        <w:pageBreakBefore w:val="0"/>
        <w:wordWrap/>
        <w:topLinePunct w:val="0"/>
        <w:bidi w:val="0"/>
        <w:spacing w:beforeLines="0" w:after="0" w:line="360" w:lineRule="auto"/>
        <w:ind w:left="851" w:hanging="851"/>
        <w:rPr>
          <w:color w:val="000000" w:themeColor="text1"/>
          <w:highlight w:val="none"/>
        </w:rPr>
      </w:pPr>
    </w:p>
    <w:p w14:paraId="302D9B25">
      <w:pPr>
        <w:pStyle w:val="101"/>
        <w:pageBreakBefore w:val="0"/>
        <w:wordWrap/>
        <w:topLinePunct w:val="0"/>
        <w:bidi w:val="0"/>
        <w:spacing w:beforeLines="0" w:after="0" w:line="360" w:lineRule="auto"/>
        <w:ind w:left="851" w:hanging="851"/>
        <w:rPr>
          <w:color w:val="000000" w:themeColor="text1"/>
          <w:highlight w:val="none"/>
        </w:rPr>
      </w:pPr>
      <w:r>
        <w:rPr>
          <w:color w:val="000000" w:themeColor="text1"/>
          <w:highlight w:val="none"/>
        </w:rPr>
        <w:t>7.6.2</w:t>
      </w:r>
      <w:r>
        <w:rPr>
          <w:rFonts w:hint="eastAsia"/>
          <w:color w:val="000000" w:themeColor="text1"/>
          <w:highlight w:val="none"/>
        </w:rPr>
        <w:t>水土保持目标</w:t>
      </w:r>
    </w:p>
    <w:p w14:paraId="34ED9EEA">
      <w:pPr>
        <w:pageBreakBefore w:val="0"/>
        <w:wordWrap/>
        <w:topLinePunct w:val="0"/>
        <w:bidi w:val="0"/>
        <w:spacing w:line="360" w:lineRule="auto"/>
        <w:rPr>
          <w:rFonts w:eastAsia="仿宋_GB2312"/>
          <w:color w:val="000000" w:themeColor="text1"/>
          <w:szCs w:val="32"/>
          <w:highlight w:val="none"/>
        </w:rPr>
      </w:pPr>
      <w:r>
        <w:rPr>
          <w:color w:val="000000" w:themeColor="text1"/>
          <w:highlight w:val="none"/>
        </w:rPr>
        <w:t>通过本次水土保持方案设计，在工程区内全面系统地布设水土保持防护措施，预防和治理因项目建设和运行而产生的新的水土流失，最大限度地减少工程施工造成的水土流失，恢复植被、绿化、美化区域环境，使工程区内的水土流失得到有效控制，工程安全得到保障，生态环境明显改善。</w:t>
      </w:r>
    </w:p>
    <w:p w14:paraId="13170B8E">
      <w:pPr>
        <w:pStyle w:val="101"/>
        <w:pageBreakBefore w:val="0"/>
        <w:wordWrap/>
        <w:topLinePunct w:val="0"/>
        <w:bidi w:val="0"/>
        <w:spacing w:beforeLines="0" w:after="0" w:line="360" w:lineRule="auto"/>
        <w:ind w:left="851" w:hanging="851"/>
        <w:rPr>
          <w:color w:val="000000" w:themeColor="text1"/>
          <w:highlight w:val="none"/>
        </w:rPr>
      </w:pPr>
      <w:r>
        <w:rPr>
          <w:color w:val="000000" w:themeColor="text1"/>
          <w:highlight w:val="none"/>
        </w:rPr>
        <w:t>7.6.3</w:t>
      </w:r>
      <w:r>
        <w:rPr>
          <w:rFonts w:hint="eastAsia"/>
          <w:color w:val="000000" w:themeColor="text1"/>
          <w:highlight w:val="none"/>
        </w:rPr>
        <w:t>防治责任范围</w:t>
      </w:r>
    </w:p>
    <w:p w14:paraId="2F2D49C4">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ascii="Times New Roman" w:eastAsia="宋体"/>
          <w:color w:val="000000" w:themeColor="text1"/>
          <w:kern w:val="2"/>
          <w:highlight w:val="none"/>
        </w:rPr>
        <w:t>根据</w:t>
      </w:r>
      <w:r>
        <w:rPr>
          <w:rFonts w:hint="eastAsia" w:ascii="Times New Roman" w:eastAsia="宋体"/>
          <w:color w:val="000000" w:themeColor="text1"/>
          <w:kern w:val="2"/>
          <w:highlight w:val="none"/>
          <w:lang w:eastAsia="zh-CN"/>
        </w:rPr>
        <w:t>“</w:t>
      </w:r>
      <w:r>
        <w:rPr>
          <w:rFonts w:ascii="Times New Roman" w:eastAsia="宋体"/>
          <w:color w:val="000000" w:themeColor="text1"/>
          <w:kern w:val="2"/>
          <w:highlight w:val="none"/>
        </w:rPr>
        <w:t>谁开发谁保护，谁造成水土流失谁负责治理</w:t>
      </w:r>
      <w:r>
        <w:rPr>
          <w:rFonts w:hint="eastAsia" w:ascii="Times New Roman" w:eastAsia="宋体"/>
          <w:color w:val="000000" w:themeColor="text1"/>
          <w:kern w:val="2"/>
          <w:highlight w:val="none"/>
          <w:lang w:eastAsia="zh-CN"/>
        </w:rPr>
        <w:t>”</w:t>
      </w:r>
      <w:r>
        <w:rPr>
          <w:rFonts w:ascii="Times New Roman" w:eastAsia="宋体"/>
          <w:color w:val="000000" w:themeColor="text1"/>
          <w:kern w:val="2"/>
          <w:highlight w:val="none"/>
        </w:rPr>
        <w:t xml:space="preserve">的原则，按照水利部SL205-98《开发建设项目水土保持方案技术规范》的要求，开发建设项目的水土流失防治责任范围包括项目建设区和直接影响区。 </w:t>
      </w:r>
    </w:p>
    <w:p w14:paraId="1E6041F0">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ascii="Times New Roman" w:eastAsia="宋体"/>
          <w:color w:val="000000" w:themeColor="text1"/>
          <w:kern w:val="2"/>
          <w:highlight w:val="none"/>
        </w:rPr>
        <w:t xml:space="preserve">1）项目建设区：指开发建设单位的征地范围、租地范围和土地使用管辖范围。 </w:t>
      </w:r>
    </w:p>
    <w:p w14:paraId="08320767">
      <w:pPr>
        <w:pStyle w:val="42"/>
        <w:pageBreakBefore w:val="0"/>
        <w:wordWrap/>
        <w:topLinePunct w:val="0"/>
        <w:bidi w:val="0"/>
        <w:snapToGrid w:val="0"/>
        <w:spacing w:line="360" w:lineRule="auto"/>
        <w:ind w:firstLine="480" w:firstLineChars="200"/>
        <w:jc w:val="both"/>
        <w:rPr>
          <w:rFonts w:ascii="Times New Roman" w:eastAsia="宋体"/>
          <w:color w:val="000000" w:themeColor="text1"/>
          <w:kern w:val="2"/>
          <w:highlight w:val="none"/>
        </w:rPr>
      </w:pPr>
      <w:r>
        <w:rPr>
          <w:rFonts w:ascii="Times New Roman" w:eastAsia="宋体"/>
          <w:color w:val="000000" w:themeColor="text1"/>
          <w:kern w:val="2"/>
          <w:highlight w:val="none"/>
        </w:rPr>
        <w:t>2）直接影响区：指项目建设区以外由于开发建设活动而造成的水土流失及其直接危害的范围</w:t>
      </w:r>
      <w:r>
        <w:rPr>
          <w:rFonts w:hint="eastAsia" w:ascii="Times New Roman" w:eastAsia="宋体"/>
          <w:color w:val="000000" w:themeColor="text1"/>
          <w:kern w:val="2"/>
          <w:highlight w:val="none"/>
        </w:rPr>
        <w:t>。</w:t>
      </w:r>
    </w:p>
    <w:p w14:paraId="6AC29126">
      <w:pPr>
        <w:pStyle w:val="101"/>
        <w:pageBreakBefore w:val="0"/>
        <w:wordWrap/>
        <w:topLinePunct w:val="0"/>
        <w:bidi w:val="0"/>
        <w:spacing w:beforeLines="0" w:after="0" w:line="360" w:lineRule="auto"/>
        <w:ind w:left="851" w:hanging="851"/>
        <w:rPr>
          <w:color w:val="000000" w:themeColor="text1"/>
          <w:highlight w:val="none"/>
        </w:rPr>
      </w:pPr>
      <w:r>
        <w:rPr>
          <w:color w:val="000000" w:themeColor="text1"/>
          <w:highlight w:val="none"/>
        </w:rPr>
        <w:t>7.6.4</w:t>
      </w:r>
      <w:r>
        <w:rPr>
          <w:rFonts w:hint="eastAsia"/>
          <w:color w:val="000000" w:themeColor="text1"/>
          <w:highlight w:val="none"/>
        </w:rPr>
        <w:t>水土保持方案</w:t>
      </w:r>
    </w:p>
    <w:p w14:paraId="541ACA06">
      <w:pPr>
        <w:pStyle w:val="5"/>
        <w:pageBreakBefore w:val="0"/>
        <w:wordWrap/>
        <w:topLinePunct w:val="0"/>
        <w:bidi w:val="0"/>
        <w:spacing w:beforeLines="0" w:line="360" w:lineRule="auto"/>
        <w:rPr>
          <w:color w:val="000000" w:themeColor="text1"/>
          <w:highlight w:val="none"/>
        </w:rPr>
      </w:pPr>
      <w:r>
        <w:rPr>
          <w:rFonts w:hint="eastAsia"/>
          <w:color w:val="000000" w:themeColor="text1"/>
          <w:highlight w:val="none"/>
        </w:rPr>
        <w:t>7</w:t>
      </w:r>
      <w:r>
        <w:rPr>
          <w:color w:val="000000" w:themeColor="text1"/>
          <w:highlight w:val="none"/>
        </w:rPr>
        <w:t>.6.4.1</w:t>
      </w:r>
      <w:r>
        <w:rPr>
          <w:rFonts w:hint="eastAsia"/>
          <w:color w:val="000000" w:themeColor="text1"/>
          <w:highlight w:val="none"/>
        </w:rPr>
        <w:t>水土流失防治分区</w:t>
      </w:r>
    </w:p>
    <w:p w14:paraId="0D18C0BA">
      <w:pPr>
        <w:pageBreakBefore w:val="0"/>
        <w:wordWrap/>
        <w:topLinePunct w:val="0"/>
        <w:bidi w:val="0"/>
        <w:spacing w:line="360" w:lineRule="auto"/>
        <w:rPr>
          <w:color w:val="000000" w:themeColor="text1"/>
          <w:highlight w:val="none"/>
        </w:rPr>
      </w:pPr>
      <w:r>
        <w:rPr>
          <w:color w:val="000000" w:themeColor="text1"/>
          <w:highlight w:val="none"/>
        </w:rPr>
        <w:t xml:space="preserve">根据项目主体工程特点和建设活动对地表扰动等状况，水土流失防治分区划分如下： </w:t>
      </w:r>
    </w:p>
    <w:p w14:paraId="0A99CD25">
      <w:pPr>
        <w:pageBreakBefore w:val="0"/>
        <w:numPr>
          <w:ilvl w:val="0"/>
          <w:numId w:val="0"/>
        </w:numPr>
        <w:wordWrap/>
        <w:topLinePunct w:val="0"/>
        <w:bidi w:val="0"/>
        <w:spacing w:line="360" w:lineRule="auto"/>
        <w:ind w:left="480" w:leftChars="0"/>
        <w:rPr>
          <w:color w:val="000000" w:themeColor="text1"/>
          <w:highlight w:val="none"/>
        </w:rPr>
      </w:pPr>
      <w:r>
        <w:rPr>
          <w:rFonts w:hint="eastAsia" w:ascii="宋体" w:hAnsi="宋体" w:eastAsia="宋体" w:cs="宋体"/>
          <w:color w:val="000000" w:themeColor="text1"/>
          <w:highlight w:val="none"/>
        </w:rPr>
        <w:t>①</w:t>
      </w:r>
      <w:r>
        <w:rPr>
          <w:color w:val="000000" w:themeColor="text1"/>
          <w:highlight w:val="none"/>
        </w:rPr>
        <w:t xml:space="preserve">项目建设区 </w:t>
      </w:r>
    </w:p>
    <w:p w14:paraId="3DD81F7C">
      <w:pPr>
        <w:pageBreakBefore w:val="0"/>
        <w:wordWrap/>
        <w:topLinePunct w:val="0"/>
        <w:bidi w:val="0"/>
        <w:spacing w:line="360" w:lineRule="auto"/>
        <w:ind w:firstLineChars="0"/>
        <w:rPr>
          <w:color w:val="000000" w:themeColor="text1"/>
          <w:highlight w:val="none"/>
        </w:rPr>
      </w:pPr>
      <w:r>
        <w:rPr>
          <w:color w:val="000000" w:themeColor="text1"/>
          <w:highlight w:val="none"/>
        </w:rPr>
        <w:t>包括为路基、路面工程区、桥梁涵洞工程区、交叉工程区等。</w:t>
      </w:r>
    </w:p>
    <w:p w14:paraId="332039EB">
      <w:pPr>
        <w:pageBreakBefore w:val="0"/>
        <w:numPr>
          <w:ilvl w:val="0"/>
          <w:numId w:val="0"/>
        </w:numPr>
        <w:wordWrap/>
        <w:topLinePunct w:val="0"/>
        <w:bidi w:val="0"/>
        <w:spacing w:line="360" w:lineRule="auto"/>
        <w:ind w:left="480" w:leftChars="0"/>
        <w:rPr>
          <w:color w:val="000000" w:themeColor="text1"/>
          <w:highlight w:val="none"/>
        </w:rPr>
      </w:pPr>
      <w:r>
        <w:rPr>
          <w:rFonts w:hint="eastAsia" w:ascii="宋体" w:hAnsi="宋体" w:eastAsia="宋体" w:cs="宋体"/>
          <w:color w:val="000000" w:themeColor="text1"/>
          <w:highlight w:val="none"/>
        </w:rPr>
        <w:t>②</w:t>
      </w:r>
      <w:r>
        <w:rPr>
          <w:color w:val="000000" w:themeColor="text1"/>
          <w:highlight w:val="none"/>
        </w:rPr>
        <w:t>项目直接影响区</w:t>
      </w:r>
    </w:p>
    <w:p w14:paraId="06C68E9D">
      <w:pPr>
        <w:pageBreakBefore w:val="0"/>
        <w:wordWrap/>
        <w:topLinePunct w:val="0"/>
        <w:bidi w:val="0"/>
        <w:spacing w:line="360" w:lineRule="auto"/>
        <w:rPr>
          <w:rFonts w:eastAsia="仿宋_GB2312"/>
          <w:color w:val="000000" w:themeColor="text1"/>
          <w:szCs w:val="32"/>
          <w:highlight w:val="none"/>
        </w:rPr>
      </w:pPr>
      <w:r>
        <w:rPr>
          <w:color w:val="000000" w:themeColor="text1"/>
          <w:highlight w:val="none"/>
        </w:rPr>
        <w:t>包括</w:t>
      </w:r>
      <w:r>
        <w:rPr>
          <w:rFonts w:hint="eastAsia"/>
          <w:color w:val="000000" w:themeColor="text1"/>
          <w:highlight w:val="none"/>
          <w:lang w:val="en-US" w:eastAsia="zh-CN"/>
        </w:rPr>
        <w:t>综合站场</w:t>
      </w:r>
      <w:r>
        <w:rPr>
          <w:color w:val="000000" w:themeColor="text1"/>
          <w:highlight w:val="none"/>
        </w:rPr>
        <w:t>、</w:t>
      </w:r>
      <w:r>
        <w:rPr>
          <w:rFonts w:hint="eastAsia"/>
          <w:color w:val="000000" w:themeColor="text1"/>
          <w:highlight w:val="none"/>
          <w:lang w:val="en-US" w:eastAsia="zh-CN"/>
        </w:rPr>
        <w:t>桥梁</w:t>
      </w:r>
      <w:r>
        <w:rPr>
          <w:color w:val="000000" w:themeColor="text1"/>
          <w:highlight w:val="none"/>
        </w:rPr>
        <w:t>施工场地、施工道路、公路沿线两侧各200m范围内受施工扬尘污染的区域及</w:t>
      </w:r>
      <w:r>
        <w:rPr>
          <w:rFonts w:hint="eastAsia"/>
          <w:color w:val="000000" w:themeColor="text1"/>
          <w:highlight w:val="none"/>
        </w:rPr>
        <w:t>集中居民区</w:t>
      </w:r>
      <w:r>
        <w:rPr>
          <w:color w:val="000000" w:themeColor="text1"/>
          <w:highlight w:val="none"/>
        </w:rPr>
        <w:t>。</w:t>
      </w:r>
    </w:p>
    <w:p w14:paraId="62040BD9">
      <w:pPr>
        <w:pStyle w:val="5"/>
        <w:pageBreakBefore w:val="0"/>
        <w:wordWrap/>
        <w:topLinePunct w:val="0"/>
        <w:bidi w:val="0"/>
        <w:spacing w:beforeLines="0" w:line="360" w:lineRule="auto"/>
        <w:rPr>
          <w:color w:val="000000" w:themeColor="text1"/>
          <w:highlight w:val="none"/>
        </w:rPr>
      </w:pPr>
      <w:r>
        <w:rPr>
          <w:rFonts w:hint="eastAsia"/>
          <w:color w:val="000000" w:themeColor="text1"/>
          <w:highlight w:val="none"/>
        </w:rPr>
        <w:t>7</w:t>
      </w:r>
      <w:r>
        <w:rPr>
          <w:color w:val="000000" w:themeColor="text1"/>
          <w:highlight w:val="none"/>
        </w:rPr>
        <w:t>.6.4.2</w:t>
      </w:r>
      <w:r>
        <w:rPr>
          <w:rFonts w:hint="eastAsia"/>
          <w:color w:val="000000" w:themeColor="text1"/>
          <w:highlight w:val="none"/>
        </w:rPr>
        <w:t>水土保持措施总体布局</w:t>
      </w:r>
    </w:p>
    <w:p w14:paraId="2AA7451C">
      <w:pPr>
        <w:pageBreakBefore w:val="0"/>
        <w:wordWrap/>
        <w:topLinePunct w:val="0"/>
        <w:bidi w:val="0"/>
        <w:spacing w:line="360" w:lineRule="auto"/>
        <w:rPr>
          <w:color w:val="000000" w:themeColor="text1"/>
          <w:highlight w:val="none"/>
        </w:rPr>
      </w:pPr>
      <w:r>
        <w:rPr>
          <w:color w:val="000000" w:themeColor="text1"/>
          <w:highlight w:val="none"/>
        </w:rPr>
        <w:t>根据本工程特点及水土流失预测结果，水土保持措施应做到重点治理与全面防治相结合，植物措施与工程措施相结合，具体为：</w:t>
      </w:r>
    </w:p>
    <w:p w14:paraId="65DA950A">
      <w:pPr>
        <w:pageBreakBefore w:val="0"/>
        <w:wordWrap/>
        <w:topLinePunct w:val="0"/>
        <w:bidi w:val="0"/>
        <w:spacing w:line="360" w:lineRule="auto"/>
        <w:rPr>
          <w:color w:val="000000" w:themeColor="text1"/>
          <w:highlight w:val="none"/>
        </w:rPr>
      </w:pPr>
      <w:r>
        <w:rPr>
          <w:rFonts w:hint="eastAsia" w:ascii="宋体" w:hAnsi="宋体" w:cs="宋体"/>
          <w:color w:val="000000" w:themeColor="text1"/>
          <w:highlight w:val="none"/>
        </w:rPr>
        <w:t>①</w:t>
      </w:r>
      <w:r>
        <w:rPr>
          <w:color w:val="000000" w:themeColor="text1"/>
          <w:highlight w:val="none"/>
        </w:rPr>
        <w:t>公路主线</w:t>
      </w:r>
      <w:r>
        <w:rPr>
          <w:rFonts w:hint="eastAsia"/>
          <w:color w:val="000000" w:themeColor="text1"/>
          <w:highlight w:val="none"/>
          <w:lang w:eastAsia="zh-CN"/>
        </w:rPr>
        <w:t>“</w:t>
      </w:r>
      <w:r>
        <w:rPr>
          <w:color w:val="000000" w:themeColor="text1"/>
          <w:highlight w:val="none"/>
        </w:rPr>
        <w:t>线</w:t>
      </w:r>
      <w:r>
        <w:rPr>
          <w:rFonts w:hint="eastAsia"/>
          <w:color w:val="000000" w:themeColor="text1"/>
          <w:highlight w:val="none"/>
          <w:lang w:eastAsia="zh-CN"/>
        </w:rPr>
        <w:t>”</w:t>
      </w:r>
      <w:r>
        <w:rPr>
          <w:color w:val="000000" w:themeColor="text1"/>
          <w:highlight w:val="none"/>
        </w:rPr>
        <w:t>状位置，以边坡防护、排水工程措施为主，植物措施为辅。工程措施为浆砌片石护坡、干砌片石护坡。工程措施主要分布在路基边坡受水流冲刷并在洪水位以下的地方；水位以上采取生物措施进行护坡，生物措施可根据边坡实际情况，采用三维网垫和草皮护坡形式。</w:t>
      </w:r>
    </w:p>
    <w:p w14:paraId="2BD8135D">
      <w:pPr>
        <w:pageBreakBefore w:val="0"/>
        <w:wordWrap/>
        <w:topLinePunct w:val="0"/>
        <w:bidi w:val="0"/>
        <w:spacing w:line="360" w:lineRule="auto"/>
        <w:rPr>
          <w:color w:val="000000" w:themeColor="text1"/>
          <w:highlight w:val="none"/>
        </w:rPr>
      </w:pPr>
      <w:r>
        <w:rPr>
          <w:rFonts w:hint="eastAsia" w:ascii="宋体" w:hAnsi="宋体" w:cs="宋体"/>
          <w:color w:val="000000" w:themeColor="text1"/>
          <w:highlight w:val="none"/>
        </w:rPr>
        <w:t>②</w:t>
      </w:r>
      <w:r>
        <w:rPr>
          <w:color w:val="000000" w:themeColor="text1"/>
          <w:highlight w:val="none"/>
        </w:rPr>
        <w:t>临时施工场地等</w:t>
      </w:r>
      <w:r>
        <w:rPr>
          <w:rFonts w:hint="eastAsia"/>
          <w:color w:val="000000" w:themeColor="text1"/>
          <w:highlight w:val="none"/>
          <w:lang w:eastAsia="zh-CN"/>
        </w:rPr>
        <w:t>“</w:t>
      </w:r>
      <w:r>
        <w:rPr>
          <w:color w:val="000000" w:themeColor="text1"/>
          <w:highlight w:val="none"/>
        </w:rPr>
        <w:t>面</w:t>
      </w:r>
      <w:r>
        <w:rPr>
          <w:rFonts w:hint="eastAsia"/>
          <w:color w:val="000000" w:themeColor="text1"/>
          <w:highlight w:val="none"/>
          <w:lang w:eastAsia="zh-CN"/>
        </w:rPr>
        <w:t>”</w:t>
      </w:r>
      <w:r>
        <w:rPr>
          <w:color w:val="000000" w:themeColor="text1"/>
          <w:highlight w:val="none"/>
        </w:rPr>
        <w:t>位置，以土地整治、复垦措施和植物措施相结合。本方案的水土保持措施重点是</w:t>
      </w:r>
      <w:r>
        <w:rPr>
          <w:rFonts w:hint="eastAsia"/>
          <w:color w:val="000000" w:themeColor="text1"/>
          <w:highlight w:val="none"/>
          <w:lang w:val="en-US" w:eastAsia="zh-CN"/>
        </w:rPr>
        <w:t>桥梁</w:t>
      </w:r>
      <w:r>
        <w:rPr>
          <w:color w:val="000000" w:themeColor="text1"/>
          <w:highlight w:val="none"/>
        </w:rPr>
        <w:t>施工场</w:t>
      </w:r>
      <w:r>
        <w:rPr>
          <w:rFonts w:hint="eastAsia"/>
          <w:color w:val="000000" w:themeColor="text1"/>
          <w:highlight w:val="none"/>
          <w:lang w:val="en-US" w:eastAsia="zh-CN"/>
        </w:rPr>
        <w:t>地</w:t>
      </w:r>
      <w:r>
        <w:rPr>
          <w:color w:val="000000" w:themeColor="text1"/>
          <w:highlight w:val="none"/>
        </w:rPr>
        <w:t>和综合施工场地以及施工便道和连接处边界的绿化设计</w:t>
      </w:r>
      <w:r>
        <w:rPr>
          <w:rFonts w:hint="eastAsia"/>
          <w:color w:val="000000" w:themeColor="text1"/>
          <w:highlight w:val="none"/>
        </w:rPr>
        <w:t>。</w:t>
      </w:r>
    </w:p>
    <w:p w14:paraId="1C6E5A94">
      <w:pPr>
        <w:pStyle w:val="5"/>
        <w:pageBreakBefore w:val="0"/>
        <w:wordWrap/>
        <w:topLinePunct w:val="0"/>
        <w:bidi w:val="0"/>
        <w:spacing w:beforeLines="0" w:line="360" w:lineRule="auto"/>
        <w:rPr>
          <w:color w:val="000000" w:themeColor="text1"/>
          <w:highlight w:val="none"/>
        </w:rPr>
      </w:pPr>
      <w:r>
        <w:rPr>
          <w:rFonts w:hint="eastAsia"/>
          <w:color w:val="000000" w:themeColor="text1"/>
          <w:highlight w:val="none"/>
        </w:rPr>
        <w:t>7</w:t>
      </w:r>
      <w:r>
        <w:rPr>
          <w:color w:val="000000" w:themeColor="text1"/>
          <w:highlight w:val="none"/>
        </w:rPr>
        <w:t>.6.4.3</w:t>
      </w:r>
      <w:r>
        <w:rPr>
          <w:rFonts w:hint="eastAsia"/>
          <w:color w:val="000000" w:themeColor="text1"/>
          <w:highlight w:val="none"/>
        </w:rPr>
        <w:t>主体工程中水土流失防治措施</w:t>
      </w:r>
    </w:p>
    <w:p w14:paraId="67A25BC0">
      <w:pPr>
        <w:pageBreakBefore w:val="0"/>
        <w:wordWrap/>
        <w:topLinePunct w:val="0"/>
        <w:bidi w:val="0"/>
        <w:spacing w:line="360" w:lineRule="auto"/>
        <w:rPr>
          <w:color w:val="000000" w:themeColor="text1"/>
          <w:highlight w:val="none"/>
        </w:rPr>
      </w:pPr>
      <w:r>
        <w:rPr>
          <w:color w:val="000000" w:themeColor="text1"/>
          <w:highlight w:val="none"/>
        </w:rPr>
        <w:t xml:space="preserve">（1）路基工程防治措施 </w:t>
      </w:r>
    </w:p>
    <w:p w14:paraId="73DB332D">
      <w:pPr>
        <w:pageBreakBefore w:val="0"/>
        <w:wordWrap/>
        <w:topLinePunct w:val="0"/>
        <w:bidi w:val="0"/>
        <w:spacing w:line="360" w:lineRule="auto"/>
        <w:rPr>
          <w:color w:val="000000" w:themeColor="text1"/>
          <w:highlight w:val="none"/>
        </w:rPr>
      </w:pPr>
      <w:r>
        <w:rPr>
          <w:color w:val="000000" w:themeColor="text1"/>
          <w:highlight w:val="none"/>
        </w:rPr>
        <w:t>凡在有雨水径流处开挖路基时，设立临时土沉淀池。土沉淀池是用推土机在路基外边推0.5m深，面积为20～30m</w:t>
      </w:r>
      <w:r>
        <w:rPr>
          <w:color w:val="000000" w:themeColor="text1"/>
          <w:highlight w:val="none"/>
          <w:vertAlign w:val="superscript"/>
        </w:rPr>
        <w:t>2</w:t>
      </w:r>
      <w:r>
        <w:rPr>
          <w:color w:val="000000" w:themeColor="text1"/>
          <w:highlight w:val="none"/>
        </w:rPr>
        <w:t>的低凹处，降雨时雨水在沉淀池内流速变慢，使泥沙沉淀下来。在沉淀池出水一侧设立玻璃纤维布围栏，再次拦截泥沙。当路基建成时，过水涵管铺设完毕，推平沉淀池。在临时推土周围及容易发生水土流失的施工地段应设立玻璃纤维布围栏</w:t>
      </w:r>
      <w:r>
        <w:rPr>
          <w:rFonts w:hint="eastAsia"/>
          <w:color w:val="000000" w:themeColor="text1"/>
          <w:highlight w:val="none"/>
        </w:rPr>
        <w:t>。</w:t>
      </w:r>
    </w:p>
    <w:p w14:paraId="0FBF4BE1">
      <w:pPr>
        <w:pageBreakBefore w:val="0"/>
        <w:numPr>
          <w:ilvl w:val="0"/>
          <w:numId w:val="0"/>
        </w:numPr>
        <w:wordWrap/>
        <w:topLinePunct w:val="0"/>
        <w:bidi w:val="0"/>
        <w:spacing w:line="360" w:lineRule="auto"/>
        <w:ind w:firstLine="480" w:firstLineChars="0"/>
        <w:rPr>
          <w:color w:val="000000" w:themeColor="text1"/>
          <w:highlight w:val="none"/>
        </w:rPr>
      </w:pPr>
      <w:r>
        <w:rPr>
          <w:rFonts w:ascii="Times New Roman" w:hAnsi="Times New Roman" w:eastAsia="宋体" w:cs="Times New Roman"/>
          <w:color w:val="000000" w:themeColor="text1"/>
          <w:kern w:val="2"/>
          <w:sz w:val="24"/>
          <w:szCs w:val="24"/>
          <w:highlight w:val="none"/>
          <w:lang w:val="en-US" w:eastAsia="zh-CN" w:bidi="ar-SA"/>
        </w:rPr>
        <w:t>（2）</w:t>
      </w:r>
      <w:r>
        <w:rPr>
          <w:color w:val="000000" w:themeColor="text1"/>
          <w:highlight w:val="none"/>
        </w:rPr>
        <w:t xml:space="preserve">桥涵工程防护措施 </w:t>
      </w:r>
    </w:p>
    <w:p w14:paraId="3B83C70B">
      <w:pPr>
        <w:pageBreakBefore w:val="0"/>
        <w:wordWrap/>
        <w:topLinePunct w:val="0"/>
        <w:bidi w:val="0"/>
        <w:spacing w:line="360" w:lineRule="auto"/>
        <w:rPr>
          <w:color w:val="000000" w:themeColor="text1"/>
          <w:highlight w:val="none"/>
        </w:rPr>
      </w:pPr>
      <w:r>
        <w:rPr>
          <w:color w:val="000000" w:themeColor="text1"/>
          <w:highlight w:val="none"/>
        </w:rPr>
        <w:t>本工程沿线桥涵较</w:t>
      </w:r>
      <w:r>
        <w:rPr>
          <w:rFonts w:hint="eastAsia"/>
          <w:color w:val="000000" w:themeColor="text1"/>
          <w:highlight w:val="none"/>
          <w:lang w:val="en-US" w:eastAsia="zh-CN"/>
        </w:rPr>
        <w:t>少</w:t>
      </w:r>
      <w:r>
        <w:rPr>
          <w:color w:val="000000" w:themeColor="text1"/>
          <w:highlight w:val="none"/>
        </w:rPr>
        <w:t>，如果桥梁基础开挖出的渣料随意堆放，不做任何防护，当遇到雨水冲刷极易产生水土流失，因此，在施工过程中做好弃渣处置极为重要。具体水土保持措施如下：</w:t>
      </w:r>
    </w:p>
    <w:p w14:paraId="67838A17">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1 \* GB3 </w:instrText>
      </w:r>
      <w:r>
        <w:rPr>
          <w:color w:val="000000" w:themeColor="text1"/>
          <w:highlight w:val="none"/>
        </w:rPr>
        <w:fldChar w:fldCharType="separate"/>
      </w:r>
      <w:r>
        <w:rPr>
          <w:rFonts w:hint="eastAsia"/>
          <w:color w:val="000000" w:themeColor="text1"/>
          <w:highlight w:val="none"/>
        </w:rPr>
        <w:t>①</w:t>
      </w:r>
      <w:r>
        <w:rPr>
          <w:rFonts w:hint="eastAsia"/>
          <w:color w:val="000000" w:themeColor="text1"/>
          <w:highlight w:val="none"/>
        </w:rPr>
        <w:fldChar w:fldCharType="end"/>
      </w:r>
      <w:r>
        <w:rPr>
          <w:color w:val="000000" w:themeColor="text1"/>
          <w:highlight w:val="none"/>
        </w:rPr>
        <w:t>严禁桥梁基础挖方乱弃乱倒，</w:t>
      </w:r>
      <w:r>
        <w:rPr>
          <w:rFonts w:hint="eastAsia"/>
          <w:color w:val="000000" w:themeColor="text1"/>
          <w:highlight w:val="none"/>
          <w:lang w:val="en-US" w:eastAsia="zh-CN"/>
        </w:rPr>
        <w:t>挖</w:t>
      </w:r>
      <w:r>
        <w:rPr>
          <w:color w:val="000000" w:themeColor="text1"/>
          <w:highlight w:val="none"/>
        </w:rPr>
        <w:t>方必须运至已规划的</w:t>
      </w: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w:t>
      </w:r>
      <w:r>
        <w:rPr>
          <w:color w:val="000000" w:themeColor="text1"/>
          <w:highlight w:val="none"/>
        </w:rPr>
        <w:t>场</w:t>
      </w:r>
      <w:r>
        <w:rPr>
          <w:rFonts w:hint="eastAsia"/>
          <w:color w:val="000000" w:themeColor="text1"/>
          <w:highlight w:val="none"/>
        </w:rPr>
        <w:t>，</w:t>
      </w:r>
      <w:r>
        <w:rPr>
          <w:color w:val="000000" w:themeColor="text1"/>
          <w:highlight w:val="none"/>
        </w:rPr>
        <w:t>采取临时防护措施，最后做好</w:t>
      </w: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w:t>
      </w:r>
      <w:r>
        <w:rPr>
          <w:color w:val="000000" w:themeColor="text1"/>
          <w:highlight w:val="none"/>
        </w:rPr>
        <w:t>场的清理工作。</w:t>
      </w:r>
    </w:p>
    <w:p w14:paraId="3752A964">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2 \* GB3 </w:instrText>
      </w:r>
      <w:r>
        <w:rPr>
          <w:color w:val="000000" w:themeColor="text1"/>
          <w:highlight w:val="none"/>
        </w:rPr>
        <w:fldChar w:fldCharType="separate"/>
      </w:r>
      <w:r>
        <w:rPr>
          <w:rFonts w:hint="eastAsia"/>
          <w:color w:val="000000" w:themeColor="text1"/>
          <w:highlight w:val="none"/>
        </w:rPr>
        <w:t>②</w:t>
      </w:r>
      <w:r>
        <w:rPr>
          <w:rFonts w:hint="eastAsia"/>
          <w:color w:val="000000" w:themeColor="text1"/>
          <w:highlight w:val="none"/>
        </w:rPr>
        <w:fldChar w:fldCharType="end"/>
      </w:r>
      <w:r>
        <w:rPr>
          <w:color w:val="000000" w:themeColor="text1"/>
          <w:highlight w:val="none"/>
        </w:rPr>
        <w:t>对于桥梁桩基置于河道内的，其基础开挖的钻渣不能直接排入水体，必须将弃渣运至已规划的</w:t>
      </w:r>
      <w:r>
        <w:rPr>
          <w:rFonts w:hint="eastAsia"/>
          <w:color w:val="000000" w:themeColor="text1"/>
          <w:highlight w:val="none"/>
        </w:rPr>
        <w:t>临时</w:t>
      </w:r>
      <w:r>
        <w:rPr>
          <w:rFonts w:hint="eastAsia"/>
          <w:color w:val="000000" w:themeColor="text1"/>
          <w:highlight w:val="none"/>
          <w:lang w:val="en-US" w:eastAsia="zh-CN"/>
        </w:rPr>
        <w:t>堆</w:t>
      </w:r>
      <w:r>
        <w:rPr>
          <w:rFonts w:hint="eastAsia"/>
          <w:color w:val="000000" w:themeColor="text1"/>
          <w:highlight w:val="none"/>
        </w:rPr>
        <w:t>土</w:t>
      </w:r>
      <w:r>
        <w:rPr>
          <w:color w:val="000000" w:themeColor="text1"/>
          <w:highlight w:val="none"/>
        </w:rPr>
        <w:t>场。</w:t>
      </w:r>
    </w:p>
    <w:p w14:paraId="2434F3FD">
      <w:pPr>
        <w:pageBreakBefore w:val="0"/>
        <w:wordWrap/>
        <w:topLinePunct w:val="0"/>
        <w:bidi w:val="0"/>
        <w:spacing w:line="360" w:lineRule="auto"/>
        <w:rPr>
          <w:color w:val="000000" w:themeColor="text1"/>
          <w:highlight w:val="none"/>
        </w:rPr>
      </w:pPr>
      <w:r>
        <w:rPr>
          <w:color w:val="000000" w:themeColor="text1"/>
          <w:highlight w:val="none"/>
        </w:rPr>
        <w:fldChar w:fldCharType="begin"/>
      </w:r>
      <w:r>
        <w:rPr>
          <w:color w:val="000000" w:themeColor="text1"/>
          <w:highlight w:val="none"/>
        </w:rPr>
        <w:instrText xml:space="preserve"> = 3 \* GB3 </w:instrText>
      </w:r>
      <w:r>
        <w:rPr>
          <w:color w:val="000000" w:themeColor="text1"/>
          <w:highlight w:val="none"/>
        </w:rPr>
        <w:fldChar w:fldCharType="separate"/>
      </w:r>
      <w:r>
        <w:rPr>
          <w:rFonts w:hint="eastAsia"/>
          <w:color w:val="000000" w:themeColor="text1"/>
          <w:highlight w:val="none"/>
        </w:rPr>
        <w:t>③</w:t>
      </w:r>
      <w:r>
        <w:rPr>
          <w:rFonts w:hint="eastAsia"/>
          <w:color w:val="000000" w:themeColor="text1"/>
          <w:highlight w:val="none"/>
        </w:rPr>
        <w:fldChar w:fldCharType="end"/>
      </w:r>
      <w:r>
        <w:rPr>
          <w:color w:val="000000" w:themeColor="text1"/>
          <w:highlight w:val="none"/>
        </w:rPr>
        <w:t>桥台必须做好防护和排水设计。桥台主要采用浆砌片石、浆砌片石加植草等护坡形式，桥台下边坡主要采用排水沟，将桥台边坡雨水导出，防止积水侵蚀桥台基础，保障桥梁安全。</w:t>
      </w:r>
    </w:p>
    <w:p w14:paraId="30F09134">
      <w:pPr>
        <w:pageBreakBefore w:val="0"/>
        <w:numPr>
          <w:ilvl w:val="0"/>
          <w:numId w:val="0"/>
        </w:numPr>
        <w:wordWrap/>
        <w:topLinePunct w:val="0"/>
        <w:bidi w:val="0"/>
        <w:spacing w:line="360" w:lineRule="auto"/>
        <w:ind w:firstLine="480" w:firstLineChars="0"/>
        <w:rPr>
          <w:color w:val="000000" w:themeColor="text1"/>
          <w:highlight w:val="none"/>
        </w:rPr>
      </w:pPr>
      <w:r>
        <w:rPr>
          <w:rFonts w:ascii="Times New Roman" w:hAnsi="Times New Roman" w:eastAsia="宋体" w:cs="Times New Roman"/>
          <w:color w:val="000000" w:themeColor="text1"/>
          <w:kern w:val="2"/>
          <w:sz w:val="24"/>
          <w:szCs w:val="24"/>
          <w:highlight w:val="none"/>
          <w:lang w:val="en-US" w:eastAsia="zh-CN" w:bidi="ar-SA"/>
        </w:rPr>
        <w:t>（3）</w:t>
      </w:r>
      <w:r>
        <w:rPr>
          <w:color w:val="000000" w:themeColor="text1"/>
          <w:highlight w:val="none"/>
        </w:rPr>
        <w:t>排水工程防护措施</w:t>
      </w:r>
    </w:p>
    <w:p w14:paraId="7D10989E">
      <w:pPr>
        <w:pageBreakBefore w:val="0"/>
        <w:wordWrap/>
        <w:topLinePunct w:val="0"/>
        <w:bidi w:val="0"/>
        <w:spacing w:line="360" w:lineRule="auto"/>
        <w:rPr>
          <w:rFonts w:eastAsia="仿宋_GB2312"/>
          <w:color w:val="000000" w:themeColor="text1"/>
          <w:szCs w:val="32"/>
          <w:highlight w:val="none"/>
        </w:rPr>
      </w:pPr>
      <w:r>
        <w:rPr>
          <w:color w:val="000000" w:themeColor="text1"/>
          <w:highlight w:val="none"/>
        </w:rPr>
        <w:t>边坡的崩塌、滑坡等现象，其原因是雨水渗透，涌水所致，所以边坡保护工程，可以说是对水的治理工程，道路横越</w:t>
      </w:r>
      <w:r>
        <w:rPr>
          <w:rFonts w:hint="eastAsia"/>
          <w:color w:val="000000" w:themeColor="text1"/>
          <w:highlight w:val="none"/>
          <w:lang w:val="en-US" w:eastAsia="zh-CN"/>
        </w:rPr>
        <w:t>河流</w:t>
      </w:r>
      <w:r>
        <w:rPr>
          <w:color w:val="000000" w:themeColor="text1"/>
          <w:highlight w:val="none"/>
        </w:rPr>
        <w:t>和灌渠时应正交布设；排水涵管应当与道路成正交；并设排水沟引导至下游安全地带，以防止对路基和下坡面的冲蚀；排水涵管的纵坡应当不小于3%，如上游泥沙或杂物来源较多，还应适当加大排水管的过水断面，进水口处应设沉沙池及拦污栅，以防堵塞。</w:t>
      </w:r>
    </w:p>
    <w:p w14:paraId="4BBB5390">
      <w:pPr>
        <w:pStyle w:val="42"/>
        <w:pageBreakBefore w:val="0"/>
        <w:wordWrap/>
        <w:topLinePunct w:val="0"/>
        <w:bidi w:val="0"/>
        <w:snapToGrid w:val="0"/>
        <w:spacing w:line="360" w:lineRule="auto"/>
        <w:ind w:firstLine="480" w:firstLineChars="200"/>
        <w:rPr>
          <w:rFonts w:ascii="Times New Roman" w:eastAsia="宋体"/>
          <w:color w:val="000000" w:themeColor="text1"/>
          <w:kern w:val="2"/>
          <w:highlight w:val="none"/>
        </w:rPr>
      </w:pPr>
      <w:r>
        <w:rPr>
          <w:rFonts w:ascii="Times New Roman" w:eastAsia="宋体"/>
          <w:color w:val="000000" w:themeColor="text1"/>
          <w:kern w:val="2"/>
          <w:highlight w:val="none"/>
        </w:rPr>
        <w:t>施工期裸露路基水土流失防治措施为了更好的控制工程在施工期的水土流失，在项目施工过程中将对裸露路基采取必要的水土流失防治措施，达到有效控制施工过程中产生水土流失的目的，其主要措施为用草帘铺盖裸露路基，在实施草帘覆盖时，需用细小木桩将草帘固定在路基、路堑的坡面上，防止草帘滑动</w:t>
      </w:r>
      <w:r>
        <w:rPr>
          <w:rFonts w:hint="eastAsia" w:ascii="Times New Roman" w:eastAsia="宋体"/>
          <w:color w:val="000000" w:themeColor="text1"/>
          <w:kern w:val="2"/>
          <w:highlight w:val="none"/>
        </w:rPr>
        <w:t>。</w:t>
      </w:r>
    </w:p>
    <w:p w14:paraId="01B26670">
      <w:pPr>
        <w:pStyle w:val="3"/>
        <w:pageBreakBefore w:val="0"/>
        <w:wordWrap/>
        <w:topLinePunct w:val="0"/>
        <w:bidi w:val="0"/>
        <w:spacing w:line="360" w:lineRule="auto"/>
        <w:rPr>
          <w:color w:val="000000" w:themeColor="text1"/>
          <w:highlight w:val="none"/>
        </w:rPr>
      </w:pPr>
      <w:bookmarkStart w:id="513" w:name="_Toc3951"/>
      <w:bookmarkStart w:id="514" w:name="_Toc518574395"/>
      <w:bookmarkStart w:id="515" w:name="_Toc32608"/>
      <w:bookmarkStart w:id="516" w:name="_Toc8697"/>
      <w:bookmarkStart w:id="517" w:name="_Toc21006"/>
      <w:r>
        <w:rPr>
          <w:rFonts w:hint="eastAsia"/>
          <w:color w:val="000000" w:themeColor="text1"/>
          <w:highlight w:val="none"/>
        </w:rPr>
        <w:t>7</w:t>
      </w:r>
      <w:r>
        <w:rPr>
          <w:color w:val="000000" w:themeColor="text1"/>
          <w:highlight w:val="none"/>
        </w:rPr>
        <w:t>.</w:t>
      </w:r>
      <w:r>
        <w:rPr>
          <w:rFonts w:hint="eastAsia"/>
          <w:color w:val="000000" w:themeColor="text1"/>
          <w:highlight w:val="none"/>
          <w:lang w:val="en-US" w:eastAsia="zh-CN"/>
        </w:rPr>
        <w:t>7</w:t>
      </w:r>
      <w:r>
        <w:rPr>
          <w:rFonts w:hint="eastAsia" w:ascii="宋体" w:hAnsi="宋体" w:cs="宋体"/>
          <w:color w:val="000000" w:themeColor="text1"/>
          <w:sz w:val="28"/>
          <w:szCs w:val="28"/>
          <w:highlight w:val="none"/>
        </w:rPr>
        <w:t>黑土地保护措施</w:t>
      </w:r>
      <w:bookmarkEnd w:id="513"/>
    </w:p>
    <w:p w14:paraId="7324D368">
      <w:pPr>
        <w:pStyle w:val="92"/>
        <w:pageBreakBefore w:val="0"/>
        <w:wordWrap/>
        <w:topLinePunct w:val="0"/>
        <w:bidi w:val="0"/>
        <w:spacing w:line="360" w:lineRule="auto"/>
        <w:rPr>
          <w:color w:val="000000" w:themeColor="text1"/>
          <w:highlight w:val="none"/>
        </w:rPr>
      </w:pPr>
      <w:r>
        <w:rPr>
          <w:rFonts w:hint="eastAsia"/>
          <w:color w:val="000000" w:themeColor="text1"/>
          <w:highlight w:val="none"/>
        </w:rPr>
        <w:t>根据《全国水土保持规划 2015-2030》，项目区在全国水土保持区划中属于东北黑土区，根据《黑龙江省黑土地保护工程方案（2021-2025年）》，《黑龙江省黑土地保护利用条例》（2022年3月1日施行）和《黑龙江省</w:t>
      </w:r>
      <w:r>
        <w:rPr>
          <w:rFonts w:hint="eastAsia"/>
          <w:color w:val="000000" w:themeColor="text1"/>
          <w:highlight w:val="none"/>
          <w:lang w:eastAsia="zh-CN"/>
        </w:rPr>
        <w:t>“</w:t>
      </w:r>
      <w:r>
        <w:rPr>
          <w:rFonts w:hint="eastAsia"/>
          <w:color w:val="000000" w:themeColor="text1"/>
          <w:highlight w:val="none"/>
        </w:rPr>
        <w:t>十四五</w:t>
      </w:r>
      <w:r>
        <w:rPr>
          <w:rFonts w:hint="eastAsia"/>
          <w:color w:val="000000" w:themeColor="text1"/>
          <w:highlight w:val="none"/>
          <w:lang w:eastAsia="zh-CN"/>
        </w:rPr>
        <w:t>”</w:t>
      </w:r>
      <w:r>
        <w:rPr>
          <w:rFonts w:hint="eastAsia"/>
          <w:color w:val="000000" w:themeColor="text1"/>
          <w:highlight w:val="none"/>
        </w:rPr>
        <w:t>黑土地保护规划》中要求，项目对黑土地的保护措施主要如下：</w:t>
      </w:r>
    </w:p>
    <w:p w14:paraId="18010B68">
      <w:pPr>
        <w:pageBreakBefore w:val="0"/>
        <w:wordWrap/>
        <w:topLinePunct w:val="0"/>
        <w:bidi w:val="0"/>
        <w:spacing w:line="360" w:lineRule="auto"/>
        <w:rPr>
          <w:color w:val="000000" w:themeColor="text1"/>
          <w:szCs w:val="32"/>
          <w:highlight w:val="none"/>
        </w:rPr>
      </w:pPr>
      <w:r>
        <w:rPr>
          <w:rFonts w:hint="eastAsia"/>
          <w:color w:val="000000" w:themeColor="text1"/>
          <w:szCs w:val="32"/>
          <w:highlight w:val="none"/>
        </w:rPr>
        <w:t>（1）本工程永久占地表土耕作层单独收集送自然资源部门指定地点利用，严格落实黑土地保护利用的相关法律法规、规章制度，做好黑土地保护利用工作。</w:t>
      </w:r>
    </w:p>
    <w:p w14:paraId="00239E29">
      <w:pPr>
        <w:pageBreakBefore w:val="0"/>
        <w:wordWrap/>
        <w:topLinePunct w:val="0"/>
        <w:bidi w:val="0"/>
        <w:spacing w:line="360" w:lineRule="auto"/>
        <w:rPr>
          <w:color w:val="000000" w:themeColor="text1"/>
          <w:szCs w:val="32"/>
          <w:highlight w:val="none"/>
        </w:rPr>
      </w:pPr>
      <w:r>
        <w:rPr>
          <w:rFonts w:hint="eastAsia"/>
          <w:color w:val="000000" w:themeColor="text1"/>
          <w:szCs w:val="32"/>
          <w:highlight w:val="none"/>
        </w:rPr>
        <w:t>（2）应当节约、集约使用黑土地，按照有关标准、规范和管理规定剥离表土，做好表土保护，避免导致水淹耕地或者破坏黑土地生态环境。</w:t>
      </w:r>
    </w:p>
    <w:p w14:paraId="245DA902">
      <w:pPr>
        <w:pageBreakBefore w:val="0"/>
        <w:wordWrap/>
        <w:topLinePunct w:val="0"/>
        <w:bidi w:val="0"/>
        <w:spacing w:line="360" w:lineRule="auto"/>
        <w:rPr>
          <w:color w:val="000000" w:themeColor="text1"/>
          <w:szCs w:val="32"/>
          <w:highlight w:val="none"/>
        </w:rPr>
      </w:pPr>
      <w:r>
        <w:rPr>
          <w:rFonts w:hint="eastAsia"/>
          <w:color w:val="000000" w:themeColor="text1"/>
          <w:szCs w:val="32"/>
          <w:highlight w:val="none"/>
        </w:rPr>
        <w:t>（3）表土剥离、运输、存储过程中，应采取水土保持和扬尘防治措施、必要的工程防护和保育措施，防止土壤和环境污染，防止出现水土流失、土壤质量退化和安全隐患。</w:t>
      </w:r>
    </w:p>
    <w:p w14:paraId="3FE36194">
      <w:pPr>
        <w:pageBreakBefore w:val="0"/>
        <w:wordWrap/>
        <w:topLinePunct w:val="0"/>
        <w:bidi w:val="0"/>
        <w:spacing w:line="360" w:lineRule="auto"/>
        <w:rPr>
          <w:color w:val="000000" w:themeColor="text1"/>
          <w:szCs w:val="32"/>
          <w:highlight w:val="none"/>
        </w:rPr>
      </w:pPr>
      <w:r>
        <w:rPr>
          <w:rFonts w:hint="eastAsia"/>
          <w:color w:val="000000" w:themeColor="text1"/>
          <w:szCs w:val="32"/>
          <w:highlight w:val="none"/>
        </w:rPr>
        <w:t>（4）肥力较高表土层用于工程后期生态护坡及植被恢，保证临时占地范围内的黑土地面积不减少，质量不下降。</w:t>
      </w:r>
    </w:p>
    <w:p w14:paraId="4ED18527">
      <w:pPr>
        <w:pageBreakBefore w:val="0"/>
        <w:wordWrap/>
        <w:topLinePunct w:val="0"/>
        <w:bidi w:val="0"/>
        <w:spacing w:line="360" w:lineRule="auto"/>
        <w:rPr>
          <w:color w:val="000000" w:themeColor="text1"/>
          <w:szCs w:val="32"/>
          <w:highlight w:val="none"/>
        </w:rPr>
      </w:pPr>
      <w:r>
        <w:rPr>
          <w:rFonts w:hint="eastAsia"/>
          <w:color w:val="000000" w:themeColor="text1"/>
          <w:szCs w:val="32"/>
          <w:highlight w:val="none"/>
        </w:rPr>
        <w:t>（5）施工期结束后，对植被恢复区域进行生态监测，根据监测结果进行必要的补种工作，保证恢复区域黑土地的生态功能不下降。</w:t>
      </w:r>
    </w:p>
    <w:p w14:paraId="5D795164">
      <w:pPr>
        <w:pageBreakBefore w:val="0"/>
        <w:wordWrap/>
        <w:topLinePunct w:val="0"/>
        <w:bidi w:val="0"/>
        <w:spacing w:line="360" w:lineRule="auto"/>
        <w:rPr>
          <w:rFonts w:hint="eastAsia"/>
          <w:color w:val="000000" w:themeColor="text1"/>
          <w:szCs w:val="32"/>
          <w:highlight w:val="none"/>
        </w:rPr>
      </w:pPr>
      <w:r>
        <w:rPr>
          <w:rFonts w:hint="eastAsia"/>
          <w:color w:val="000000" w:themeColor="text1"/>
          <w:szCs w:val="32"/>
          <w:highlight w:val="none"/>
        </w:rPr>
        <w:t>项目施工期及运营期在采取以上措施，并严格按照《黑龙江省黑土地保护工程方案（2021-2025年）》，《黑龙江省黑土地保护利用条例》（2022年3月1日施行）中相关要求进行管理的前提下，项目对黑土地的影响可以降到最小。</w:t>
      </w:r>
    </w:p>
    <w:p w14:paraId="37AC4CE4">
      <w:pPr>
        <w:pStyle w:val="3"/>
        <w:pageBreakBefore w:val="0"/>
        <w:wordWrap/>
        <w:topLinePunct w:val="0"/>
        <w:bidi w:val="0"/>
        <w:spacing w:line="360" w:lineRule="auto"/>
        <w:rPr>
          <w:color w:val="000000" w:themeColor="text1"/>
          <w:highlight w:val="none"/>
        </w:rPr>
      </w:pPr>
      <w:bookmarkStart w:id="518" w:name="_Toc7429"/>
      <w:r>
        <w:rPr>
          <w:rFonts w:hint="eastAsia"/>
          <w:color w:val="000000" w:themeColor="text1"/>
          <w:highlight w:val="none"/>
        </w:rPr>
        <w:t>7.</w:t>
      </w:r>
      <w:r>
        <w:rPr>
          <w:rFonts w:hint="eastAsia"/>
          <w:color w:val="000000" w:themeColor="text1"/>
          <w:highlight w:val="none"/>
          <w:lang w:val="en-US" w:eastAsia="zh-CN"/>
        </w:rPr>
        <w:t>8</w:t>
      </w:r>
      <w:r>
        <w:rPr>
          <w:color w:val="000000" w:themeColor="text1"/>
          <w:highlight w:val="none"/>
        </w:rPr>
        <w:t>环境保护投资估算</w:t>
      </w:r>
      <w:bookmarkEnd w:id="514"/>
      <w:bookmarkEnd w:id="515"/>
      <w:bookmarkEnd w:id="516"/>
      <w:bookmarkEnd w:id="517"/>
      <w:bookmarkEnd w:id="518"/>
    </w:p>
    <w:p w14:paraId="30D713E7">
      <w:pPr>
        <w:pStyle w:val="108"/>
        <w:pageBreakBefore w:val="0"/>
        <w:wordWrap/>
        <w:topLinePunct w:val="0"/>
        <w:bidi w:val="0"/>
        <w:spacing w:line="360" w:lineRule="auto"/>
        <w:rPr>
          <w:color w:val="000000" w:themeColor="text1"/>
          <w:highlight w:val="none"/>
        </w:rPr>
      </w:pPr>
      <w:r>
        <w:rPr>
          <w:color w:val="000000" w:themeColor="text1"/>
          <w:highlight w:val="none"/>
        </w:rPr>
        <w:t>本项目环保投资为</w:t>
      </w:r>
      <w:r>
        <w:rPr>
          <w:rFonts w:hint="eastAsia"/>
          <w:color w:val="000000" w:themeColor="text1"/>
          <w:highlight w:val="none"/>
          <w:lang w:val="en-US" w:eastAsia="zh-CN"/>
        </w:rPr>
        <w:t>220.5</w:t>
      </w:r>
      <w:r>
        <w:rPr>
          <w:color w:val="000000" w:themeColor="text1"/>
          <w:highlight w:val="none"/>
        </w:rPr>
        <w:t>万元，环保投资占工程总投资</w:t>
      </w:r>
      <w:r>
        <w:rPr>
          <w:rFonts w:hint="eastAsia"/>
          <w:color w:val="000000" w:themeColor="text1"/>
          <w:highlight w:val="none"/>
          <w:lang w:val="en-US" w:eastAsia="zh-CN"/>
        </w:rPr>
        <w:t>12509.47</w:t>
      </w:r>
      <w:r>
        <w:rPr>
          <w:color w:val="000000" w:themeColor="text1"/>
          <w:highlight w:val="none"/>
        </w:rPr>
        <w:t>万元的</w:t>
      </w:r>
      <w:r>
        <w:rPr>
          <w:rFonts w:hint="eastAsia"/>
          <w:color w:val="000000" w:themeColor="text1"/>
          <w:highlight w:val="none"/>
          <w:lang w:val="en-US" w:eastAsia="zh-CN"/>
        </w:rPr>
        <w:t>1.76</w:t>
      </w:r>
      <w:r>
        <w:rPr>
          <w:rFonts w:hint="eastAsia"/>
          <w:color w:val="000000" w:themeColor="text1"/>
          <w:highlight w:val="none"/>
        </w:rPr>
        <w:t>%</w:t>
      </w:r>
      <w:r>
        <w:rPr>
          <w:color w:val="000000" w:themeColor="text1"/>
          <w:highlight w:val="none"/>
        </w:rPr>
        <w:t>。</w:t>
      </w:r>
    </w:p>
    <w:p w14:paraId="1EE24CC2">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表7.</w:t>
      </w:r>
      <w:r>
        <w:rPr>
          <w:rFonts w:hint="eastAsia"/>
          <w:b/>
          <w:color w:val="000000" w:themeColor="text1"/>
          <w:highlight w:val="none"/>
          <w:lang w:val="en-US" w:eastAsia="zh-CN"/>
        </w:rPr>
        <w:t>8-1</w:t>
      </w:r>
      <w:r>
        <w:rPr>
          <w:b/>
          <w:color w:val="000000" w:themeColor="text1"/>
          <w:highlight w:val="none"/>
        </w:rPr>
        <w:t xml:space="preserve"> </w:t>
      </w:r>
      <w:r>
        <w:rPr>
          <w:rFonts w:hint="eastAsia"/>
          <w:b/>
          <w:color w:val="000000" w:themeColor="text1"/>
          <w:highlight w:val="none"/>
        </w:rPr>
        <w:t xml:space="preserve"> </w:t>
      </w:r>
      <w:r>
        <w:rPr>
          <w:b/>
          <w:color w:val="000000" w:themeColor="text1"/>
          <w:highlight w:val="none"/>
        </w:rPr>
        <w:t>环境保护投资估算表</w:t>
      </w:r>
    </w:p>
    <w:tbl>
      <w:tblPr>
        <w:tblStyle w:val="33"/>
        <w:tblW w:w="875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98"/>
        <w:gridCol w:w="372"/>
        <w:gridCol w:w="1788"/>
        <w:gridCol w:w="1656"/>
        <w:gridCol w:w="4236"/>
      </w:tblGrid>
      <w:tr w14:paraId="68F82C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tcMar>
              <w:top w:w="0" w:type="dxa"/>
              <w:left w:w="0" w:type="dxa"/>
              <w:bottom w:w="0" w:type="dxa"/>
              <w:right w:w="0" w:type="dxa"/>
            </w:tcMar>
            <w:vAlign w:val="center"/>
          </w:tcPr>
          <w:p w14:paraId="178F558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污染源</w:t>
            </w:r>
          </w:p>
        </w:tc>
        <w:tc>
          <w:tcPr>
            <w:tcW w:w="2160" w:type="dxa"/>
            <w:gridSpan w:val="2"/>
            <w:vAlign w:val="center"/>
          </w:tcPr>
          <w:p w14:paraId="4306459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环保设施名称</w:t>
            </w:r>
          </w:p>
        </w:tc>
        <w:tc>
          <w:tcPr>
            <w:tcW w:w="1656" w:type="dxa"/>
            <w:vAlign w:val="center"/>
          </w:tcPr>
          <w:p w14:paraId="7DD4FBD1">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eastAsia="zh-CN"/>
              </w:rPr>
            </w:pPr>
            <w:r>
              <w:rPr>
                <w:snapToGrid w:val="0"/>
                <w:color w:val="000000" w:themeColor="text1"/>
                <w:sz w:val="21"/>
                <w:szCs w:val="21"/>
                <w:highlight w:val="none"/>
              </w:rPr>
              <w:t>环保投资</w:t>
            </w:r>
            <w:r>
              <w:rPr>
                <w:rFonts w:hint="eastAsia"/>
                <w:snapToGrid w:val="0"/>
                <w:color w:val="000000" w:themeColor="text1"/>
                <w:sz w:val="21"/>
                <w:szCs w:val="21"/>
                <w:highlight w:val="none"/>
                <w:lang w:eastAsia="zh-CN"/>
              </w:rPr>
              <w:t>（</w:t>
            </w:r>
            <w:r>
              <w:rPr>
                <w:snapToGrid w:val="0"/>
                <w:color w:val="000000" w:themeColor="text1"/>
                <w:sz w:val="21"/>
                <w:szCs w:val="21"/>
                <w:highlight w:val="none"/>
              </w:rPr>
              <w:t>万元</w:t>
            </w:r>
            <w:r>
              <w:rPr>
                <w:rFonts w:hint="eastAsia"/>
                <w:snapToGrid w:val="0"/>
                <w:color w:val="000000" w:themeColor="text1"/>
                <w:sz w:val="21"/>
                <w:szCs w:val="21"/>
                <w:highlight w:val="none"/>
                <w:lang w:eastAsia="zh-CN"/>
              </w:rPr>
              <w:t>）</w:t>
            </w:r>
          </w:p>
        </w:tc>
        <w:tc>
          <w:tcPr>
            <w:tcW w:w="4236" w:type="dxa"/>
            <w:vAlign w:val="center"/>
          </w:tcPr>
          <w:p w14:paraId="16BBBDD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备注</w:t>
            </w:r>
          </w:p>
        </w:tc>
      </w:tr>
      <w:tr w14:paraId="03D16F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vMerge w:val="restart"/>
            <w:tcMar>
              <w:top w:w="0" w:type="dxa"/>
              <w:left w:w="0" w:type="dxa"/>
              <w:bottom w:w="0" w:type="dxa"/>
              <w:right w:w="0" w:type="dxa"/>
            </w:tcMar>
            <w:vAlign w:val="center"/>
          </w:tcPr>
          <w:p w14:paraId="2B793868">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废水</w:t>
            </w:r>
          </w:p>
        </w:tc>
        <w:tc>
          <w:tcPr>
            <w:tcW w:w="372" w:type="dxa"/>
            <w:vMerge w:val="restart"/>
            <w:vAlign w:val="center"/>
          </w:tcPr>
          <w:p w14:paraId="01F104DF">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val="en-US" w:eastAsia="zh-CN"/>
              </w:rPr>
            </w:pPr>
            <w:r>
              <w:rPr>
                <w:snapToGrid w:val="0"/>
                <w:color w:val="000000" w:themeColor="text1"/>
                <w:sz w:val="21"/>
                <w:szCs w:val="21"/>
                <w:highlight w:val="none"/>
              </w:rPr>
              <w:t>施工</w:t>
            </w:r>
            <w:r>
              <w:rPr>
                <w:rFonts w:hint="eastAsia"/>
                <w:snapToGrid w:val="0"/>
                <w:color w:val="000000" w:themeColor="text1"/>
                <w:sz w:val="21"/>
                <w:szCs w:val="21"/>
                <w:highlight w:val="none"/>
                <w:lang w:val="en-US" w:eastAsia="zh-CN"/>
              </w:rPr>
              <w:t>期</w:t>
            </w:r>
          </w:p>
        </w:tc>
        <w:tc>
          <w:tcPr>
            <w:tcW w:w="1788" w:type="dxa"/>
            <w:vAlign w:val="center"/>
          </w:tcPr>
          <w:p w14:paraId="20D515B8">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生产废水沉淀池</w:t>
            </w:r>
          </w:p>
        </w:tc>
        <w:tc>
          <w:tcPr>
            <w:tcW w:w="1656" w:type="dxa"/>
            <w:vAlign w:val="center"/>
          </w:tcPr>
          <w:p w14:paraId="20541751">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0.5</w:t>
            </w:r>
          </w:p>
        </w:tc>
        <w:tc>
          <w:tcPr>
            <w:tcW w:w="4236" w:type="dxa"/>
            <w:vAlign w:val="center"/>
          </w:tcPr>
          <w:p w14:paraId="6994896D">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综合站场</w:t>
            </w:r>
            <w:r>
              <w:rPr>
                <w:snapToGrid w:val="0"/>
                <w:color w:val="000000" w:themeColor="text1"/>
                <w:sz w:val="21"/>
                <w:szCs w:val="21"/>
                <w:highlight w:val="none"/>
              </w:rPr>
              <w:t>临时设置1个</w:t>
            </w:r>
          </w:p>
        </w:tc>
      </w:tr>
      <w:tr w14:paraId="7A4F23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vMerge w:val="continue"/>
            <w:tcMar>
              <w:top w:w="0" w:type="dxa"/>
              <w:left w:w="0" w:type="dxa"/>
              <w:bottom w:w="0" w:type="dxa"/>
              <w:right w:w="0" w:type="dxa"/>
            </w:tcMar>
            <w:vAlign w:val="center"/>
          </w:tcPr>
          <w:p w14:paraId="481A9DB4">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372" w:type="dxa"/>
            <w:vMerge w:val="continue"/>
            <w:vAlign w:val="center"/>
          </w:tcPr>
          <w:p w14:paraId="43CA542D">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788" w:type="dxa"/>
            <w:vAlign w:val="center"/>
          </w:tcPr>
          <w:p w14:paraId="470ABDC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施工机械冲洗废水隔油沉淀池</w:t>
            </w:r>
          </w:p>
        </w:tc>
        <w:tc>
          <w:tcPr>
            <w:tcW w:w="1656" w:type="dxa"/>
            <w:vAlign w:val="center"/>
          </w:tcPr>
          <w:p w14:paraId="58D3E646">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w:t>
            </w:r>
          </w:p>
        </w:tc>
        <w:tc>
          <w:tcPr>
            <w:tcW w:w="4236" w:type="dxa"/>
            <w:vAlign w:val="center"/>
          </w:tcPr>
          <w:p w14:paraId="5A60A559">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综合站场</w:t>
            </w:r>
            <w:r>
              <w:rPr>
                <w:snapToGrid w:val="0"/>
                <w:color w:val="000000" w:themeColor="text1"/>
                <w:sz w:val="21"/>
                <w:szCs w:val="21"/>
                <w:highlight w:val="none"/>
              </w:rPr>
              <w:t>临时设置1个</w:t>
            </w:r>
          </w:p>
        </w:tc>
      </w:tr>
      <w:tr w14:paraId="4F5AC0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vMerge w:val="continue"/>
            <w:vAlign w:val="center"/>
          </w:tcPr>
          <w:p w14:paraId="15290E6C">
            <w:pPr>
              <w:pageBreakBefore w:val="0"/>
              <w:wordWrap/>
              <w:topLinePunct w:val="0"/>
              <w:bidi w:val="0"/>
              <w:spacing w:line="240" w:lineRule="auto"/>
              <w:ind w:firstLine="0" w:firstLineChars="0"/>
              <w:jc w:val="center"/>
              <w:rPr>
                <w:color w:val="000000" w:themeColor="text1"/>
                <w:sz w:val="21"/>
                <w:szCs w:val="21"/>
                <w:highlight w:val="none"/>
              </w:rPr>
            </w:pPr>
          </w:p>
        </w:tc>
        <w:tc>
          <w:tcPr>
            <w:tcW w:w="372" w:type="dxa"/>
            <w:vMerge w:val="continue"/>
            <w:vAlign w:val="center"/>
          </w:tcPr>
          <w:p w14:paraId="4CE34C37">
            <w:pPr>
              <w:pageBreakBefore w:val="0"/>
              <w:wordWrap/>
              <w:topLinePunct w:val="0"/>
              <w:bidi w:val="0"/>
              <w:spacing w:line="240" w:lineRule="auto"/>
              <w:ind w:firstLine="0" w:firstLineChars="0"/>
              <w:jc w:val="center"/>
              <w:rPr>
                <w:color w:val="000000" w:themeColor="text1"/>
                <w:sz w:val="21"/>
                <w:szCs w:val="21"/>
                <w:highlight w:val="none"/>
              </w:rPr>
            </w:pPr>
          </w:p>
        </w:tc>
        <w:tc>
          <w:tcPr>
            <w:tcW w:w="1788" w:type="dxa"/>
            <w:vAlign w:val="center"/>
          </w:tcPr>
          <w:p w14:paraId="1561350E">
            <w:pPr>
              <w:pStyle w:val="71"/>
              <w:pageBreakBefore w:val="0"/>
              <w:wordWrap/>
              <w:topLinePunct w:val="0"/>
              <w:bidi w:val="0"/>
              <w:spacing w:beforeLines="0" w:afterLines="0" w:line="240" w:lineRule="auto"/>
              <w:rPr>
                <w:rFonts w:ascii="Times New Roman" w:hAnsi="Times New Roman"/>
                <w:snapToGrid w:val="0"/>
                <w:color w:val="000000" w:themeColor="text1"/>
                <w:sz w:val="21"/>
                <w:szCs w:val="21"/>
                <w:highlight w:val="none"/>
              </w:rPr>
            </w:pPr>
            <w:r>
              <w:rPr>
                <w:rFonts w:ascii="Times New Roman" w:hAnsi="Times New Roman"/>
                <w:snapToGrid w:val="0"/>
                <w:color w:val="000000" w:themeColor="text1"/>
                <w:sz w:val="21"/>
                <w:szCs w:val="21"/>
                <w:highlight w:val="none"/>
              </w:rPr>
              <w:t>防渗旱厕</w:t>
            </w:r>
          </w:p>
        </w:tc>
        <w:tc>
          <w:tcPr>
            <w:tcW w:w="1656" w:type="dxa"/>
            <w:vAlign w:val="center"/>
          </w:tcPr>
          <w:p w14:paraId="27F243E7">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0.5</w:t>
            </w:r>
          </w:p>
        </w:tc>
        <w:tc>
          <w:tcPr>
            <w:tcW w:w="4236" w:type="dxa"/>
            <w:vAlign w:val="center"/>
          </w:tcPr>
          <w:p w14:paraId="6E2746D6">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lang w:val="en-US" w:eastAsia="zh-CN"/>
              </w:rPr>
              <w:t>综合站场</w:t>
            </w:r>
            <w:r>
              <w:rPr>
                <w:snapToGrid w:val="0"/>
                <w:color w:val="000000" w:themeColor="text1"/>
                <w:sz w:val="21"/>
                <w:szCs w:val="21"/>
                <w:highlight w:val="none"/>
              </w:rPr>
              <w:t>临时设置1个</w:t>
            </w:r>
          </w:p>
        </w:tc>
      </w:tr>
      <w:tr w14:paraId="294EF6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vMerge w:val="restart"/>
            <w:tcMar>
              <w:top w:w="0" w:type="dxa"/>
              <w:left w:w="0" w:type="dxa"/>
              <w:bottom w:w="0" w:type="dxa"/>
              <w:right w:w="0" w:type="dxa"/>
            </w:tcMar>
            <w:vAlign w:val="center"/>
          </w:tcPr>
          <w:p w14:paraId="5D66DAA1">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废气</w:t>
            </w:r>
          </w:p>
        </w:tc>
        <w:tc>
          <w:tcPr>
            <w:tcW w:w="372" w:type="dxa"/>
            <w:vMerge w:val="restart"/>
            <w:vAlign w:val="center"/>
          </w:tcPr>
          <w:p w14:paraId="289B4BD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施工</w:t>
            </w:r>
          </w:p>
          <w:p w14:paraId="3ADC5B9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期</w:t>
            </w:r>
          </w:p>
        </w:tc>
        <w:tc>
          <w:tcPr>
            <w:tcW w:w="1788" w:type="dxa"/>
            <w:vAlign w:val="center"/>
          </w:tcPr>
          <w:p w14:paraId="66A11E18">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临时堆场、建筑材料遮盖、拦挡</w:t>
            </w:r>
            <w:r>
              <w:rPr>
                <w:rFonts w:hint="eastAsia"/>
                <w:snapToGrid w:val="0"/>
                <w:color w:val="000000" w:themeColor="text1"/>
                <w:sz w:val="21"/>
                <w:szCs w:val="21"/>
                <w:highlight w:val="none"/>
                <w:lang w:eastAsia="zh-CN"/>
              </w:rPr>
              <w:t>、</w:t>
            </w:r>
            <w:r>
              <w:rPr>
                <w:rFonts w:hint="eastAsia"/>
                <w:snapToGrid w:val="0"/>
                <w:color w:val="000000" w:themeColor="text1"/>
                <w:sz w:val="21"/>
                <w:szCs w:val="21"/>
                <w:highlight w:val="none"/>
                <w:lang w:val="en-US" w:eastAsia="zh-CN"/>
              </w:rPr>
              <w:t>洒水车</w:t>
            </w:r>
            <w:r>
              <w:rPr>
                <w:snapToGrid w:val="0"/>
                <w:color w:val="000000" w:themeColor="text1"/>
                <w:sz w:val="21"/>
                <w:szCs w:val="21"/>
                <w:highlight w:val="none"/>
              </w:rPr>
              <w:t>等措施</w:t>
            </w:r>
          </w:p>
        </w:tc>
        <w:tc>
          <w:tcPr>
            <w:tcW w:w="1656" w:type="dxa"/>
            <w:vAlign w:val="center"/>
          </w:tcPr>
          <w:p w14:paraId="15B7953C">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20</w:t>
            </w:r>
          </w:p>
        </w:tc>
        <w:tc>
          <w:tcPr>
            <w:tcW w:w="4236" w:type="dxa"/>
            <w:vAlign w:val="center"/>
          </w:tcPr>
          <w:p w14:paraId="72170B91">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根据实际操作设置</w:t>
            </w:r>
          </w:p>
        </w:tc>
      </w:tr>
      <w:tr w14:paraId="4F317D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vMerge w:val="continue"/>
            <w:vAlign w:val="center"/>
          </w:tcPr>
          <w:p w14:paraId="555713EF">
            <w:pPr>
              <w:pageBreakBefore w:val="0"/>
              <w:wordWrap/>
              <w:topLinePunct w:val="0"/>
              <w:bidi w:val="0"/>
              <w:spacing w:line="240" w:lineRule="auto"/>
              <w:ind w:firstLine="0" w:firstLineChars="0"/>
              <w:jc w:val="center"/>
              <w:rPr>
                <w:color w:val="000000" w:themeColor="text1"/>
                <w:sz w:val="21"/>
                <w:szCs w:val="21"/>
                <w:highlight w:val="none"/>
              </w:rPr>
            </w:pPr>
          </w:p>
        </w:tc>
        <w:tc>
          <w:tcPr>
            <w:tcW w:w="372" w:type="dxa"/>
            <w:vMerge w:val="continue"/>
            <w:vAlign w:val="center"/>
          </w:tcPr>
          <w:p w14:paraId="7E76B75E">
            <w:pPr>
              <w:pageBreakBefore w:val="0"/>
              <w:wordWrap/>
              <w:topLinePunct w:val="0"/>
              <w:bidi w:val="0"/>
              <w:spacing w:line="240" w:lineRule="auto"/>
              <w:ind w:firstLine="0" w:firstLineChars="0"/>
              <w:jc w:val="center"/>
              <w:rPr>
                <w:color w:val="000000" w:themeColor="text1"/>
                <w:sz w:val="21"/>
                <w:szCs w:val="21"/>
                <w:highlight w:val="none"/>
              </w:rPr>
            </w:pPr>
          </w:p>
        </w:tc>
        <w:tc>
          <w:tcPr>
            <w:tcW w:w="1788" w:type="dxa"/>
            <w:vAlign w:val="center"/>
          </w:tcPr>
          <w:p w14:paraId="7CF1FD93">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snapToGrid w:val="0"/>
                <w:color w:val="000000" w:themeColor="text1"/>
                <w:sz w:val="21"/>
                <w:szCs w:val="21"/>
                <w:highlight w:val="none"/>
              </w:rPr>
              <w:t>面层拌合站除尘设备</w:t>
            </w:r>
            <w:r>
              <w:rPr>
                <w:rFonts w:hint="eastAsia"/>
                <w:snapToGrid w:val="0"/>
                <w:color w:val="000000" w:themeColor="text1"/>
                <w:sz w:val="21"/>
                <w:szCs w:val="21"/>
                <w:highlight w:val="none"/>
                <w:lang w:eastAsia="zh-CN"/>
              </w:rPr>
              <w:t>、</w:t>
            </w:r>
            <w:r>
              <w:rPr>
                <w:rFonts w:hint="eastAsia"/>
                <w:snapToGrid w:val="0"/>
                <w:color w:val="000000" w:themeColor="text1"/>
                <w:sz w:val="21"/>
                <w:szCs w:val="21"/>
                <w:highlight w:val="none"/>
                <w:lang w:val="en-US" w:eastAsia="zh-CN"/>
              </w:rPr>
              <w:t>沥青烟治理设备</w:t>
            </w:r>
          </w:p>
        </w:tc>
        <w:tc>
          <w:tcPr>
            <w:tcW w:w="1656" w:type="dxa"/>
            <w:vAlign w:val="center"/>
          </w:tcPr>
          <w:p w14:paraId="420D2F95">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50</w:t>
            </w:r>
          </w:p>
        </w:tc>
        <w:tc>
          <w:tcPr>
            <w:tcW w:w="4236" w:type="dxa"/>
            <w:vAlign w:val="center"/>
          </w:tcPr>
          <w:p w14:paraId="7E131497">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rPr>
            </w:pPr>
            <w:r>
              <w:rPr>
                <w:rFonts w:hint="eastAsia"/>
                <w:snapToGrid w:val="0"/>
                <w:color w:val="000000" w:themeColor="text1"/>
                <w:kern w:val="0"/>
                <w:sz w:val="21"/>
                <w:szCs w:val="21"/>
                <w:highlight w:val="none"/>
              </w:rPr>
              <w:t>布袋除尘器+15m排气筒</w:t>
            </w:r>
          </w:p>
          <w:p w14:paraId="27428F3C">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kern w:val="0"/>
                <w:sz w:val="21"/>
                <w:szCs w:val="21"/>
                <w:highlight w:val="none"/>
              </w:rPr>
              <w:t>集气罩+管道+燃烧器燃烧+布袋除尘器+15m排气筒</w:t>
            </w:r>
          </w:p>
        </w:tc>
      </w:tr>
      <w:tr w14:paraId="0F617C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tcMar>
              <w:top w:w="0" w:type="dxa"/>
              <w:left w:w="0" w:type="dxa"/>
              <w:bottom w:w="0" w:type="dxa"/>
              <w:right w:w="0" w:type="dxa"/>
            </w:tcMar>
            <w:vAlign w:val="center"/>
          </w:tcPr>
          <w:p w14:paraId="615588CA">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固废</w:t>
            </w:r>
          </w:p>
        </w:tc>
        <w:tc>
          <w:tcPr>
            <w:tcW w:w="372" w:type="dxa"/>
            <w:vAlign w:val="center"/>
          </w:tcPr>
          <w:p w14:paraId="5D9DDFB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施工</w:t>
            </w:r>
          </w:p>
          <w:p w14:paraId="59D92BD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期</w:t>
            </w:r>
          </w:p>
        </w:tc>
        <w:tc>
          <w:tcPr>
            <w:tcW w:w="1788" w:type="dxa"/>
            <w:vAlign w:val="center"/>
          </w:tcPr>
          <w:p w14:paraId="5C5FA42B">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snapToGrid w:val="0"/>
                <w:color w:val="000000" w:themeColor="text1"/>
                <w:sz w:val="21"/>
                <w:szCs w:val="21"/>
                <w:highlight w:val="none"/>
              </w:rPr>
              <w:t>生活垃圾、施工垃圾收集清运车辆</w:t>
            </w:r>
            <w:r>
              <w:rPr>
                <w:rFonts w:hint="eastAsia"/>
                <w:snapToGrid w:val="0"/>
                <w:color w:val="000000" w:themeColor="text1"/>
                <w:sz w:val="21"/>
                <w:szCs w:val="21"/>
                <w:highlight w:val="none"/>
                <w:lang w:eastAsia="zh-CN"/>
              </w:rPr>
              <w:t>、</w:t>
            </w:r>
            <w:r>
              <w:rPr>
                <w:rFonts w:hint="eastAsia"/>
                <w:snapToGrid w:val="0"/>
                <w:color w:val="000000" w:themeColor="text1"/>
                <w:sz w:val="21"/>
                <w:szCs w:val="21"/>
                <w:highlight w:val="none"/>
                <w:lang w:val="en-US" w:eastAsia="zh-CN"/>
              </w:rPr>
              <w:t>隔油池废油交由有资质单位处置</w:t>
            </w:r>
          </w:p>
        </w:tc>
        <w:tc>
          <w:tcPr>
            <w:tcW w:w="1656" w:type="dxa"/>
            <w:vAlign w:val="center"/>
          </w:tcPr>
          <w:p w14:paraId="001B1D95">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20</w:t>
            </w:r>
          </w:p>
        </w:tc>
        <w:tc>
          <w:tcPr>
            <w:tcW w:w="4236" w:type="dxa"/>
            <w:vAlign w:val="center"/>
          </w:tcPr>
          <w:p w14:paraId="5B5294E4">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snapToGrid w:val="0"/>
                <w:color w:val="000000" w:themeColor="text1"/>
                <w:sz w:val="21"/>
                <w:szCs w:val="21"/>
                <w:highlight w:val="none"/>
              </w:rPr>
              <w:t>租赁</w:t>
            </w:r>
            <w:r>
              <w:rPr>
                <w:rFonts w:hint="eastAsia"/>
                <w:snapToGrid w:val="0"/>
                <w:color w:val="000000" w:themeColor="text1"/>
                <w:sz w:val="21"/>
                <w:szCs w:val="21"/>
                <w:highlight w:val="none"/>
              </w:rPr>
              <w:t>垃圾清运车</w:t>
            </w:r>
            <w:r>
              <w:rPr>
                <w:rFonts w:hint="eastAsia"/>
                <w:snapToGrid w:val="0"/>
                <w:color w:val="000000" w:themeColor="text1"/>
                <w:sz w:val="21"/>
                <w:szCs w:val="21"/>
                <w:highlight w:val="none"/>
                <w:lang w:val="en-US" w:eastAsia="zh-CN"/>
              </w:rPr>
              <w:t>5</w:t>
            </w:r>
            <w:r>
              <w:rPr>
                <w:snapToGrid w:val="0"/>
                <w:color w:val="000000" w:themeColor="text1"/>
                <w:sz w:val="21"/>
                <w:szCs w:val="21"/>
                <w:highlight w:val="none"/>
              </w:rPr>
              <w:t>辆</w:t>
            </w:r>
            <w:r>
              <w:rPr>
                <w:rFonts w:hint="eastAsia"/>
                <w:snapToGrid w:val="0"/>
                <w:color w:val="000000" w:themeColor="text1"/>
                <w:sz w:val="21"/>
                <w:szCs w:val="21"/>
                <w:highlight w:val="none"/>
                <w:lang w:eastAsia="zh-CN"/>
              </w:rPr>
              <w:t>、</w:t>
            </w:r>
            <w:r>
              <w:rPr>
                <w:rFonts w:hint="eastAsia"/>
                <w:snapToGrid w:val="0"/>
                <w:color w:val="000000" w:themeColor="text1"/>
                <w:sz w:val="21"/>
                <w:szCs w:val="21"/>
                <w:highlight w:val="none"/>
                <w:lang w:val="en-US" w:eastAsia="zh-CN"/>
              </w:rPr>
              <w:t>有资质单位处置</w:t>
            </w:r>
          </w:p>
        </w:tc>
      </w:tr>
      <w:tr w14:paraId="7F4320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9" w:hRule="atLeast"/>
          <w:tblHeader/>
          <w:jc w:val="center"/>
        </w:trPr>
        <w:tc>
          <w:tcPr>
            <w:tcW w:w="698" w:type="dxa"/>
            <w:vMerge w:val="restart"/>
            <w:tcMar>
              <w:top w:w="0" w:type="dxa"/>
              <w:left w:w="0" w:type="dxa"/>
              <w:bottom w:w="0" w:type="dxa"/>
              <w:right w:w="0" w:type="dxa"/>
            </w:tcMar>
            <w:vAlign w:val="center"/>
          </w:tcPr>
          <w:p w14:paraId="1DDCF4D8">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噪声</w:t>
            </w:r>
          </w:p>
        </w:tc>
        <w:tc>
          <w:tcPr>
            <w:tcW w:w="372" w:type="dxa"/>
            <w:vMerge w:val="restart"/>
            <w:vAlign w:val="center"/>
          </w:tcPr>
          <w:p w14:paraId="4FA4707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施工</w:t>
            </w:r>
          </w:p>
          <w:p w14:paraId="49A337A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期</w:t>
            </w:r>
          </w:p>
        </w:tc>
        <w:tc>
          <w:tcPr>
            <w:tcW w:w="1788" w:type="dxa"/>
            <w:vAlign w:val="center"/>
          </w:tcPr>
          <w:p w14:paraId="2160CC4F">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 xml:space="preserve">  </w:t>
            </w:r>
            <w:r>
              <w:rPr>
                <w:color w:val="000000" w:themeColor="text1"/>
                <w:sz w:val="21"/>
                <w:szCs w:val="21"/>
                <w:highlight w:val="none"/>
              </w:rPr>
              <w:t>移动式隔声、隔尘挡板</w:t>
            </w:r>
          </w:p>
        </w:tc>
        <w:tc>
          <w:tcPr>
            <w:tcW w:w="1656" w:type="dxa"/>
            <w:vAlign w:val="center"/>
          </w:tcPr>
          <w:p w14:paraId="028DADFA">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w:t>
            </w:r>
          </w:p>
        </w:tc>
        <w:tc>
          <w:tcPr>
            <w:tcW w:w="4236" w:type="dxa"/>
            <w:vAlign w:val="center"/>
          </w:tcPr>
          <w:p w14:paraId="100B6D5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敏感目标</w:t>
            </w:r>
            <w:r>
              <w:rPr>
                <w:rFonts w:hint="eastAsia"/>
                <w:snapToGrid w:val="0"/>
                <w:color w:val="000000" w:themeColor="text1"/>
                <w:sz w:val="21"/>
                <w:szCs w:val="21"/>
                <w:highlight w:val="none"/>
              </w:rPr>
              <w:t>一侧设置</w:t>
            </w:r>
            <w:r>
              <w:rPr>
                <w:snapToGrid w:val="0"/>
                <w:color w:val="000000" w:themeColor="text1"/>
                <w:sz w:val="21"/>
                <w:szCs w:val="21"/>
                <w:highlight w:val="none"/>
              </w:rPr>
              <w:t>高度3m</w:t>
            </w:r>
            <w:r>
              <w:rPr>
                <w:rFonts w:hint="eastAsia"/>
                <w:snapToGrid w:val="0"/>
                <w:color w:val="000000" w:themeColor="text1"/>
                <w:sz w:val="21"/>
                <w:szCs w:val="21"/>
                <w:highlight w:val="none"/>
              </w:rPr>
              <w:t>挡板，共</w:t>
            </w:r>
            <w:r>
              <w:rPr>
                <w:rFonts w:hint="eastAsia"/>
                <w:snapToGrid w:val="0"/>
                <w:color w:val="000000" w:themeColor="text1"/>
                <w:sz w:val="21"/>
                <w:szCs w:val="21"/>
                <w:highlight w:val="none"/>
                <w:lang w:val="en-US" w:eastAsia="zh-CN"/>
              </w:rPr>
              <w:t>100</w:t>
            </w:r>
            <w:r>
              <w:rPr>
                <w:rFonts w:hint="eastAsia"/>
                <w:snapToGrid w:val="0"/>
                <w:color w:val="000000" w:themeColor="text1"/>
                <w:sz w:val="21"/>
                <w:szCs w:val="21"/>
                <w:highlight w:val="none"/>
              </w:rPr>
              <w:t>m，</w:t>
            </w:r>
            <w:r>
              <w:rPr>
                <w:snapToGrid w:val="0"/>
                <w:color w:val="000000" w:themeColor="text1"/>
                <w:sz w:val="21"/>
                <w:szCs w:val="21"/>
                <w:highlight w:val="none"/>
              </w:rPr>
              <w:t>长度</w:t>
            </w:r>
            <w:r>
              <w:rPr>
                <w:rFonts w:hint="eastAsia"/>
                <w:snapToGrid w:val="0"/>
                <w:color w:val="000000" w:themeColor="text1"/>
                <w:sz w:val="21"/>
                <w:szCs w:val="21"/>
                <w:highlight w:val="none"/>
              </w:rPr>
              <w:t>为敏感点两侧外各延伸50m</w:t>
            </w:r>
            <w:r>
              <w:rPr>
                <w:snapToGrid w:val="0"/>
                <w:color w:val="000000" w:themeColor="text1"/>
                <w:sz w:val="21"/>
                <w:szCs w:val="21"/>
                <w:highlight w:val="none"/>
              </w:rPr>
              <w:t xml:space="preserve"> </w:t>
            </w:r>
          </w:p>
        </w:tc>
      </w:tr>
      <w:tr w14:paraId="690EC8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98" w:type="dxa"/>
            <w:vMerge w:val="continue"/>
            <w:tcMar>
              <w:top w:w="0" w:type="dxa"/>
              <w:left w:w="0" w:type="dxa"/>
              <w:bottom w:w="0" w:type="dxa"/>
              <w:right w:w="0" w:type="dxa"/>
            </w:tcMar>
            <w:vAlign w:val="center"/>
          </w:tcPr>
          <w:p w14:paraId="6AEEBFB8">
            <w:pPr>
              <w:pageBreakBefore w:val="0"/>
              <w:wordWrap/>
              <w:topLinePunct w:val="0"/>
              <w:bidi w:val="0"/>
              <w:spacing w:line="240" w:lineRule="auto"/>
              <w:ind w:firstLine="0" w:firstLineChars="0"/>
              <w:jc w:val="center"/>
              <w:rPr>
                <w:color w:val="000000" w:themeColor="text1"/>
                <w:sz w:val="21"/>
                <w:szCs w:val="21"/>
                <w:highlight w:val="none"/>
              </w:rPr>
            </w:pPr>
          </w:p>
        </w:tc>
        <w:tc>
          <w:tcPr>
            <w:tcW w:w="372" w:type="dxa"/>
            <w:vMerge w:val="continue"/>
            <w:vAlign w:val="center"/>
          </w:tcPr>
          <w:p w14:paraId="0B199FA5">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788" w:type="dxa"/>
            <w:vAlign w:val="center"/>
          </w:tcPr>
          <w:p w14:paraId="02C8CA5D">
            <w:pPr>
              <w:pStyle w:val="71"/>
              <w:pageBreakBefore w:val="0"/>
              <w:wordWrap/>
              <w:topLinePunct w:val="0"/>
              <w:bidi w:val="0"/>
              <w:spacing w:beforeLines="0" w:afterLines="0" w:line="240" w:lineRule="auto"/>
              <w:rPr>
                <w:rFonts w:ascii="Times New Roman" w:hAnsi="Times New Roman"/>
                <w:snapToGrid w:val="0"/>
                <w:color w:val="000000" w:themeColor="text1"/>
                <w:sz w:val="21"/>
                <w:szCs w:val="21"/>
                <w:highlight w:val="none"/>
              </w:rPr>
            </w:pPr>
            <w:r>
              <w:rPr>
                <w:rFonts w:ascii="Times New Roman" w:hAnsi="Times New Roman"/>
                <w:snapToGrid w:val="0"/>
                <w:color w:val="000000" w:themeColor="text1"/>
                <w:sz w:val="21"/>
                <w:szCs w:val="21"/>
                <w:highlight w:val="none"/>
              </w:rPr>
              <w:t>设备隔声减震措施</w:t>
            </w:r>
          </w:p>
        </w:tc>
        <w:tc>
          <w:tcPr>
            <w:tcW w:w="1656" w:type="dxa"/>
            <w:vAlign w:val="center"/>
          </w:tcPr>
          <w:p w14:paraId="420E3C19">
            <w:pPr>
              <w:pStyle w:val="71"/>
              <w:pageBreakBefore w:val="0"/>
              <w:wordWrap/>
              <w:topLinePunct w:val="0"/>
              <w:bidi w:val="0"/>
              <w:spacing w:beforeLines="0" w:afterLines="0" w:line="240" w:lineRule="auto"/>
              <w:rPr>
                <w:rFonts w:hint="default" w:ascii="Times New Roman" w:hAnsi="Times New Roman" w:eastAsia="宋体"/>
                <w:snapToGrid w:val="0"/>
                <w:color w:val="000000" w:themeColor="text1"/>
                <w:sz w:val="21"/>
                <w:szCs w:val="21"/>
                <w:highlight w:val="none"/>
                <w:lang w:val="en-US" w:eastAsia="zh-CN"/>
              </w:rPr>
            </w:pPr>
            <w:r>
              <w:rPr>
                <w:rFonts w:hint="eastAsia" w:ascii="Times New Roman" w:hAnsi="Times New Roman"/>
                <w:bCs w:val="0"/>
                <w:snapToGrid w:val="0"/>
                <w:color w:val="000000" w:themeColor="text1"/>
                <w:kern w:val="2"/>
                <w:sz w:val="21"/>
                <w:szCs w:val="21"/>
                <w:highlight w:val="none"/>
                <w:lang w:val="en-US" w:eastAsia="zh-CN"/>
              </w:rPr>
              <w:t>10</w:t>
            </w:r>
          </w:p>
        </w:tc>
        <w:tc>
          <w:tcPr>
            <w:tcW w:w="4236" w:type="dxa"/>
            <w:vAlign w:val="center"/>
          </w:tcPr>
          <w:p w14:paraId="68EC7399">
            <w:pPr>
              <w:pStyle w:val="71"/>
              <w:pageBreakBefore w:val="0"/>
              <w:wordWrap/>
              <w:topLinePunct w:val="0"/>
              <w:bidi w:val="0"/>
              <w:spacing w:beforeLines="0" w:afterLines="0" w:line="240" w:lineRule="auto"/>
              <w:rPr>
                <w:rFonts w:ascii="Times New Roman" w:hAnsi="Times New Roman"/>
                <w:snapToGrid w:val="0"/>
                <w:color w:val="000000" w:themeColor="text1"/>
                <w:sz w:val="21"/>
                <w:szCs w:val="21"/>
                <w:highlight w:val="none"/>
              </w:rPr>
            </w:pPr>
            <w:r>
              <w:rPr>
                <w:rFonts w:ascii="Times New Roman" w:hAnsi="Times New Roman"/>
                <w:snapToGrid w:val="0"/>
                <w:color w:val="000000" w:themeColor="text1"/>
                <w:sz w:val="21"/>
                <w:szCs w:val="21"/>
                <w:highlight w:val="none"/>
              </w:rPr>
              <w:t>设备隔声、减震措施</w:t>
            </w:r>
          </w:p>
        </w:tc>
      </w:tr>
      <w:tr w14:paraId="546D97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98" w:type="dxa"/>
            <w:vMerge w:val="continue"/>
            <w:tcMar>
              <w:top w:w="0" w:type="dxa"/>
              <w:left w:w="0" w:type="dxa"/>
              <w:bottom w:w="0" w:type="dxa"/>
              <w:right w:w="0" w:type="dxa"/>
            </w:tcMar>
            <w:vAlign w:val="center"/>
          </w:tcPr>
          <w:p w14:paraId="5648F77E">
            <w:pPr>
              <w:pageBreakBefore w:val="0"/>
              <w:wordWrap/>
              <w:topLinePunct w:val="0"/>
              <w:bidi w:val="0"/>
              <w:spacing w:line="240" w:lineRule="auto"/>
              <w:ind w:firstLine="0" w:firstLineChars="0"/>
              <w:jc w:val="center"/>
              <w:rPr>
                <w:color w:val="000000" w:themeColor="text1"/>
                <w:sz w:val="21"/>
                <w:szCs w:val="21"/>
                <w:highlight w:val="none"/>
              </w:rPr>
            </w:pPr>
          </w:p>
        </w:tc>
        <w:tc>
          <w:tcPr>
            <w:tcW w:w="372" w:type="dxa"/>
            <w:vAlign w:val="center"/>
          </w:tcPr>
          <w:p w14:paraId="6DBB355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运行</w:t>
            </w:r>
          </w:p>
          <w:p w14:paraId="38FC9C12">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期</w:t>
            </w:r>
          </w:p>
        </w:tc>
        <w:tc>
          <w:tcPr>
            <w:tcW w:w="1788" w:type="dxa"/>
            <w:vAlign w:val="center"/>
          </w:tcPr>
          <w:p w14:paraId="0477371A">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公路路面养护</w:t>
            </w:r>
          </w:p>
        </w:tc>
        <w:tc>
          <w:tcPr>
            <w:tcW w:w="1656" w:type="dxa"/>
            <w:vAlign w:val="center"/>
          </w:tcPr>
          <w:p w14:paraId="024AAB73">
            <w:pPr>
              <w:pStyle w:val="42"/>
              <w:pageBreakBefore w:val="0"/>
              <w:wordWrap/>
              <w:topLinePunct w:val="0"/>
              <w:bidi w:val="0"/>
              <w:spacing w:line="240" w:lineRule="auto"/>
              <w:jc w:val="center"/>
              <w:rPr>
                <w:rFonts w:hint="default" w:ascii="Times New Roman" w:eastAsia="宋体"/>
                <w:color w:val="000000" w:themeColor="text1"/>
                <w:sz w:val="21"/>
                <w:szCs w:val="21"/>
                <w:highlight w:val="none"/>
                <w:lang w:val="en-US" w:eastAsia="zh-CN"/>
              </w:rPr>
            </w:pPr>
            <w:r>
              <w:rPr>
                <w:rFonts w:hint="eastAsia" w:ascii="Times New Roman" w:eastAsia="宋体"/>
                <w:snapToGrid w:val="0"/>
                <w:color w:val="000000" w:themeColor="text1"/>
                <w:sz w:val="21"/>
                <w:szCs w:val="21"/>
                <w:highlight w:val="none"/>
                <w:lang w:val="en-US" w:eastAsia="zh-CN"/>
              </w:rPr>
              <w:t>20</w:t>
            </w:r>
          </w:p>
        </w:tc>
        <w:tc>
          <w:tcPr>
            <w:tcW w:w="4236" w:type="dxa"/>
            <w:vAlign w:val="center"/>
          </w:tcPr>
          <w:p w14:paraId="1F79AE10">
            <w:pPr>
              <w:pageBreakBefore w:val="0"/>
              <w:wordWrap/>
              <w:topLinePunct w:val="0"/>
              <w:bidi w:val="0"/>
              <w:spacing w:line="240" w:lineRule="auto"/>
              <w:ind w:left="0" w:leftChars="0" w:firstLine="0" w:firstLineChars="0"/>
              <w:jc w:val="center"/>
              <w:rPr>
                <w:snapToGrid w:val="0"/>
                <w:color w:val="000000" w:themeColor="text1"/>
                <w:sz w:val="21"/>
                <w:szCs w:val="21"/>
                <w:highlight w:val="none"/>
              </w:rPr>
            </w:pPr>
            <w:r>
              <w:rPr>
                <w:snapToGrid w:val="0"/>
                <w:color w:val="000000" w:themeColor="text1"/>
                <w:sz w:val="21"/>
                <w:szCs w:val="21"/>
                <w:highlight w:val="none"/>
              </w:rPr>
              <w:t>加强公路绿化措施及路面养护</w:t>
            </w:r>
          </w:p>
        </w:tc>
      </w:tr>
      <w:tr w14:paraId="326443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98" w:type="dxa"/>
            <w:vMerge w:val="restart"/>
            <w:vAlign w:val="center"/>
          </w:tcPr>
          <w:p w14:paraId="7F6A038F">
            <w:pPr>
              <w:pageBreakBefore w:val="0"/>
              <w:wordWrap/>
              <w:topLinePunct w:val="0"/>
              <w:bidi w:val="0"/>
              <w:spacing w:line="240" w:lineRule="auto"/>
              <w:ind w:firstLine="0" w:firstLineChars="0"/>
              <w:jc w:val="center"/>
              <w:rPr>
                <w:color w:val="000000" w:themeColor="text1"/>
                <w:sz w:val="21"/>
                <w:szCs w:val="21"/>
                <w:highlight w:val="none"/>
              </w:rPr>
            </w:pPr>
            <w:r>
              <w:rPr>
                <w:color w:val="000000" w:themeColor="text1"/>
                <w:sz w:val="21"/>
                <w:szCs w:val="21"/>
                <w:highlight w:val="none"/>
              </w:rPr>
              <w:t>风险</w:t>
            </w:r>
          </w:p>
        </w:tc>
        <w:tc>
          <w:tcPr>
            <w:tcW w:w="372" w:type="dxa"/>
            <w:vMerge w:val="restart"/>
            <w:vAlign w:val="center"/>
          </w:tcPr>
          <w:p w14:paraId="2F6053A5">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运营</w:t>
            </w:r>
          </w:p>
          <w:p w14:paraId="722B452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期</w:t>
            </w:r>
          </w:p>
        </w:tc>
        <w:tc>
          <w:tcPr>
            <w:tcW w:w="1788" w:type="dxa"/>
            <w:shd w:val="clear" w:color="auto" w:fill="auto"/>
            <w:vAlign w:val="center"/>
          </w:tcPr>
          <w:p w14:paraId="2E3571A3">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rFonts w:hint="default"/>
                <w:color w:val="000000" w:themeColor="text1"/>
                <w:sz w:val="21"/>
                <w:szCs w:val="21"/>
                <w:highlight w:val="none"/>
              </w:rPr>
              <w:t>防撞护栏</w:t>
            </w:r>
            <w:r>
              <w:rPr>
                <w:rFonts w:hint="eastAsia"/>
                <w:color w:val="000000" w:themeColor="text1"/>
                <w:sz w:val="21"/>
                <w:szCs w:val="21"/>
                <w:highlight w:val="none"/>
                <w:lang w:val="en-US" w:eastAsia="zh-CN"/>
              </w:rPr>
              <w:t>和警示牌</w:t>
            </w:r>
          </w:p>
        </w:tc>
        <w:tc>
          <w:tcPr>
            <w:tcW w:w="1656" w:type="dxa"/>
            <w:shd w:val="clear" w:color="auto" w:fill="auto"/>
            <w:vAlign w:val="center"/>
          </w:tcPr>
          <w:p w14:paraId="4DF48974">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20</w:t>
            </w:r>
          </w:p>
        </w:tc>
        <w:tc>
          <w:tcPr>
            <w:tcW w:w="4236" w:type="dxa"/>
            <w:shd w:val="clear" w:color="auto" w:fill="auto"/>
            <w:vAlign w:val="center"/>
          </w:tcPr>
          <w:p w14:paraId="08FCFD60">
            <w:pPr>
              <w:pageBreakBefore w:val="0"/>
              <w:widowControl/>
              <w:wordWrap/>
              <w:topLinePunct w:val="0"/>
              <w:bidi w:val="0"/>
              <w:spacing w:line="240" w:lineRule="auto"/>
              <w:ind w:left="0" w:leftChars="0" w:firstLine="0" w:firstLineChars="0"/>
              <w:jc w:val="center"/>
              <w:rPr>
                <w:rFonts w:ascii="Times New Roman" w:hAnsi="Times New Roman" w:eastAsia="宋体" w:cs="Times New Roman"/>
                <w:color w:val="000000" w:themeColor="text1"/>
                <w:spacing w:val="4"/>
                <w:kern w:val="2"/>
                <w:sz w:val="21"/>
                <w:szCs w:val="21"/>
                <w:highlight w:val="none"/>
                <w:lang w:val="en-US" w:eastAsia="zh-CN" w:bidi="ar-SA"/>
              </w:rPr>
            </w:pPr>
            <w:r>
              <w:rPr>
                <w:rFonts w:hint="eastAsia"/>
                <w:color w:val="000000" w:themeColor="text1"/>
                <w:sz w:val="21"/>
                <w:szCs w:val="21"/>
                <w:highlight w:val="none"/>
                <w:lang w:val="en-US" w:eastAsia="zh-CN"/>
              </w:rPr>
              <w:t>跨越水体的桥梁及跨越铁路桥梁采用钢筋混凝土防撞护栏（护栏高度不低于1.5m），防止车辆翻落；在桥梁路段设置“减速行驶、安全驾驶”的警示牌</w:t>
            </w:r>
            <w:r>
              <w:rPr>
                <w:color w:val="000000" w:themeColor="text1"/>
                <w:sz w:val="21"/>
                <w:szCs w:val="21"/>
                <w:highlight w:val="none"/>
              </w:rPr>
              <w:t>（共</w:t>
            </w:r>
            <w:r>
              <w:rPr>
                <w:rFonts w:hint="eastAsia"/>
                <w:color w:val="000000" w:themeColor="text1"/>
                <w:sz w:val="21"/>
                <w:szCs w:val="21"/>
                <w:highlight w:val="none"/>
                <w:lang w:val="en-US" w:eastAsia="zh-CN"/>
              </w:rPr>
              <w:t>6</w:t>
            </w:r>
            <w:r>
              <w:rPr>
                <w:color w:val="000000" w:themeColor="text1"/>
                <w:sz w:val="21"/>
                <w:szCs w:val="21"/>
                <w:highlight w:val="none"/>
              </w:rPr>
              <w:t>块）</w:t>
            </w:r>
          </w:p>
        </w:tc>
      </w:tr>
      <w:tr w14:paraId="4B4AF2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98" w:type="dxa"/>
            <w:vMerge w:val="continue"/>
            <w:vAlign w:val="center"/>
          </w:tcPr>
          <w:p w14:paraId="67CB7C76">
            <w:pPr>
              <w:pageBreakBefore w:val="0"/>
              <w:wordWrap/>
              <w:topLinePunct w:val="0"/>
              <w:bidi w:val="0"/>
              <w:spacing w:line="240" w:lineRule="auto"/>
              <w:ind w:firstLine="0" w:firstLineChars="0"/>
              <w:jc w:val="center"/>
              <w:rPr>
                <w:color w:val="000000" w:themeColor="text1"/>
                <w:sz w:val="21"/>
                <w:szCs w:val="21"/>
                <w:highlight w:val="none"/>
              </w:rPr>
            </w:pPr>
          </w:p>
        </w:tc>
        <w:tc>
          <w:tcPr>
            <w:tcW w:w="372" w:type="dxa"/>
            <w:vMerge w:val="continue"/>
            <w:vAlign w:val="center"/>
          </w:tcPr>
          <w:p w14:paraId="7E2A6C77">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788" w:type="dxa"/>
            <w:shd w:val="clear" w:color="auto" w:fill="auto"/>
            <w:vAlign w:val="center"/>
          </w:tcPr>
          <w:p w14:paraId="2C1697CD">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风险应急预案</w:t>
            </w:r>
          </w:p>
        </w:tc>
        <w:tc>
          <w:tcPr>
            <w:tcW w:w="1656" w:type="dxa"/>
            <w:shd w:val="clear" w:color="auto" w:fill="auto"/>
            <w:vAlign w:val="center"/>
          </w:tcPr>
          <w:p w14:paraId="05B41EE5">
            <w:pPr>
              <w:pageBreakBefore w:val="0"/>
              <w:wordWrap/>
              <w:topLinePunct w:val="0"/>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rPr>
            </w:pPr>
            <w:r>
              <w:rPr>
                <w:rFonts w:hint="eastAsia"/>
                <w:color w:val="000000" w:themeColor="text1"/>
                <w:sz w:val="21"/>
                <w:szCs w:val="21"/>
                <w:highlight w:val="none"/>
                <w:lang w:val="en-US" w:eastAsia="zh-CN"/>
              </w:rPr>
              <w:t>10</w:t>
            </w:r>
          </w:p>
        </w:tc>
        <w:tc>
          <w:tcPr>
            <w:tcW w:w="4236" w:type="dxa"/>
            <w:shd w:val="clear" w:color="auto" w:fill="auto"/>
            <w:vAlign w:val="center"/>
          </w:tcPr>
          <w:p w14:paraId="453B157B">
            <w:pPr>
              <w:pageBreakBefore w:val="0"/>
              <w:wordWrap/>
              <w:topLinePunct w:val="0"/>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建设单位编制突发环境事件应急预案，并与</w:t>
            </w:r>
            <w:r>
              <w:rPr>
                <w:rFonts w:hint="eastAsia"/>
                <w:color w:val="000000" w:themeColor="text1"/>
                <w:sz w:val="21"/>
                <w:szCs w:val="21"/>
                <w:highlight w:val="none"/>
                <w:lang w:val="en-US" w:eastAsia="zh-CN"/>
              </w:rPr>
              <w:t>当地应急</w:t>
            </w:r>
            <w:r>
              <w:rPr>
                <w:color w:val="000000" w:themeColor="text1"/>
                <w:sz w:val="21"/>
                <w:szCs w:val="21"/>
                <w:highlight w:val="none"/>
              </w:rPr>
              <w:t>管理部门建立应急联动机制</w:t>
            </w:r>
          </w:p>
        </w:tc>
      </w:tr>
      <w:tr w14:paraId="1A2E2D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98" w:type="dxa"/>
            <w:vMerge w:val="restart"/>
            <w:vAlign w:val="center"/>
          </w:tcPr>
          <w:p w14:paraId="79C374D1">
            <w:pPr>
              <w:pageBreakBefore w:val="0"/>
              <w:wordWrap/>
              <w:topLinePunct w:val="0"/>
              <w:bidi w:val="0"/>
              <w:spacing w:line="240" w:lineRule="auto"/>
              <w:ind w:firstLine="0" w:firstLineChars="0"/>
              <w:jc w:val="center"/>
              <w:rPr>
                <w:color w:val="000000" w:themeColor="text1"/>
                <w:sz w:val="21"/>
                <w:szCs w:val="21"/>
                <w:highlight w:val="none"/>
              </w:rPr>
            </w:pPr>
            <w:r>
              <w:rPr>
                <w:snapToGrid w:val="0"/>
                <w:color w:val="000000" w:themeColor="text1"/>
                <w:sz w:val="21"/>
                <w:szCs w:val="21"/>
                <w:highlight w:val="none"/>
              </w:rPr>
              <w:t>生态环境保护</w:t>
            </w:r>
          </w:p>
        </w:tc>
        <w:tc>
          <w:tcPr>
            <w:tcW w:w="2160" w:type="dxa"/>
            <w:gridSpan w:val="2"/>
            <w:vAlign w:val="center"/>
          </w:tcPr>
          <w:p w14:paraId="085E049D">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公路及附属工程绿化</w:t>
            </w:r>
          </w:p>
        </w:tc>
        <w:tc>
          <w:tcPr>
            <w:tcW w:w="1656" w:type="dxa"/>
            <w:vAlign w:val="center"/>
          </w:tcPr>
          <w:p w14:paraId="6F26092A">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rPr>
              <w:t>/</w:t>
            </w:r>
          </w:p>
        </w:tc>
        <w:tc>
          <w:tcPr>
            <w:tcW w:w="4236" w:type="dxa"/>
            <w:vAlign w:val="center"/>
          </w:tcPr>
          <w:p w14:paraId="68416BA9">
            <w:pPr>
              <w:pageBreakBefore w:val="0"/>
              <w:wordWrap/>
              <w:topLinePunct w:val="0"/>
              <w:bidi w:val="0"/>
              <w:spacing w:line="240" w:lineRule="auto"/>
              <w:ind w:left="0" w:leftChars="0" w:firstLine="0" w:firstLineChars="0"/>
              <w:jc w:val="center"/>
              <w:rPr>
                <w:color w:val="000000" w:themeColor="text1"/>
                <w:sz w:val="21"/>
                <w:szCs w:val="21"/>
                <w:highlight w:val="none"/>
              </w:rPr>
            </w:pPr>
            <w:r>
              <w:rPr>
                <w:color w:val="000000" w:themeColor="text1"/>
                <w:sz w:val="21"/>
                <w:szCs w:val="21"/>
                <w:highlight w:val="none"/>
              </w:rPr>
              <w:t>本边坡植草防护，采用草坪为主，辅以花卉， 常绿乔灌木等</w:t>
            </w:r>
            <w:r>
              <w:rPr>
                <w:rFonts w:hint="eastAsia"/>
                <w:color w:val="000000" w:themeColor="text1"/>
                <w:sz w:val="21"/>
                <w:szCs w:val="21"/>
                <w:highlight w:val="none"/>
              </w:rPr>
              <w:t>；计入工程投资</w:t>
            </w:r>
          </w:p>
        </w:tc>
      </w:tr>
      <w:tr w14:paraId="3FE4BF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98" w:type="dxa"/>
            <w:vMerge w:val="continue"/>
            <w:vAlign w:val="center"/>
          </w:tcPr>
          <w:p w14:paraId="7F7F8CB6">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2160" w:type="dxa"/>
            <w:gridSpan w:val="2"/>
            <w:vAlign w:val="center"/>
          </w:tcPr>
          <w:p w14:paraId="10EC734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临时占地平整恢复</w:t>
            </w:r>
          </w:p>
        </w:tc>
        <w:tc>
          <w:tcPr>
            <w:tcW w:w="1656" w:type="dxa"/>
            <w:vAlign w:val="center"/>
          </w:tcPr>
          <w:p w14:paraId="1EDB5AE1">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rPr>
              <w:t>/</w:t>
            </w:r>
          </w:p>
        </w:tc>
        <w:tc>
          <w:tcPr>
            <w:tcW w:w="4236" w:type="dxa"/>
            <w:vAlign w:val="center"/>
          </w:tcPr>
          <w:p w14:paraId="789C9A51">
            <w:pPr>
              <w:pageBreakBefore w:val="0"/>
              <w:wordWrap/>
              <w:topLinePunct w:val="0"/>
              <w:bidi w:val="0"/>
              <w:spacing w:line="240" w:lineRule="auto"/>
              <w:ind w:firstLine="1260" w:firstLineChars="600"/>
              <w:rPr>
                <w:color w:val="000000" w:themeColor="text1"/>
                <w:kern w:val="0"/>
                <w:sz w:val="21"/>
                <w:szCs w:val="21"/>
                <w:highlight w:val="none"/>
              </w:rPr>
            </w:pPr>
            <w:r>
              <w:rPr>
                <w:rFonts w:hint="eastAsia"/>
                <w:color w:val="000000" w:themeColor="text1"/>
                <w:sz w:val="21"/>
                <w:szCs w:val="21"/>
                <w:highlight w:val="none"/>
              </w:rPr>
              <w:t>计入水土保持投资</w:t>
            </w:r>
          </w:p>
        </w:tc>
      </w:tr>
      <w:tr w14:paraId="2C1297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698" w:type="dxa"/>
            <w:vMerge w:val="continue"/>
            <w:vAlign w:val="center"/>
          </w:tcPr>
          <w:p w14:paraId="5B8B2587">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2160" w:type="dxa"/>
            <w:gridSpan w:val="2"/>
            <w:vAlign w:val="center"/>
          </w:tcPr>
          <w:p w14:paraId="30F566EC">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sz w:val="21"/>
                <w:szCs w:val="21"/>
                <w:highlight w:val="none"/>
              </w:rPr>
              <w:t>生态监测</w:t>
            </w:r>
          </w:p>
        </w:tc>
        <w:tc>
          <w:tcPr>
            <w:tcW w:w="1656" w:type="dxa"/>
            <w:vAlign w:val="center"/>
          </w:tcPr>
          <w:p w14:paraId="25766E3B">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20</w:t>
            </w:r>
          </w:p>
        </w:tc>
        <w:tc>
          <w:tcPr>
            <w:tcW w:w="4236" w:type="dxa"/>
            <w:vAlign w:val="center"/>
          </w:tcPr>
          <w:p w14:paraId="3505C48D">
            <w:pPr>
              <w:pageBreakBefore w:val="0"/>
              <w:wordWrap/>
              <w:topLinePunct w:val="0"/>
              <w:bidi w:val="0"/>
              <w:spacing w:line="240" w:lineRule="auto"/>
              <w:ind w:left="0" w:leftChars="0" w:firstLine="0" w:firstLineChars="0"/>
              <w:jc w:val="center"/>
              <w:rPr>
                <w:color w:val="000000" w:themeColor="text1"/>
                <w:sz w:val="21"/>
                <w:szCs w:val="21"/>
                <w:highlight w:val="none"/>
              </w:rPr>
            </w:pPr>
            <w:r>
              <w:rPr>
                <w:color w:val="000000" w:themeColor="text1"/>
                <w:sz w:val="21"/>
                <w:szCs w:val="21"/>
                <w:highlight w:val="none"/>
              </w:rPr>
              <w:t>监控临时占地区生态恢复后的植被生长状况，发现枯死的要及时补植</w:t>
            </w:r>
          </w:p>
        </w:tc>
      </w:tr>
      <w:tr w14:paraId="0B9368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0C05974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环境保护工程设计</w:t>
            </w:r>
          </w:p>
        </w:tc>
        <w:tc>
          <w:tcPr>
            <w:tcW w:w="1656" w:type="dxa"/>
            <w:vAlign w:val="center"/>
          </w:tcPr>
          <w:p w14:paraId="2A1A6CBC">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w:t>
            </w:r>
          </w:p>
        </w:tc>
        <w:tc>
          <w:tcPr>
            <w:tcW w:w="4236" w:type="dxa"/>
            <w:vAlign w:val="center"/>
          </w:tcPr>
          <w:p w14:paraId="5BD8436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确保环境工程质量</w:t>
            </w:r>
          </w:p>
        </w:tc>
      </w:tr>
      <w:tr w14:paraId="31BA27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153D6AEF">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环境监测</w:t>
            </w:r>
          </w:p>
        </w:tc>
        <w:tc>
          <w:tcPr>
            <w:tcW w:w="1656" w:type="dxa"/>
            <w:vAlign w:val="center"/>
          </w:tcPr>
          <w:p w14:paraId="4E9BE4CE">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lang w:val="en-US" w:eastAsia="zh-CN"/>
              </w:rPr>
              <w:t>5</w:t>
            </w:r>
          </w:p>
        </w:tc>
        <w:tc>
          <w:tcPr>
            <w:tcW w:w="4236" w:type="dxa"/>
            <w:vAlign w:val="center"/>
          </w:tcPr>
          <w:p w14:paraId="2F803D99">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发挥其施工期和营运期监控作用</w:t>
            </w:r>
          </w:p>
        </w:tc>
      </w:tr>
      <w:tr w14:paraId="722AD2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4F91A532">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宣传教育</w:t>
            </w:r>
          </w:p>
        </w:tc>
        <w:tc>
          <w:tcPr>
            <w:tcW w:w="1656" w:type="dxa"/>
            <w:vAlign w:val="center"/>
          </w:tcPr>
          <w:p w14:paraId="1F0AE8B8">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lang w:val="en-US" w:eastAsia="zh-CN"/>
              </w:rPr>
              <w:t>1</w:t>
            </w:r>
          </w:p>
        </w:tc>
        <w:tc>
          <w:tcPr>
            <w:tcW w:w="4236" w:type="dxa"/>
            <w:vAlign w:val="center"/>
          </w:tcPr>
          <w:p w14:paraId="30943A8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提高环保意识</w:t>
            </w:r>
          </w:p>
        </w:tc>
      </w:tr>
      <w:tr w14:paraId="782ADD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0F916E6B">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环境保护管理</w:t>
            </w:r>
          </w:p>
        </w:tc>
        <w:tc>
          <w:tcPr>
            <w:tcW w:w="1656" w:type="dxa"/>
            <w:vAlign w:val="center"/>
          </w:tcPr>
          <w:p w14:paraId="6000EF63">
            <w:pPr>
              <w:pageBreakBefore w:val="0"/>
              <w:wordWrap/>
              <w:topLinePunct w:val="0"/>
              <w:bidi w:val="0"/>
              <w:spacing w:line="240" w:lineRule="auto"/>
              <w:ind w:firstLine="0" w:firstLineChars="0"/>
              <w:jc w:val="center"/>
              <w:rPr>
                <w:rFonts w:hint="eastAsia" w:eastAsia="宋体"/>
                <w:snapToGrid w:val="0"/>
                <w:color w:val="000000" w:themeColor="text1"/>
                <w:sz w:val="21"/>
                <w:szCs w:val="21"/>
                <w:highlight w:val="none"/>
                <w:lang w:eastAsia="zh-CN"/>
              </w:rPr>
            </w:pPr>
            <w:r>
              <w:rPr>
                <w:rFonts w:hint="eastAsia"/>
                <w:snapToGrid w:val="0"/>
                <w:color w:val="000000" w:themeColor="text1"/>
                <w:sz w:val="21"/>
                <w:szCs w:val="21"/>
                <w:highlight w:val="none"/>
                <w:lang w:val="en-US" w:eastAsia="zh-CN"/>
              </w:rPr>
              <w:t>2</w:t>
            </w:r>
          </w:p>
        </w:tc>
        <w:tc>
          <w:tcPr>
            <w:tcW w:w="4236" w:type="dxa"/>
            <w:vAlign w:val="center"/>
          </w:tcPr>
          <w:p w14:paraId="2ED9BA17">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保证各项环保措施落实和执行</w:t>
            </w:r>
          </w:p>
        </w:tc>
      </w:tr>
      <w:tr w14:paraId="0D03C7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6C895F1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环保竣工验收调查费用</w:t>
            </w:r>
          </w:p>
        </w:tc>
        <w:tc>
          <w:tcPr>
            <w:tcW w:w="1656" w:type="dxa"/>
            <w:vAlign w:val="center"/>
          </w:tcPr>
          <w:p w14:paraId="7D5457B1">
            <w:pPr>
              <w:pageBreakBefore w:val="0"/>
              <w:wordWrap/>
              <w:topLinePunct w:val="0"/>
              <w:bidi w:val="0"/>
              <w:spacing w:line="240" w:lineRule="auto"/>
              <w:ind w:firstLine="0" w:firstLineChars="0"/>
              <w:jc w:val="center"/>
              <w:rPr>
                <w:rFonts w:hint="default" w:eastAsia="宋体"/>
                <w:snapToGrid w:val="0"/>
                <w:color w:val="000000" w:themeColor="text1"/>
                <w:sz w:val="21"/>
                <w:szCs w:val="21"/>
                <w:highlight w:val="none"/>
                <w:lang w:val="en-US" w:eastAsia="zh-CN"/>
              </w:rPr>
            </w:pPr>
            <w:r>
              <w:rPr>
                <w:rFonts w:hint="eastAsia"/>
                <w:snapToGrid w:val="0"/>
                <w:color w:val="000000" w:themeColor="text1"/>
                <w:sz w:val="21"/>
                <w:szCs w:val="21"/>
                <w:highlight w:val="none"/>
                <w:lang w:val="en-US" w:eastAsia="zh-CN"/>
              </w:rPr>
              <w:t>10</w:t>
            </w:r>
          </w:p>
        </w:tc>
        <w:tc>
          <w:tcPr>
            <w:tcW w:w="4236" w:type="dxa"/>
            <w:vAlign w:val="center"/>
          </w:tcPr>
          <w:p w14:paraId="2E9C1B2B">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提高环境管理水平，增强环境保护意识</w:t>
            </w:r>
          </w:p>
        </w:tc>
      </w:tr>
      <w:tr w14:paraId="2194E9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66FA5F09">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以上环保投资小计</w:t>
            </w:r>
          </w:p>
        </w:tc>
        <w:tc>
          <w:tcPr>
            <w:tcW w:w="1656" w:type="dxa"/>
            <w:vAlign w:val="center"/>
          </w:tcPr>
          <w:p w14:paraId="4F1FF3D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210</w:t>
            </w:r>
          </w:p>
        </w:tc>
        <w:tc>
          <w:tcPr>
            <w:tcW w:w="4236" w:type="dxa"/>
            <w:vAlign w:val="center"/>
          </w:tcPr>
          <w:p w14:paraId="70223EE9">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r>
      <w:tr w14:paraId="4B20E8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5E41A67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不可预见费（=小计×5%）</w:t>
            </w:r>
          </w:p>
        </w:tc>
        <w:tc>
          <w:tcPr>
            <w:tcW w:w="1656" w:type="dxa"/>
            <w:vAlign w:val="center"/>
          </w:tcPr>
          <w:p w14:paraId="6D680AF9">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10.5</w:t>
            </w:r>
          </w:p>
        </w:tc>
        <w:tc>
          <w:tcPr>
            <w:tcW w:w="4236" w:type="dxa"/>
            <w:vAlign w:val="center"/>
          </w:tcPr>
          <w:p w14:paraId="68FEC7A8">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r>
      <w:tr w14:paraId="527C9A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2858" w:type="dxa"/>
            <w:gridSpan w:val="3"/>
            <w:vAlign w:val="center"/>
          </w:tcPr>
          <w:p w14:paraId="6F530877">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总环保费用合计</w:t>
            </w:r>
          </w:p>
        </w:tc>
        <w:tc>
          <w:tcPr>
            <w:tcW w:w="1656" w:type="dxa"/>
            <w:vAlign w:val="center"/>
          </w:tcPr>
          <w:p w14:paraId="17A65C51">
            <w:pPr>
              <w:pageBreakBefore w:val="0"/>
              <w:wordWrap/>
              <w:topLinePunct w:val="0"/>
              <w:bidi w:val="0"/>
              <w:spacing w:line="240" w:lineRule="auto"/>
              <w:ind w:firstLine="0" w:firstLineChars="0"/>
              <w:jc w:val="center"/>
              <w:rPr>
                <w:rFonts w:hint="default" w:eastAsia="宋体"/>
                <w:color w:val="000000" w:themeColor="text1"/>
                <w:sz w:val="21"/>
                <w:szCs w:val="21"/>
                <w:highlight w:val="none"/>
                <w:lang w:val="en-US" w:eastAsia="zh-CN"/>
              </w:rPr>
            </w:pPr>
            <w:r>
              <w:rPr>
                <w:rFonts w:hint="eastAsia"/>
                <w:color w:val="000000" w:themeColor="text1"/>
                <w:sz w:val="21"/>
                <w:szCs w:val="21"/>
                <w:highlight w:val="none"/>
                <w:lang w:val="en-US" w:eastAsia="zh-CN"/>
              </w:rPr>
              <w:t>220.5</w:t>
            </w:r>
          </w:p>
        </w:tc>
        <w:tc>
          <w:tcPr>
            <w:tcW w:w="4236" w:type="dxa"/>
            <w:vAlign w:val="center"/>
          </w:tcPr>
          <w:p w14:paraId="18032EBE">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w:t>
            </w:r>
          </w:p>
        </w:tc>
      </w:tr>
    </w:tbl>
    <w:p w14:paraId="2487B74A">
      <w:pPr>
        <w:pageBreakBefore w:val="0"/>
        <w:wordWrap/>
        <w:topLinePunct w:val="0"/>
        <w:bidi w:val="0"/>
        <w:spacing w:line="360" w:lineRule="auto"/>
        <w:rPr>
          <w:color w:val="000000" w:themeColor="text1"/>
          <w:highlight w:val="none"/>
        </w:rPr>
      </w:pPr>
    </w:p>
    <w:p w14:paraId="2D7B34E8">
      <w:pPr>
        <w:pStyle w:val="42"/>
        <w:pageBreakBefore w:val="0"/>
        <w:wordWrap/>
        <w:topLinePunct w:val="0"/>
        <w:bidi w:val="0"/>
        <w:spacing w:line="360" w:lineRule="auto"/>
        <w:rPr>
          <w:rFonts w:ascii="Times New Roman" w:eastAsia="宋体"/>
          <w:color w:val="000000" w:themeColor="text1"/>
          <w:szCs w:val="32"/>
          <w:highlight w:val="none"/>
        </w:rPr>
        <w:sectPr>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p>
    <w:p w14:paraId="3460A526">
      <w:pPr>
        <w:pStyle w:val="2"/>
        <w:pageBreakBefore w:val="0"/>
        <w:wordWrap/>
        <w:topLinePunct w:val="0"/>
        <w:bidi w:val="0"/>
        <w:spacing w:line="360" w:lineRule="auto"/>
        <w:ind w:left="431" w:hanging="431"/>
        <w:jc w:val="center"/>
        <w:rPr>
          <w:color w:val="000000" w:themeColor="text1"/>
          <w:highlight w:val="none"/>
        </w:rPr>
      </w:pPr>
      <w:bookmarkStart w:id="519" w:name="_Toc8815"/>
      <w:bookmarkStart w:id="520" w:name="_Toc1664"/>
      <w:bookmarkStart w:id="521" w:name="_Toc29462"/>
      <w:bookmarkStart w:id="522" w:name="_Toc30491"/>
      <w:bookmarkStart w:id="523" w:name="_Toc397591618"/>
      <w:bookmarkStart w:id="524" w:name="_Toc23359"/>
      <w:r>
        <w:rPr>
          <w:rFonts w:hint="eastAsia"/>
          <w:color w:val="000000" w:themeColor="text1"/>
          <w:highlight w:val="none"/>
          <w:lang w:val="en-US" w:eastAsia="zh-CN"/>
        </w:rPr>
        <w:t>8</w:t>
      </w:r>
      <w:r>
        <w:rPr>
          <w:color w:val="000000" w:themeColor="text1"/>
          <w:highlight w:val="none"/>
        </w:rPr>
        <w:t>环境影响经济损益分析</w:t>
      </w:r>
      <w:bookmarkEnd w:id="519"/>
      <w:bookmarkEnd w:id="520"/>
      <w:bookmarkEnd w:id="521"/>
      <w:bookmarkEnd w:id="522"/>
      <w:bookmarkEnd w:id="523"/>
      <w:bookmarkEnd w:id="524"/>
    </w:p>
    <w:p w14:paraId="4046FDCF">
      <w:pPr>
        <w:pageBreakBefore w:val="0"/>
        <w:wordWrap/>
        <w:topLinePunct w:val="0"/>
        <w:bidi w:val="0"/>
        <w:spacing w:line="360" w:lineRule="auto"/>
        <w:rPr>
          <w:color w:val="000000" w:themeColor="text1"/>
          <w:highlight w:val="none"/>
        </w:rPr>
      </w:pPr>
      <w:r>
        <w:rPr>
          <w:color w:val="000000" w:themeColor="text1"/>
          <w:highlight w:val="none"/>
        </w:rPr>
        <w:t>公路建设项目环境经济损益分析涉及面广，内容繁多，包括对项目沿线地区自然环境及交通运输环境等多方面分析与评述。本项目环境经济损益分析采用定性与定量相结合的分析方法进行，着重论述拟建道路工程建成投入营运后的综合效益。</w:t>
      </w:r>
    </w:p>
    <w:p w14:paraId="79394392">
      <w:pPr>
        <w:pStyle w:val="3"/>
        <w:pageBreakBefore w:val="0"/>
        <w:wordWrap/>
        <w:topLinePunct w:val="0"/>
        <w:bidi w:val="0"/>
        <w:spacing w:line="360" w:lineRule="auto"/>
        <w:rPr>
          <w:color w:val="000000" w:themeColor="text1"/>
          <w:highlight w:val="none"/>
        </w:rPr>
      </w:pPr>
      <w:bookmarkStart w:id="525" w:name="_Toc21497"/>
      <w:bookmarkStart w:id="526" w:name="_Toc14316"/>
      <w:bookmarkStart w:id="527" w:name="_Toc31627"/>
      <w:bookmarkStart w:id="528" w:name="_Toc3155"/>
      <w:bookmarkStart w:id="529" w:name="_Toc12147"/>
      <w:r>
        <w:rPr>
          <w:rFonts w:hint="eastAsia"/>
          <w:color w:val="000000" w:themeColor="text1"/>
          <w:highlight w:val="none"/>
          <w:lang w:val="en-US" w:eastAsia="zh-CN"/>
        </w:rPr>
        <w:t>8</w:t>
      </w:r>
      <w:r>
        <w:rPr>
          <w:color w:val="000000" w:themeColor="text1"/>
          <w:highlight w:val="none"/>
        </w:rPr>
        <w:t>.1直接环境经济效益结论</w:t>
      </w:r>
      <w:bookmarkEnd w:id="525"/>
      <w:bookmarkEnd w:id="526"/>
      <w:bookmarkEnd w:id="527"/>
      <w:bookmarkEnd w:id="528"/>
      <w:bookmarkEnd w:id="529"/>
    </w:p>
    <w:p w14:paraId="4BEB4131">
      <w:pPr>
        <w:pStyle w:val="108"/>
        <w:pageBreakBefore w:val="0"/>
        <w:wordWrap/>
        <w:topLinePunct w:val="0"/>
        <w:bidi w:val="0"/>
        <w:spacing w:line="360" w:lineRule="auto"/>
        <w:rPr>
          <w:color w:val="000000" w:themeColor="text1"/>
          <w:highlight w:val="none"/>
        </w:rPr>
      </w:pPr>
      <w:r>
        <w:rPr>
          <w:color w:val="000000" w:themeColor="text1"/>
          <w:highlight w:val="none"/>
        </w:rPr>
        <w:t>本项目总投资</w:t>
      </w:r>
      <w:r>
        <w:rPr>
          <w:rFonts w:hint="eastAsia"/>
          <w:color w:val="000000" w:themeColor="text1"/>
          <w:highlight w:val="none"/>
          <w:lang w:val="en-US" w:eastAsia="zh-CN"/>
        </w:rPr>
        <w:t>12509.47</w:t>
      </w:r>
      <w:r>
        <w:rPr>
          <w:rFonts w:hint="eastAsia"/>
          <w:color w:val="000000" w:themeColor="text1"/>
          <w:highlight w:val="none"/>
        </w:rPr>
        <w:t>万</w:t>
      </w:r>
      <w:r>
        <w:rPr>
          <w:color w:val="000000" w:themeColor="text1"/>
          <w:highlight w:val="none"/>
        </w:rPr>
        <w:t>元，环境保护投资合计</w:t>
      </w:r>
      <w:r>
        <w:rPr>
          <w:rFonts w:hint="eastAsia"/>
          <w:color w:val="000000" w:themeColor="text1"/>
          <w:spacing w:val="0"/>
          <w:highlight w:val="none"/>
          <w:lang w:val="en-US" w:eastAsia="zh-CN"/>
        </w:rPr>
        <w:t>220.5</w:t>
      </w:r>
      <w:r>
        <w:rPr>
          <w:color w:val="000000" w:themeColor="text1"/>
          <w:highlight w:val="none"/>
        </w:rPr>
        <w:t>万元，因此本项目环保投资比为</w:t>
      </w:r>
      <w:r>
        <w:rPr>
          <w:rFonts w:hint="eastAsia"/>
          <w:color w:val="000000" w:themeColor="text1"/>
          <w:highlight w:val="none"/>
          <w:lang w:val="en-US" w:eastAsia="zh-CN"/>
        </w:rPr>
        <w:t>1.76</w:t>
      </w:r>
      <w:r>
        <w:rPr>
          <w:rFonts w:hint="eastAsia"/>
          <w:color w:val="000000" w:themeColor="text1"/>
          <w:highlight w:val="none"/>
        </w:rPr>
        <w:t>%</w:t>
      </w:r>
      <w:r>
        <w:rPr>
          <w:color w:val="000000" w:themeColor="text1"/>
          <w:highlight w:val="none"/>
        </w:rPr>
        <w:t>。</w:t>
      </w:r>
    </w:p>
    <w:p w14:paraId="67C706D2">
      <w:pPr>
        <w:pageBreakBefore w:val="0"/>
        <w:wordWrap/>
        <w:topLinePunct w:val="0"/>
        <w:bidi w:val="0"/>
        <w:spacing w:line="360" w:lineRule="auto"/>
        <w:rPr>
          <w:color w:val="000000" w:themeColor="text1"/>
          <w:highlight w:val="none"/>
        </w:rPr>
      </w:pPr>
      <w:r>
        <w:rPr>
          <w:color w:val="000000" w:themeColor="text1"/>
          <w:highlight w:val="none"/>
        </w:rPr>
        <w:t>拟建道路施工和运营期间机动车尾气排放和交通噪声会对居民生活质量产生不利影响。因此，采取操作性强、切实可行环保措施后，每年所挽回的经济损失，亦即环保投资直接效益是显而易见的，但目前很难用具体货币形式来衡量。只能对工程建设不采取措施</w:t>
      </w:r>
      <w:r>
        <w:rPr>
          <w:rFonts w:hint="eastAsia"/>
          <w:color w:val="000000" w:themeColor="text1"/>
          <w:highlight w:val="none"/>
        </w:rPr>
        <w:t>时</w:t>
      </w:r>
      <w:r>
        <w:rPr>
          <w:color w:val="000000" w:themeColor="text1"/>
          <w:highlight w:val="none"/>
        </w:rPr>
        <w:t>而导致的生态环境、水环境、声环境和环境空气质量的变化所引起的对沿线人体健康、生活质量等方面的经济损失作粗略计算或定性分析用以反馈环保投资的直接经济效益。</w:t>
      </w:r>
    </w:p>
    <w:p w14:paraId="7E7D75E5">
      <w:pPr>
        <w:pStyle w:val="3"/>
        <w:pageBreakBefore w:val="0"/>
        <w:wordWrap/>
        <w:topLinePunct w:val="0"/>
        <w:bidi w:val="0"/>
        <w:spacing w:line="360" w:lineRule="auto"/>
        <w:rPr>
          <w:color w:val="000000" w:themeColor="text1"/>
          <w:highlight w:val="none"/>
        </w:rPr>
      </w:pPr>
      <w:bookmarkStart w:id="530" w:name="_Toc27794"/>
      <w:bookmarkStart w:id="531" w:name="_Toc14343"/>
      <w:bookmarkStart w:id="532" w:name="_Toc13267"/>
      <w:bookmarkStart w:id="533" w:name="_Toc13221"/>
      <w:bookmarkStart w:id="534" w:name="_Toc3943"/>
      <w:r>
        <w:rPr>
          <w:rFonts w:hint="eastAsia"/>
          <w:color w:val="000000" w:themeColor="text1"/>
          <w:highlight w:val="none"/>
          <w:lang w:val="en-US" w:eastAsia="zh-CN"/>
        </w:rPr>
        <w:t>8</w:t>
      </w:r>
      <w:r>
        <w:rPr>
          <w:color w:val="000000" w:themeColor="text1"/>
          <w:highlight w:val="none"/>
        </w:rPr>
        <w:t>.2间接环境经济效益分析</w:t>
      </w:r>
      <w:bookmarkEnd w:id="530"/>
      <w:bookmarkEnd w:id="531"/>
      <w:bookmarkEnd w:id="532"/>
      <w:bookmarkEnd w:id="533"/>
      <w:bookmarkEnd w:id="534"/>
    </w:p>
    <w:p w14:paraId="17A7A9DE">
      <w:pPr>
        <w:pageBreakBefore w:val="0"/>
        <w:wordWrap/>
        <w:topLinePunct w:val="0"/>
        <w:bidi w:val="0"/>
        <w:spacing w:line="360" w:lineRule="auto"/>
        <w:rPr>
          <w:color w:val="000000" w:themeColor="text1"/>
          <w:highlight w:val="none"/>
        </w:rPr>
      </w:pPr>
      <w:r>
        <w:rPr>
          <w:color w:val="000000" w:themeColor="text1"/>
          <w:highlight w:val="none"/>
        </w:rPr>
        <w:t>本项目实施有效环保措施后，会产生以下间接效益：保证沿线居民生活质量，维持居民环境心理健康等。所有这些间接效益目前很难用货币形式来度量，但它应是环保投资所获取社会效益的主要组成部分。如本项目建设可改善</w:t>
      </w:r>
      <w:r>
        <w:rPr>
          <w:rFonts w:hint="eastAsia"/>
          <w:color w:val="000000" w:themeColor="text1"/>
          <w:highlight w:val="none"/>
          <w:lang w:val="en-US" w:eastAsia="zh-CN"/>
        </w:rPr>
        <w:t>鹤岗市</w:t>
      </w:r>
      <w:r>
        <w:rPr>
          <w:color w:val="000000" w:themeColor="text1"/>
          <w:highlight w:val="none"/>
        </w:rPr>
        <w:t>至</w:t>
      </w:r>
      <w:r>
        <w:rPr>
          <w:rFonts w:hint="eastAsia"/>
          <w:color w:val="000000" w:themeColor="text1"/>
          <w:highlight w:val="none"/>
          <w:lang w:val="en-US" w:eastAsia="zh-CN"/>
        </w:rPr>
        <w:t>鹤岗机场</w:t>
      </w:r>
      <w:r>
        <w:rPr>
          <w:color w:val="000000" w:themeColor="text1"/>
          <w:highlight w:val="none"/>
        </w:rPr>
        <w:t>之间的交通路网，有效解决该区域交通问题。同时，本项目建设也</w:t>
      </w:r>
      <w:r>
        <w:rPr>
          <w:rFonts w:hint="eastAsia"/>
          <w:color w:val="000000" w:themeColor="text1"/>
          <w:highlight w:val="none"/>
          <w:lang w:val="en-US" w:eastAsia="zh-CN"/>
        </w:rPr>
        <w:t>可</w:t>
      </w:r>
      <w:r>
        <w:rPr>
          <w:color w:val="000000" w:themeColor="text1"/>
          <w:highlight w:val="none"/>
        </w:rPr>
        <w:t>提高城市可达性和城市交通效率，使城市环境得到改善，促进沿线区域经济发展。</w:t>
      </w:r>
    </w:p>
    <w:p w14:paraId="5F2CBD97">
      <w:pPr>
        <w:pageBreakBefore w:val="0"/>
        <w:tabs>
          <w:tab w:val="left" w:pos="567"/>
        </w:tabs>
        <w:wordWrap/>
        <w:topLinePunct w:val="0"/>
        <w:bidi w:val="0"/>
        <w:spacing w:line="360" w:lineRule="auto"/>
        <w:rPr>
          <w:color w:val="000000" w:themeColor="text1"/>
          <w:highlight w:val="none"/>
        </w:rPr>
      </w:pPr>
      <w:r>
        <w:rPr>
          <w:color w:val="000000" w:themeColor="text1"/>
          <w:highlight w:val="none"/>
        </w:rPr>
        <w:t>环保投资环境效益分析见表</w:t>
      </w:r>
      <w:r>
        <w:rPr>
          <w:rFonts w:hint="eastAsia"/>
          <w:color w:val="000000" w:themeColor="text1"/>
          <w:highlight w:val="none"/>
          <w:lang w:val="en-US" w:eastAsia="zh-CN"/>
        </w:rPr>
        <w:t>8</w:t>
      </w:r>
      <w:r>
        <w:rPr>
          <w:color w:val="000000" w:themeColor="text1"/>
          <w:highlight w:val="none"/>
        </w:rPr>
        <w:t>.2-1。</w:t>
      </w:r>
    </w:p>
    <w:p w14:paraId="1711F117">
      <w:pPr>
        <w:pStyle w:val="14"/>
        <w:pageBreakBefore w:val="0"/>
        <w:wordWrap/>
        <w:topLinePunct w:val="0"/>
        <w:bidi w:val="0"/>
        <w:spacing w:after="0" w:line="360" w:lineRule="auto"/>
        <w:ind w:left="0" w:leftChars="0" w:firstLine="482"/>
        <w:jc w:val="center"/>
        <w:rPr>
          <w:b/>
          <w:color w:val="000000" w:themeColor="text1"/>
          <w:sz w:val="24"/>
          <w:highlight w:val="none"/>
        </w:rPr>
      </w:pPr>
      <w:r>
        <w:rPr>
          <w:b/>
          <w:color w:val="000000" w:themeColor="text1"/>
          <w:sz w:val="24"/>
          <w:highlight w:val="none"/>
        </w:rPr>
        <w:t>表</w:t>
      </w:r>
      <w:r>
        <w:rPr>
          <w:rFonts w:hint="eastAsia"/>
          <w:b/>
          <w:color w:val="000000" w:themeColor="text1"/>
          <w:sz w:val="24"/>
          <w:highlight w:val="none"/>
          <w:lang w:val="en-US" w:eastAsia="zh-CN"/>
        </w:rPr>
        <w:t>8</w:t>
      </w:r>
      <w:r>
        <w:rPr>
          <w:b/>
          <w:color w:val="000000" w:themeColor="text1"/>
          <w:sz w:val="24"/>
          <w:highlight w:val="none"/>
        </w:rPr>
        <w:t>.2-1  环保投资的环境、经济效益定性分析表</w:t>
      </w:r>
    </w:p>
    <w:tbl>
      <w:tblPr>
        <w:tblStyle w:val="33"/>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28" w:type="dxa"/>
          <w:bottom w:w="0" w:type="dxa"/>
          <w:right w:w="28" w:type="dxa"/>
        </w:tblCellMar>
      </w:tblPr>
      <w:tblGrid>
        <w:gridCol w:w="996"/>
        <w:gridCol w:w="2099"/>
        <w:gridCol w:w="2602"/>
        <w:gridCol w:w="2671"/>
      </w:tblGrid>
      <w:tr w14:paraId="44615D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top w:val="single" w:color="auto" w:sz="12" w:space="0"/>
              <w:left w:val="nil"/>
            </w:tcBorders>
            <w:vAlign w:val="center"/>
          </w:tcPr>
          <w:p w14:paraId="57BF6917">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环保投资</w:t>
            </w:r>
          </w:p>
        </w:tc>
        <w:tc>
          <w:tcPr>
            <w:tcW w:w="2099" w:type="dxa"/>
            <w:tcBorders>
              <w:top w:val="single" w:color="auto" w:sz="12" w:space="0"/>
            </w:tcBorders>
            <w:vAlign w:val="center"/>
          </w:tcPr>
          <w:p w14:paraId="360B61CE">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环境效益</w:t>
            </w:r>
          </w:p>
        </w:tc>
        <w:tc>
          <w:tcPr>
            <w:tcW w:w="2602" w:type="dxa"/>
            <w:tcBorders>
              <w:top w:val="single" w:color="auto" w:sz="12" w:space="0"/>
            </w:tcBorders>
            <w:vAlign w:val="center"/>
          </w:tcPr>
          <w:p w14:paraId="530CAC63">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社会经济效益</w:t>
            </w:r>
          </w:p>
        </w:tc>
        <w:tc>
          <w:tcPr>
            <w:tcW w:w="2671" w:type="dxa"/>
            <w:tcBorders>
              <w:top w:val="single" w:color="auto" w:sz="12" w:space="0"/>
              <w:right w:val="nil"/>
            </w:tcBorders>
            <w:vAlign w:val="center"/>
          </w:tcPr>
          <w:p w14:paraId="27CCB364">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综合效益</w:t>
            </w:r>
          </w:p>
        </w:tc>
      </w:tr>
      <w:tr w14:paraId="7D7589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left w:val="nil"/>
            </w:tcBorders>
            <w:vAlign w:val="center"/>
          </w:tcPr>
          <w:p w14:paraId="4D003EBB">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施工期</w:t>
            </w:r>
          </w:p>
          <w:p w14:paraId="6347AE66">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环保措施</w:t>
            </w:r>
          </w:p>
        </w:tc>
        <w:tc>
          <w:tcPr>
            <w:tcW w:w="2099" w:type="dxa"/>
            <w:vAlign w:val="center"/>
          </w:tcPr>
          <w:p w14:paraId="1EF7FD23">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1．防止施工扰民</w:t>
            </w:r>
          </w:p>
          <w:p w14:paraId="24BEA150">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2．防止水环境污染</w:t>
            </w:r>
          </w:p>
          <w:p w14:paraId="41D5B55E">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3．防止空气污染</w:t>
            </w:r>
          </w:p>
          <w:p w14:paraId="6ABF75AE">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4．保护表土资源</w:t>
            </w:r>
          </w:p>
        </w:tc>
        <w:tc>
          <w:tcPr>
            <w:tcW w:w="2602" w:type="dxa"/>
            <w:vAlign w:val="center"/>
          </w:tcPr>
          <w:p w14:paraId="70B4A036">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1．保护人们生活、生产环境</w:t>
            </w:r>
          </w:p>
          <w:p w14:paraId="30990D41">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2．保护表土资源等</w:t>
            </w:r>
          </w:p>
          <w:p w14:paraId="612B3033">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3．保护国家财产安全、公众人身安全</w:t>
            </w:r>
          </w:p>
        </w:tc>
        <w:tc>
          <w:tcPr>
            <w:tcW w:w="2671" w:type="dxa"/>
            <w:tcBorders>
              <w:right w:val="nil"/>
            </w:tcBorders>
            <w:vAlign w:val="center"/>
          </w:tcPr>
          <w:p w14:paraId="70775588">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1．使施工期对环境的不利影响降到最低</w:t>
            </w:r>
          </w:p>
          <w:p w14:paraId="416E03D1">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2．道路建设得到群众的支持</w:t>
            </w:r>
          </w:p>
          <w:p w14:paraId="0D25F0F9">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3．提高部分土地的利用价值</w:t>
            </w:r>
          </w:p>
        </w:tc>
      </w:tr>
      <w:tr w14:paraId="15D239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left w:val="nil"/>
            </w:tcBorders>
            <w:vAlign w:val="center"/>
          </w:tcPr>
          <w:p w14:paraId="2EB9A3E4">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废气防治工程</w:t>
            </w:r>
          </w:p>
        </w:tc>
        <w:tc>
          <w:tcPr>
            <w:tcW w:w="2099" w:type="dxa"/>
            <w:vAlign w:val="center"/>
          </w:tcPr>
          <w:p w14:paraId="325DBD6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防止废气对沿线环境空气造成污染</w:t>
            </w:r>
          </w:p>
        </w:tc>
        <w:tc>
          <w:tcPr>
            <w:tcW w:w="2602" w:type="dxa"/>
            <w:vAlign w:val="center"/>
          </w:tcPr>
          <w:p w14:paraId="434BBB8D">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保护沿线居民生活环境</w:t>
            </w:r>
          </w:p>
        </w:tc>
        <w:tc>
          <w:tcPr>
            <w:tcW w:w="2671" w:type="dxa"/>
            <w:tcBorders>
              <w:right w:val="nil"/>
            </w:tcBorders>
            <w:vAlign w:val="center"/>
          </w:tcPr>
          <w:p w14:paraId="30333C4A">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保护人们生产、</w:t>
            </w:r>
          </w:p>
          <w:p w14:paraId="368F858A">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生活环境质量</w:t>
            </w:r>
          </w:p>
        </w:tc>
      </w:tr>
      <w:tr w14:paraId="3112DD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left w:val="nil"/>
            </w:tcBorders>
            <w:vAlign w:val="center"/>
          </w:tcPr>
          <w:p w14:paraId="048375B2">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噪声</w:t>
            </w:r>
          </w:p>
          <w:p w14:paraId="35C0D4DD">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防治工程</w:t>
            </w:r>
          </w:p>
        </w:tc>
        <w:tc>
          <w:tcPr>
            <w:tcW w:w="2099" w:type="dxa"/>
            <w:vAlign w:val="center"/>
          </w:tcPr>
          <w:p w14:paraId="05EEDB6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防止交通噪声对沿线地区声环境的污染</w:t>
            </w:r>
          </w:p>
        </w:tc>
        <w:tc>
          <w:tcPr>
            <w:tcW w:w="2602" w:type="dxa"/>
            <w:vAlign w:val="center"/>
          </w:tcPr>
          <w:p w14:paraId="4FB80AA1">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保护沿线居民生活环境、土地保值</w:t>
            </w:r>
          </w:p>
        </w:tc>
        <w:tc>
          <w:tcPr>
            <w:tcW w:w="2671" w:type="dxa"/>
            <w:tcBorders>
              <w:right w:val="nil"/>
            </w:tcBorders>
            <w:vAlign w:val="center"/>
          </w:tcPr>
          <w:p w14:paraId="0F4BE55B">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保护人们生产、生活环境质量，以及人们的身体健康</w:t>
            </w:r>
          </w:p>
        </w:tc>
      </w:tr>
      <w:tr w14:paraId="57D286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left w:val="nil"/>
            </w:tcBorders>
            <w:vAlign w:val="center"/>
          </w:tcPr>
          <w:p w14:paraId="51BBC420">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固废防治工程</w:t>
            </w:r>
          </w:p>
        </w:tc>
        <w:tc>
          <w:tcPr>
            <w:tcW w:w="2099" w:type="dxa"/>
            <w:vAlign w:val="center"/>
          </w:tcPr>
          <w:p w14:paraId="2D8F3127">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防止固废废物对沿线地区环境的污染</w:t>
            </w:r>
          </w:p>
        </w:tc>
        <w:tc>
          <w:tcPr>
            <w:tcW w:w="2602" w:type="dxa"/>
            <w:vAlign w:val="center"/>
          </w:tcPr>
          <w:p w14:paraId="4AB5B2EA">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保护沿线居民生活环境</w:t>
            </w:r>
          </w:p>
        </w:tc>
        <w:tc>
          <w:tcPr>
            <w:tcW w:w="2671" w:type="dxa"/>
            <w:tcBorders>
              <w:right w:val="nil"/>
            </w:tcBorders>
            <w:vAlign w:val="center"/>
          </w:tcPr>
          <w:p w14:paraId="0481DB1B">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保护人们生产、</w:t>
            </w:r>
          </w:p>
          <w:p w14:paraId="47054E0E">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生活环境质量</w:t>
            </w:r>
          </w:p>
        </w:tc>
      </w:tr>
      <w:tr w14:paraId="54C616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left w:val="nil"/>
            </w:tcBorders>
            <w:vAlign w:val="center"/>
          </w:tcPr>
          <w:p w14:paraId="791E571E">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生态环境保护</w:t>
            </w:r>
          </w:p>
        </w:tc>
        <w:tc>
          <w:tcPr>
            <w:tcW w:w="2099" w:type="dxa"/>
            <w:vAlign w:val="center"/>
          </w:tcPr>
          <w:p w14:paraId="78D0C906">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1．美化道路景观</w:t>
            </w:r>
          </w:p>
          <w:p w14:paraId="63AB2E3E">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2．水土保持</w:t>
            </w:r>
          </w:p>
          <w:p w14:paraId="7709337C">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3．恢复或补偿植被</w:t>
            </w:r>
          </w:p>
        </w:tc>
        <w:tc>
          <w:tcPr>
            <w:tcW w:w="2602" w:type="dxa"/>
            <w:vAlign w:val="center"/>
          </w:tcPr>
          <w:p w14:paraId="5075F71C">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1．改善整体环境</w:t>
            </w:r>
          </w:p>
          <w:p w14:paraId="1FC28787">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2．防止土壤侵蚀进一步扩大</w:t>
            </w:r>
          </w:p>
          <w:p w14:paraId="6BF4D48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3．保证路基稳定性</w:t>
            </w:r>
          </w:p>
          <w:p w14:paraId="79555C6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4．保护土地资源和动态平衡</w:t>
            </w:r>
          </w:p>
          <w:p w14:paraId="3DCB6FD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5．提高沿线土地使用价值</w:t>
            </w:r>
          </w:p>
        </w:tc>
        <w:tc>
          <w:tcPr>
            <w:tcW w:w="2671" w:type="dxa"/>
            <w:tcBorders>
              <w:right w:val="nil"/>
            </w:tcBorders>
            <w:vAlign w:val="center"/>
          </w:tcPr>
          <w:p w14:paraId="342FDC94">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1．改善区域生态环境</w:t>
            </w:r>
          </w:p>
          <w:p w14:paraId="2787C5B9">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2．保障道路运输安全</w:t>
            </w:r>
          </w:p>
          <w:p w14:paraId="75202A79">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3．增加旅行安全和舒适感</w:t>
            </w:r>
          </w:p>
        </w:tc>
      </w:tr>
      <w:tr w14:paraId="1CA39C1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96" w:type="dxa"/>
            <w:tcBorders>
              <w:left w:val="nil"/>
              <w:bottom w:val="single" w:color="auto" w:sz="12" w:space="0"/>
            </w:tcBorders>
            <w:vAlign w:val="center"/>
          </w:tcPr>
          <w:p w14:paraId="303DC3B9">
            <w:pPr>
              <w:pStyle w:val="84"/>
              <w:pageBreakBefore w:val="0"/>
              <w:wordWrap/>
              <w:topLinePunct w:val="0"/>
              <w:bidi w:val="0"/>
              <w:spacing w:line="240" w:lineRule="auto"/>
              <w:rPr>
                <w:rFonts w:hAnsi="Times New Roman"/>
                <w:color w:val="000000" w:themeColor="text1"/>
                <w:highlight w:val="none"/>
              </w:rPr>
            </w:pPr>
            <w:r>
              <w:rPr>
                <w:rFonts w:hAnsi="Times New Roman"/>
                <w:color w:val="000000" w:themeColor="text1"/>
                <w:highlight w:val="none"/>
              </w:rPr>
              <w:t>环境监测环境管理</w:t>
            </w:r>
          </w:p>
        </w:tc>
        <w:tc>
          <w:tcPr>
            <w:tcW w:w="2099" w:type="dxa"/>
            <w:tcBorders>
              <w:bottom w:val="single" w:color="auto" w:sz="12" w:space="0"/>
            </w:tcBorders>
            <w:vAlign w:val="center"/>
          </w:tcPr>
          <w:p w14:paraId="1CB12C0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1．掌握项目沿线地区环境质量状况及变化趋势</w:t>
            </w:r>
          </w:p>
          <w:p w14:paraId="240AA2E1">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2．保护沿线地区环境</w:t>
            </w:r>
          </w:p>
        </w:tc>
        <w:tc>
          <w:tcPr>
            <w:tcW w:w="2602" w:type="dxa"/>
            <w:tcBorders>
              <w:bottom w:val="single" w:color="auto" w:sz="12" w:space="0"/>
            </w:tcBorders>
            <w:vAlign w:val="center"/>
          </w:tcPr>
          <w:p w14:paraId="3D7D1895">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1．长期维护沿线环境质量</w:t>
            </w:r>
          </w:p>
          <w:p w14:paraId="72A4DA82">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2．保护人类及生物生存环境</w:t>
            </w:r>
          </w:p>
        </w:tc>
        <w:tc>
          <w:tcPr>
            <w:tcW w:w="2671" w:type="dxa"/>
            <w:tcBorders>
              <w:bottom w:val="single" w:color="auto" w:sz="12" w:space="0"/>
              <w:right w:val="nil"/>
            </w:tcBorders>
            <w:vAlign w:val="center"/>
          </w:tcPr>
          <w:p w14:paraId="63D42D2F">
            <w:pPr>
              <w:pStyle w:val="84"/>
              <w:pageBreakBefore w:val="0"/>
              <w:wordWrap/>
              <w:topLinePunct w:val="0"/>
              <w:bidi w:val="0"/>
              <w:spacing w:line="240" w:lineRule="auto"/>
              <w:jc w:val="left"/>
              <w:rPr>
                <w:rFonts w:hAnsi="Times New Roman"/>
                <w:color w:val="000000" w:themeColor="text1"/>
                <w:highlight w:val="none"/>
              </w:rPr>
            </w:pPr>
            <w:r>
              <w:rPr>
                <w:rFonts w:hAnsi="Times New Roman"/>
                <w:color w:val="000000" w:themeColor="text1"/>
                <w:highlight w:val="none"/>
              </w:rPr>
              <w:t>经济与环境可持续发展</w:t>
            </w:r>
          </w:p>
        </w:tc>
      </w:tr>
    </w:tbl>
    <w:p w14:paraId="7E87E60D">
      <w:pPr>
        <w:pStyle w:val="3"/>
        <w:pageBreakBefore w:val="0"/>
        <w:wordWrap/>
        <w:topLinePunct w:val="0"/>
        <w:bidi w:val="0"/>
        <w:spacing w:line="360" w:lineRule="auto"/>
        <w:rPr>
          <w:color w:val="000000" w:themeColor="text1"/>
          <w:highlight w:val="none"/>
        </w:rPr>
      </w:pPr>
      <w:bookmarkStart w:id="535" w:name="_Toc10877"/>
      <w:bookmarkStart w:id="536" w:name="_Toc518574399"/>
      <w:bookmarkStart w:id="537" w:name="_Toc9506"/>
      <w:bookmarkStart w:id="538" w:name="_Toc9351"/>
      <w:bookmarkStart w:id="539" w:name="_Toc9842"/>
      <w:bookmarkStart w:id="540" w:name="_Toc397591622"/>
      <w:r>
        <w:rPr>
          <w:rFonts w:hint="eastAsia"/>
          <w:color w:val="000000" w:themeColor="text1"/>
          <w:highlight w:val="none"/>
          <w:lang w:val="en-US" w:eastAsia="zh-CN"/>
        </w:rPr>
        <w:t>8</w:t>
      </w:r>
      <w:r>
        <w:rPr>
          <w:color w:val="000000" w:themeColor="text1"/>
          <w:highlight w:val="none"/>
        </w:rPr>
        <w:t>.3结论</w:t>
      </w:r>
      <w:bookmarkEnd w:id="535"/>
      <w:bookmarkEnd w:id="536"/>
      <w:bookmarkEnd w:id="537"/>
      <w:bookmarkEnd w:id="538"/>
      <w:bookmarkEnd w:id="539"/>
      <w:bookmarkEnd w:id="540"/>
    </w:p>
    <w:p w14:paraId="26C1325D">
      <w:pPr>
        <w:pageBreakBefore w:val="0"/>
        <w:wordWrap/>
        <w:topLinePunct w:val="0"/>
        <w:bidi w:val="0"/>
        <w:spacing w:line="360" w:lineRule="auto"/>
        <w:rPr>
          <w:color w:val="000000" w:themeColor="text1"/>
          <w:highlight w:val="none"/>
        </w:rPr>
        <w:sectPr>
          <w:pgSz w:w="11906" w:h="16838"/>
          <w:pgMar w:top="1440" w:right="1797" w:bottom="1440" w:left="1797" w:header="1021" w:footer="1021" w:gutter="0"/>
          <w:pgBorders>
            <w:top w:val="none" w:sz="0" w:space="0"/>
            <w:left w:val="none" w:sz="0" w:space="0"/>
            <w:bottom w:val="none" w:sz="0" w:space="0"/>
            <w:right w:val="none" w:sz="0" w:space="0"/>
          </w:pgBorders>
          <w:pgNumType w:fmt="decimal"/>
          <w:cols w:space="720" w:num="1"/>
          <w:docGrid w:linePitch="312" w:charSpace="0"/>
        </w:sectPr>
      </w:pPr>
      <w:r>
        <w:rPr>
          <w:color w:val="000000" w:themeColor="text1"/>
          <w:highlight w:val="none"/>
        </w:rPr>
        <w:t>本项目环境效益大于环保投资经济损失，环境保护投资合理，因而项目是可行的。</w:t>
      </w:r>
    </w:p>
    <w:p w14:paraId="0FC414E9">
      <w:pPr>
        <w:pStyle w:val="2"/>
        <w:pageBreakBefore w:val="0"/>
        <w:wordWrap/>
        <w:topLinePunct w:val="0"/>
        <w:bidi w:val="0"/>
        <w:spacing w:line="360" w:lineRule="auto"/>
        <w:ind w:left="431" w:hanging="431"/>
        <w:jc w:val="center"/>
        <w:rPr>
          <w:color w:val="000000" w:themeColor="text1"/>
          <w:highlight w:val="none"/>
        </w:rPr>
      </w:pPr>
      <w:bookmarkStart w:id="541" w:name="_Toc23117"/>
      <w:bookmarkStart w:id="542" w:name="_Toc15788"/>
      <w:bookmarkStart w:id="543" w:name="_Toc397591613"/>
      <w:bookmarkStart w:id="544" w:name="_Toc6133"/>
      <w:bookmarkStart w:id="545" w:name="_Toc13821"/>
      <w:bookmarkStart w:id="546" w:name="_Toc8549"/>
      <w:r>
        <w:rPr>
          <w:rFonts w:hint="eastAsia"/>
          <w:color w:val="000000" w:themeColor="text1"/>
          <w:highlight w:val="none"/>
          <w:lang w:val="en-US" w:eastAsia="zh-CN"/>
        </w:rPr>
        <w:t>9</w:t>
      </w:r>
      <w:r>
        <w:rPr>
          <w:color w:val="000000" w:themeColor="text1"/>
          <w:highlight w:val="none"/>
        </w:rPr>
        <w:t>环境管理与监测计划</w:t>
      </w:r>
      <w:bookmarkEnd w:id="541"/>
      <w:bookmarkEnd w:id="542"/>
      <w:bookmarkEnd w:id="543"/>
      <w:bookmarkEnd w:id="544"/>
      <w:bookmarkEnd w:id="545"/>
      <w:bookmarkEnd w:id="546"/>
    </w:p>
    <w:p w14:paraId="4AE75E31">
      <w:pPr>
        <w:pStyle w:val="3"/>
        <w:pageBreakBefore w:val="0"/>
        <w:wordWrap/>
        <w:topLinePunct w:val="0"/>
        <w:bidi w:val="0"/>
        <w:spacing w:line="360" w:lineRule="auto"/>
        <w:rPr>
          <w:color w:val="000000" w:themeColor="text1"/>
          <w:highlight w:val="none"/>
        </w:rPr>
      </w:pPr>
      <w:bookmarkStart w:id="547" w:name="_Toc12453"/>
      <w:bookmarkStart w:id="548" w:name="_Toc1147"/>
      <w:bookmarkStart w:id="549" w:name="_Toc1613"/>
      <w:bookmarkStart w:id="550" w:name="_Toc19457"/>
      <w:bookmarkStart w:id="551" w:name="_Toc7387"/>
      <w:bookmarkStart w:id="552" w:name="_Toc397591614"/>
      <w:r>
        <w:rPr>
          <w:rFonts w:hint="eastAsia"/>
          <w:color w:val="000000" w:themeColor="text1"/>
          <w:highlight w:val="none"/>
          <w:lang w:val="en-US" w:eastAsia="zh-CN"/>
        </w:rPr>
        <w:t>9</w:t>
      </w:r>
      <w:r>
        <w:rPr>
          <w:color w:val="000000" w:themeColor="text1"/>
          <w:highlight w:val="none"/>
        </w:rPr>
        <w:t>.1环境保护管理</w:t>
      </w:r>
      <w:bookmarkEnd w:id="547"/>
      <w:bookmarkEnd w:id="548"/>
      <w:bookmarkEnd w:id="549"/>
      <w:bookmarkEnd w:id="550"/>
      <w:bookmarkEnd w:id="551"/>
      <w:bookmarkEnd w:id="552"/>
    </w:p>
    <w:p w14:paraId="3E720FC7">
      <w:pPr>
        <w:pStyle w:val="4"/>
        <w:pageBreakBefore w:val="0"/>
        <w:wordWrap/>
        <w:topLinePunct w:val="0"/>
        <w:bidi w:val="0"/>
        <w:spacing w:before="120" w:line="360" w:lineRule="auto"/>
        <w:ind w:left="851" w:hanging="851"/>
        <w:rPr>
          <w:color w:val="000000" w:themeColor="text1"/>
          <w:highlight w:val="none"/>
        </w:rPr>
      </w:pPr>
      <w:bookmarkStart w:id="553" w:name="_Toc30956"/>
      <w:bookmarkStart w:id="554" w:name="_Toc11980"/>
      <w:r>
        <w:rPr>
          <w:rFonts w:hint="eastAsia"/>
          <w:color w:val="000000" w:themeColor="text1"/>
          <w:highlight w:val="none"/>
          <w:lang w:val="en-US" w:eastAsia="zh-CN"/>
        </w:rPr>
        <w:t>9</w:t>
      </w:r>
      <w:r>
        <w:rPr>
          <w:color w:val="000000" w:themeColor="text1"/>
          <w:highlight w:val="none"/>
        </w:rPr>
        <w:t>.1.1环境管理计划目标</w:t>
      </w:r>
      <w:bookmarkEnd w:id="553"/>
      <w:bookmarkEnd w:id="554"/>
    </w:p>
    <w:p w14:paraId="1B8693A9">
      <w:pPr>
        <w:pageBreakBefore w:val="0"/>
        <w:wordWrap/>
        <w:topLinePunct w:val="0"/>
        <w:bidi w:val="0"/>
        <w:spacing w:line="360" w:lineRule="auto"/>
        <w:rPr>
          <w:color w:val="000000" w:themeColor="text1"/>
          <w:highlight w:val="none"/>
        </w:rPr>
      </w:pPr>
      <w:r>
        <w:rPr>
          <w:color w:val="000000" w:themeColor="text1"/>
          <w:highlight w:val="none"/>
        </w:rPr>
        <w:t>环境管理，是使工程建设各时期环保措施得以落实的重要保证手段。通过环境管理，可以使工程建设和环境保护得以同时实施，使项目建设符合国家经济建设和社会建设</w:t>
      </w:r>
      <w:r>
        <w:rPr>
          <w:rFonts w:hint="eastAsia"/>
          <w:color w:val="000000" w:themeColor="text1"/>
          <w:highlight w:val="none"/>
          <w:lang w:eastAsia="zh-CN"/>
        </w:rPr>
        <w:t>“</w:t>
      </w:r>
      <w:r>
        <w:rPr>
          <w:color w:val="000000" w:themeColor="text1"/>
          <w:highlight w:val="none"/>
        </w:rPr>
        <w:t>三同时</w:t>
      </w:r>
      <w:r>
        <w:rPr>
          <w:rFonts w:hint="eastAsia"/>
          <w:color w:val="000000" w:themeColor="text1"/>
          <w:highlight w:val="none"/>
          <w:lang w:eastAsia="zh-CN"/>
        </w:rPr>
        <w:t>”</w:t>
      </w:r>
      <w:r>
        <w:rPr>
          <w:color w:val="000000" w:themeColor="text1"/>
          <w:highlight w:val="none"/>
        </w:rPr>
        <w:t>方针，使地方环保部门具有可监督的依据，通过实施环境管理计划，将拟建公路建设和营运对生态环境、地表水环境、环境噪声以及环境空气质量的负面影响减缓到相应法规和标准限值要求之内，使工程建设经济效益和环境效益得以协调、持续和稳定发展。</w:t>
      </w:r>
    </w:p>
    <w:p w14:paraId="58536E27">
      <w:pPr>
        <w:pStyle w:val="4"/>
        <w:pageBreakBefore w:val="0"/>
        <w:wordWrap/>
        <w:topLinePunct w:val="0"/>
        <w:bidi w:val="0"/>
        <w:spacing w:before="120" w:line="360" w:lineRule="auto"/>
        <w:ind w:left="851" w:hanging="851"/>
        <w:rPr>
          <w:color w:val="000000" w:themeColor="text1"/>
          <w:highlight w:val="none"/>
        </w:rPr>
      </w:pPr>
      <w:bookmarkStart w:id="555" w:name="_Toc7109"/>
      <w:bookmarkStart w:id="556" w:name="_Toc1806"/>
      <w:r>
        <w:rPr>
          <w:rFonts w:hint="eastAsia"/>
          <w:color w:val="000000" w:themeColor="text1"/>
          <w:highlight w:val="none"/>
          <w:lang w:val="en-US" w:eastAsia="zh-CN"/>
        </w:rPr>
        <w:t>9</w:t>
      </w:r>
      <w:r>
        <w:rPr>
          <w:color w:val="000000" w:themeColor="text1"/>
          <w:highlight w:val="none"/>
        </w:rPr>
        <w:t>.1.2环境保护管理体系</w:t>
      </w:r>
      <w:bookmarkEnd w:id="555"/>
      <w:bookmarkEnd w:id="556"/>
    </w:p>
    <w:p w14:paraId="06AB6D5A">
      <w:pPr>
        <w:pageBreakBefore w:val="0"/>
        <w:wordWrap/>
        <w:topLinePunct w:val="0"/>
        <w:bidi w:val="0"/>
        <w:spacing w:line="360" w:lineRule="auto"/>
        <w:rPr>
          <w:color w:val="000000" w:themeColor="text1"/>
          <w:highlight w:val="none"/>
        </w:rPr>
      </w:pPr>
      <w:r>
        <w:rPr>
          <w:color w:val="000000" w:themeColor="text1"/>
          <w:highlight w:val="none"/>
        </w:rPr>
        <w:t>本项目</w:t>
      </w:r>
      <w:r>
        <w:rPr>
          <w:rFonts w:hint="eastAsia"/>
          <w:color w:val="000000" w:themeColor="text1"/>
          <w:highlight w:val="none"/>
          <w:lang w:val="en-US" w:eastAsia="zh-CN"/>
        </w:rPr>
        <w:t>建设</w:t>
      </w:r>
      <w:r>
        <w:rPr>
          <w:color w:val="000000" w:themeColor="text1"/>
          <w:highlight w:val="none"/>
        </w:rPr>
        <w:t>单位</w:t>
      </w:r>
      <w:r>
        <w:rPr>
          <w:rFonts w:hint="eastAsia"/>
          <w:color w:val="000000" w:themeColor="text1"/>
          <w:highlight w:val="none"/>
        </w:rPr>
        <w:t>为</w:t>
      </w:r>
      <w:r>
        <w:rPr>
          <w:rFonts w:hint="eastAsia"/>
          <w:color w:val="000000" w:themeColor="text1"/>
          <w:highlight w:val="none"/>
          <w:lang w:val="en-US" w:eastAsia="zh-CN"/>
        </w:rPr>
        <w:t>鹤岗宝泉机场建设有限公司</w:t>
      </w:r>
      <w:r>
        <w:rPr>
          <w:rFonts w:hint="eastAsia"/>
          <w:color w:val="000000" w:themeColor="text1"/>
          <w:highlight w:val="none"/>
        </w:rPr>
        <w:t>，</w:t>
      </w:r>
      <w:r>
        <w:rPr>
          <w:color w:val="000000" w:themeColor="text1"/>
          <w:highlight w:val="none"/>
        </w:rPr>
        <w:t>为本项目施工期和营运期的管理机构</w:t>
      </w:r>
      <w:r>
        <w:rPr>
          <w:rFonts w:hint="eastAsia"/>
          <w:color w:val="000000" w:themeColor="text1"/>
          <w:highlight w:val="none"/>
        </w:rPr>
        <w:t>，</w:t>
      </w:r>
      <w:r>
        <w:rPr>
          <w:color w:val="000000" w:themeColor="text1"/>
          <w:highlight w:val="none"/>
        </w:rPr>
        <w:t>有责任做好该项目的环境管理工作。</w:t>
      </w:r>
      <w:r>
        <w:rPr>
          <w:rFonts w:hint="eastAsia"/>
          <w:color w:val="000000" w:themeColor="text1"/>
          <w:highlight w:val="none"/>
          <w:lang w:val="en-US" w:eastAsia="zh-CN"/>
        </w:rPr>
        <w:t>鹤岗</w:t>
      </w:r>
      <w:r>
        <w:rPr>
          <w:color w:val="000000" w:themeColor="text1"/>
          <w:highlight w:val="none"/>
        </w:rPr>
        <w:t>市</w:t>
      </w:r>
      <w:r>
        <w:rPr>
          <w:rFonts w:hint="eastAsia"/>
          <w:color w:val="000000" w:themeColor="text1"/>
          <w:highlight w:val="none"/>
        </w:rPr>
        <w:t>生态环境</w:t>
      </w:r>
      <w:r>
        <w:rPr>
          <w:color w:val="000000" w:themeColor="text1"/>
          <w:highlight w:val="none"/>
        </w:rPr>
        <w:t>局为该项目的监督机构</w:t>
      </w:r>
      <w:r>
        <w:rPr>
          <w:rFonts w:hint="eastAsia"/>
          <w:color w:val="000000" w:themeColor="text1"/>
          <w:highlight w:val="none"/>
        </w:rPr>
        <w:t>，</w:t>
      </w:r>
      <w:r>
        <w:rPr>
          <w:color w:val="000000" w:themeColor="text1"/>
          <w:highlight w:val="none"/>
        </w:rPr>
        <w:t>有责任做好项目影响报告书的环境监督、监理工作。其组织机构框图如下：</w:t>
      </w:r>
    </w:p>
    <w:p w14:paraId="0AB5EA4A">
      <w:pPr>
        <w:pageBreakBefore w:val="0"/>
        <w:wordWrap/>
        <w:topLinePunct w:val="0"/>
        <w:bidi w:val="0"/>
        <w:adjustRightInd/>
        <w:snapToGrid/>
        <w:spacing w:line="360" w:lineRule="auto"/>
        <w:jc w:val="left"/>
        <w:rPr>
          <w:color w:val="000000" w:themeColor="text1"/>
          <w:highlight w:val="none"/>
        </w:rPr>
      </w:pPr>
      <w:r>
        <w:rPr>
          <w:color w:val="000000" w:themeColor="text1"/>
          <w:highlight w:val="none"/>
        </w:rPr>
        <w:pict>
          <v:rect id="矩形 359" o:spid="_x0000_s2078" o:spt="1" style="position:absolute;left:0pt;margin-left:136.55pt;margin-top:11.9pt;height:26.2pt;width:170.8pt;z-index:251678720;mso-width-relative:page;mso-height-relative:page;" fillcolor="#FFFFFF" filled="t" stroked="t" coordsize="21600,21600">
            <v:path/>
            <v:fill on="t" color2="#FFFFFF" focussize="0,0"/>
            <v:stroke color="#000000" joinstyle="miter"/>
            <v:imagedata o:title=""/>
            <o:lock v:ext="edit" aspectratio="f"/>
            <v:textbox>
              <w:txbxContent>
                <w:p w14:paraId="343A9772">
                  <w:pPr>
                    <w:spacing w:line="240" w:lineRule="auto"/>
                    <w:ind w:firstLine="105" w:firstLineChars="50"/>
                    <w:jc w:val="center"/>
                    <w:rPr>
                      <w:sz w:val="21"/>
                      <w:szCs w:val="21"/>
                    </w:rPr>
                  </w:pPr>
                  <w:r>
                    <w:rPr>
                      <w:rFonts w:hint="eastAsia"/>
                      <w:sz w:val="21"/>
                      <w:szCs w:val="21"/>
                      <w:lang w:val="en-US" w:eastAsia="zh-CN"/>
                    </w:rPr>
                    <w:t>鹤岗宝泉机场建设有限公司</w:t>
                  </w:r>
                </w:p>
              </w:txbxContent>
            </v:textbox>
          </v:rect>
        </w:pict>
      </w:r>
    </w:p>
    <w:p w14:paraId="490EEF1E">
      <w:pPr>
        <w:pageBreakBefore w:val="0"/>
        <w:wordWrap/>
        <w:topLinePunct w:val="0"/>
        <w:bidi w:val="0"/>
        <w:adjustRightInd/>
        <w:snapToGrid/>
        <w:spacing w:line="360" w:lineRule="auto"/>
        <w:jc w:val="left"/>
        <w:rPr>
          <w:color w:val="000000" w:themeColor="text1"/>
          <w:highlight w:val="none"/>
        </w:rPr>
      </w:pPr>
      <w:r>
        <w:rPr>
          <w:color w:val="000000" w:themeColor="text1"/>
          <w:highlight w:val="none"/>
        </w:rPr>
        <w:pict>
          <v:shape id="未知" o:spid="_x0000_s2079" style="position:absolute;left:0pt;margin-left:214.95pt;margin-top:11.3pt;height:48.2pt;width:0.3pt;z-index:251677696;mso-width-relative:page;mso-height-relative:page;" filled="f" coordsize="6,733" path="m0,0l6,733e">
            <v:path arrowok="t"/>
            <v:fill on="f" focussize="0,0"/>
            <v:stroke/>
            <v:imagedata o:title=""/>
            <o:lock v:ext="edit"/>
          </v:shape>
        </w:pict>
      </w:r>
    </w:p>
    <w:p w14:paraId="04DFB6D6">
      <w:pPr>
        <w:pageBreakBefore w:val="0"/>
        <w:wordWrap/>
        <w:topLinePunct w:val="0"/>
        <w:bidi w:val="0"/>
        <w:adjustRightInd/>
        <w:snapToGrid/>
        <w:spacing w:line="360" w:lineRule="auto"/>
        <w:ind w:firstLine="400"/>
        <w:jc w:val="left"/>
        <w:rPr>
          <w:color w:val="000000" w:themeColor="text1"/>
          <w:highlight w:val="none"/>
        </w:rPr>
      </w:pPr>
      <w:r>
        <w:rPr>
          <w:color w:val="000000" w:themeColor="text1"/>
          <w:sz w:val="20"/>
          <w:highlight w:val="none"/>
        </w:rPr>
        <w:pict>
          <v:rect id="矩形 387" o:spid="_x0000_s2080" o:spt="1" style="position:absolute;left:0pt;margin-left:9.15pt;margin-top:7.95pt;height:34.5pt;width:137.15pt;z-index:251705344;mso-width-relative:page;mso-height-relative:page;" coordsize="21600,21600">
            <v:path/>
            <v:fill focussize="0,0"/>
            <v:stroke/>
            <v:imagedata o:title=""/>
            <o:lock v:ext="edit"/>
            <v:textbox>
              <w:txbxContent>
                <w:p w14:paraId="7B421493">
                  <w:pPr>
                    <w:spacing w:line="240" w:lineRule="exact"/>
                    <w:ind w:firstLine="0" w:firstLineChars="0"/>
                    <w:jc w:val="center"/>
                    <w:rPr>
                      <w:sz w:val="21"/>
                      <w:szCs w:val="21"/>
                    </w:rPr>
                  </w:pPr>
                  <w:r>
                    <w:rPr>
                      <w:rFonts w:hint="eastAsia"/>
                      <w:sz w:val="21"/>
                      <w:szCs w:val="21"/>
                      <w:lang w:val="en-US" w:eastAsia="zh-CN"/>
                    </w:rPr>
                    <w:t>鹤岗</w:t>
                  </w:r>
                  <w:r>
                    <w:rPr>
                      <w:sz w:val="21"/>
                      <w:szCs w:val="21"/>
                    </w:rPr>
                    <w:t>市</w:t>
                  </w:r>
                  <w:r>
                    <w:rPr>
                      <w:rFonts w:hint="eastAsia"/>
                      <w:sz w:val="21"/>
                      <w:szCs w:val="21"/>
                    </w:rPr>
                    <w:t>生态环境</w:t>
                  </w:r>
                  <w:r>
                    <w:rPr>
                      <w:sz w:val="21"/>
                      <w:szCs w:val="21"/>
                    </w:rPr>
                    <w:t>局</w:t>
                  </w:r>
                </w:p>
                <w:p w14:paraId="0EFEBDA1">
                  <w:pPr>
                    <w:spacing w:line="240" w:lineRule="exact"/>
                    <w:ind w:firstLine="0" w:firstLineChars="0"/>
                    <w:jc w:val="center"/>
                    <w:rPr>
                      <w:sz w:val="21"/>
                      <w:szCs w:val="21"/>
                    </w:rPr>
                  </w:pPr>
                  <w:r>
                    <w:rPr>
                      <w:rFonts w:hint="eastAsia"/>
                      <w:sz w:val="21"/>
                      <w:szCs w:val="21"/>
                    </w:rPr>
                    <w:t>（环境监督）</w:t>
                  </w:r>
                </w:p>
              </w:txbxContent>
            </v:textbox>
          </v:rect>
        </w:pict>
      </w:r>
      <w:r>
        <w:rPr>
          <w:color w:val="000000" w:themeColor="text1"/>
          <w:highlight w:val="none"/>
        </w:rPr>
        <w:t xml:space="preserve"> </w:t>
      </w:r>
    </w:p>
    <w:p w14:paraId="15EF6298">
      <w:pPr>
        <w:pageBreakBefore w:val="0"/>
        <w:wordWrap/>
        <w:topLinePunct w:val="0"/>
        <w:bidi w:val="0"/>
        <w:adjustRightInd/>
        <w:snapToGrid/>
        <w:spacing w:line="360" w:lineRule="auto"/>
        <w:jc w:val="left"/>
        <w:rPr>
          <w:color w:val="000000" w:themeColor="text1"/>
          <w:highlight w:val="none"/>
        </w:rPr>
      </w:pPr>
      <w:r>
        <w:rPr>
          <w:color w:val="000000" w:themeColor="text1"/>
          <w:highlight w:val="none"/>
        </w:rPr>
        <w:pict>
          <v:rect id="矩形 389" o:spid="_x0000_s2081" o:spt="1" style="position:absolute;left:0pt;margin-left:161.7pt;margin-top:17.7pt;height:26.4pt;width:132.35pt;z-index:251707392;mso-width-relative:page;mso-height-relative:page;" coordsize="21600,21600">
            <v:path/>
            <v:fill focussize="0,0"/>
            <v:stroke/>
            <v:imagedata o:title=""/>
            <o:lock v:ext="edit"/>
            <v:textbox>
              <w:txbxContent>
                <w:p w14:paraId="37FA31EE">
                  <w:pPr>
                    <w:spacing w:line="240" w:lineRule="auto"/>
                    <w:ind w:firstLine="420"/>
                    <w:rPr>
                      <w:sz w:val="21"/>
                      <w:szCs w:val="21"/>
                    </w:rPr>
                  </w:pPr>
                  <w:r>
                    <w:rPr>
                      <w:rFonts w:hint="eastAsia"/>
                      <w:sz w:val="21"/>
                      <w:szCs w:val="21"/>
                    </w:rPr>
                    <w:t>施工及运营单位</w:t>
                  </w:r>
                </w:p>
              </w:txbxContent>
            </v:textbox>
          </v:rect>
        </w:pict>
      </w:r>
      <w:r>
        <w:rPr>
          <w:color w:val="000000" w:themeColor="text1"/>
          <w:highlight w:val="none"/>
        </w:rPr>
        <w:pict>
          <v:line id="直线 361" o:spid="_x0000_s2082" o:spt="20" style="position:absolute;left:0pt;margin-left:136.5pt;margin-top:2.1pt;height:0pt;width:78.75pt;z-index:251680768;mso-width-relative:page;mso-height-relative:page;" coordsize="21600,21600">
            <v:path arrowok="t"/>
            <v:fill focussize="0,0"/>
            <v:stroke/>
            <v:imagedata o:title=""/>
            <o:lock v:ext="edit"/>
          </v:line>
        </w:pict>
      </w:r>
    </w:p>
    <w:p w14:paraId="7101F230">
      <w:pPr>
        <w:pageBreakBefore w:val="0"/>
        <w:tabs>
          <w:tab w:val="left" w:pos="2730"/>
        </w:tabs>
        <w:wordWrap/>
        <w:topLinePunct w:val="0"/>
        <w:bidi w:val="0"/>
        <w:adjustRightInd/>
        <w:snapToGrid/>
        <w:spacing w:line="360" w:lineRule="auto"/>
        <w:jc w:val="left"/>
        <w:rPr>
          <w:color w:val="000000" w:themeColor="text1"/>
          <w:highlight w:val="none"/>
        </w:rPr>
      </w:pPr>
      <w:r>
        <w:rPr>
          <w:color w:val="000000" w:themeColor="text1"/>
          <w:highlight w:val="none"/>
        </w:rPr>
        <w:pict>
          <v:line id="直线 366" o:spid="_x0000_s2083" o:spt="20" style="position:absolute;left:0pt;margin-left:215.3pt;margin-top:23.4pt;height:23.5pt;width:0pt;z-index:251685888;mso-width-relative:page;mso-height-relative:page;" coordsize="21600,21600">
            <v:path arrowok="t"/>
            <v:fill focussize="0,0"/>
            <v:stroke/>
            <v:imagedata o:title=""/>
            <o:lock v:ext="edit"/>
          </v:line>
        </w:pict>
      </w:r>
      <w:r>
        <w:rPr>
          <w:color w:val="000000" w:themeColor="text1"/>
          <w:highlight w:val="none"/>
        </w:rPr>
        <w:pict>
          <v:rect id="矩形 388" o:spid="_x0000_s2084" o:spt="1" style="position:absolute;left:0pt;margin-left:78.75pt;margin-top:62.5pt;height:23.4pt;width:52.5pt;z-index:251706368;mso-width-relative:page;mso-height-relative:page;" coordsize="21600,21600">
            <v:path/>
            <v:fill focussize="0,0"/>
            <v:stroke/>
            <v:imagedata o:title=""/>
            <o:lock v:ext="edit"/>
            <v:textbox>
              <w:txbxContent>
                <w:p w14:paraId="115F42C7">
                  <w:pPr>
                    <w:spacing w:line="240" w:lineRule="exact"/>
                    <w:ind w:firstLine="0" w:firstLineChars="0"/>
                    <w:jc w:val="center"/>
                    <w:rPr>
                      <w:sz w:val="21"/>
                      <w:szCs w:val="21"/>
                    </w:rPr>
                  </w:pPr>
                  <w:r>
                    <w:rPr>
                      <w:rFonts w:hint="eastAsia"/>
                      <w:sz w:val="21"/>
                      <w:szCs w:val="21"/>
                    </w:rPr>
                    <w:t>施工期</w:t>
                  </w:r>
                </w:p>
              </w:txbxContent>
            </v:textbox>
          </v:rect>
        </w:pict>
      </w:r>
      <w:r>
        <w:rPr>
          <w:color w:val="000000" w:themeColor="text1"/>
          <w:sz w:val="20"/>
          <w:highlight w:val="none"/>
        </w:rPr>
        <w:pict>
          <v:line id="直线 376" o:spid="_x0000_s2085" o:spt="20" style="position:absolute;left:0pt;margin-left:105pt;margin-top:46.9pt;height:15.6pt;width:0.05pt;z-index:251695104;mso-width-relative:page;mso-height-relative:page;" coordsize="21600,21600">
            <v:path arrowok="t"/>
            <v:fill focussize="0,0"/>
            <v:stroke/>
            <v:imagedata o:title=""/>
            <o:lock v:ext="edit"/>
          </v:line>
        </w:pict>
      </w:r>
      <w:r>
        <w:rPr>
          <w:color w:val="000000" w:themeColor="text1"/>
          <w:highlight w:val="none"/>
        </w:rPr>
        <w:pict>
          <v:rect id="矩形 390" o:spid="_x0000_s2086" o:spt="1" style="position:absolute;left:0pt;margin-left:288.75pt;margin-top:62.5pt;height:23.4pt;width:52.5pt;z-index:251708416;mso-width-relative:page;mso-height-relative:page;" coordsize="21600,21600">
            <v:path/>
            <v:fill focussize="0,0"/>
            <v:stroke/>
            <v:imagedata o:title=""/>
            <o:lock v:ext="edit"/>
            <v:textbox>
              <w:txbxContent>
                <w:p w14:paraId="1AF9D33F">
                  <w:pPr>
                    <w:spacing w:line="240" w:lineRule="exact"/>
                    <w:ind w:firstLine="0" w:firstLineChars="0"/>
                    <w:jc w:val="center"/>
                    <w:rPr>
                      <w:sz w:val="21"/>
                      <w:szCs w:val="21"/>
                    </w:rPr>
                  </w:pPr>
                  <w:r>
                    <w:rPr>
                      <w:rFonts w:hint="eastAsia"/>
                      <w:sz w:val="21"/>
                      <w:szCs w:val="21"/>
                    </w:rPr>
                    <w:t>运行期</w:t>
                  </w:r>
                </w:p>
              </w:txbxContent>
            </v:textbox>
          </v:rect>
        </w:pict>
      </w:r>
      <w:r>
        <w:rPr>
          <w:color w:val="000000" w:themeColor="text1"/>
          <w:sz w:val="20"/>
          <w:highlight w:val="none"/>
        </w:rPr>
        <w:pict>
          <v:line id="直线 375" o:spid="_x0000_s2087" o:spt="20" style="position:absolute;left:0pt;margin-left:315pt;margin-top:46.9pt;height:15.6pt;width:0.05pt;z-index:251694080;mso-width-relative:page;mso-height-relative:page;" coordsize="21600,21600">
            <v:path arrowok="t"/>
            <v:fill focussize="0,0"/>
            <v:stroke/>
            <v:imagedata o:title=""/>
            <o:lock v:ext="edit"/>
          </v:line>
        </w:pict>
      </w:r>
      <w:r>
        <w:rPr>
          <w:color w:val="000000" w:themeColor="text1"/>
          <w:sz w:val="20"/>
          <w:highlight w:val="none"/>
        </w:rPr>
        <w:pict>
          <v:line id="直线 383" o:spid="_x0000_s2088" o:spt="20" style="position:absolute;left:0pt;flip:x;margin-left:105pt;margin-top:46.9pt;height:0pt;width:110.25pt;z-index:251701248;mso-width-relative:page;mso-height-relative:page;" coordsize="21600,21600">
            <v:path arrowok="t"/>
            <v:fill focussize="0,0"/>
            <v:stroke/>
            <v:imagedata o:title=""/>
            <o:lock v:ext="edit"/>
          </v:line>
        </w:pict>
      </w:r>
      <w:r>
        <w:rPr>
          <w:color w:val="000000" w:themeColor="text1"/>
          <w:sz w:val="20"/>
          <w:highlight w:val="none"/>
        </w:rPr>
        <w:pict>
          <v:line id="直线 384" o:spid="_x0000_s2089" o:spt="20" style="position:absolute;left:0pt;margin-left:215.25pt;margin-top:46.9pt;height:0pt;width:99.75pt;z-index:251702272;mso-width-relative:page;mso-height-relative:page;" coordsize="21600,21600">
            <v:path arrowok="t"/>
            <v:fill focussize="0,0"/>
            <v:stroke/>
            <v:imagedata o:title=""/>
            <o:lock v:ext="edit"/>
          </v:line>
        </w:pict>
      </w:r>
      <w:r>
        <w:rPr>
          <w:color w:val="000000" w:themeColor="text1"/>
          <w:sz w:val="20"/>
          <w:highlight w:val="none"/>
        </w:rPr>
        <w:pict>
          <v:line id="直线 368" o:spid="_x0000_s2090" o:spt="20" style="position:absolute;left:0pt;margin-left:136.5pt;margin-top:62.4pt;height:0pt;width:0.05pt;z-index:251687936;mso-width-relative:page;mso-height-relative:page;" coordsize="21600,21600">
            <v:path arrowok="t"/>
            <v:fill focussize="0,0"/>
            <v:stroke/>
            <v:imagedata o:title=""/>
            <o:lock v:ext="edit"/>
          </v:line>
        </w:pict>
      </w:r>
      <w:r>
        <w:rPr>
          <w:color w:val="000000" w:themeColor="text1"/>
          <w:highlight w:val="none"/>
        </w:rPr>
        <w:pict>
          <v:line id="直线 367" o:spid="_x0000_s2091" o:spt="20" style="position:absolute;left:0pt;margin-left:52.5pt;margin-top:140.4pt;height:0pt;width:0.05pt;z-index:251686912;mso-width-relative:page;mso-height-relative:page;" coordsize="21600,21600">
            <v:path arrowok="t"/>
            <v:fill focussize="0,0"/>
            <v:stroke/>
            <v:imagedata o:title=""/>
            <o:lock v:ext="edit"/>
          </v:line>
        </w:pict>
      </w:r>
      <w:r>
        <w:rPr>
          <w:color w:val="000000" w:themeColor="text1"/>
          <w:highlight w:val="none"/>
        </w:rPr>
        <w:pict>
          <v:line id="直线 365" o:spid="_x0000_s2092" o:spt="20" style="position:absolute;left:0pt;margin-left:294pt;margin-top:93.6pt;height:0pt;width:0.05pt;z-index:251684864;mso-width-relative:page;mso-height-relative:page;" coordsize="21600,21600">
            <v:path arrowok="t"/>
            <v:fill focussize="0,0"/>
            <v:stroke/>
            <v:imagedata o:title=""/>
            <o:lock v:ext="edit"/>
          </v:line>
        </w:pict>
      </w:r>
      <w:r>
        <w:rPr>
          <w:color w:val="000000" w:themeColor="text1"/>
          <w:highlight w:val="none"/>
        </w:rPr>
        <w:pict>
          <v:line id="直线 364" o:spid="_x0000_s2093" o:spt="20" style="position:absolute;left:0pt;margin-left:199.5pt;margin-top:93.6pt;height:0pt;width:0.05pt;z-index:251683840;mso-width-relative:page;mso-height-relative:page;" coordsize="21600,21600">
            <v:path arrowok="t"/>
            <v:fill focussize="0,0"/>
            <v:stroke/>
            <v:imagedata o:title=""/>
            <o:lock v:ext="edit"/>
          </v:line>
        </w:pict>
      </w:r>
      <w:r>
        <w:rPr>
          <w:color w:val="000000" w:themeColor="text1"/>
          <w:highlight w:val="none"/>
        </w:rPr>
        <w:pict>
          <v:line id="直线 363" o:spid="_x0000_s2094" o:spt="20" style="position:absolute;left:0pt;margin-left:225.75pt;margin-top:70.2pt;height:0pt;width:0.05pt;z-index:251682816;mso-width-relative:page;mso-height-relative:page;" coordsize="21600,21600">
            <v:path arrowok="t"/>
            <v:fill focussize="0,0"/>
            <v:stroke/>
            <v:imagedata o:title=""/>
            <o:lock v:ext="edit"/>
          </v:line>
        </w:pict>
      </w:r>
      <w:r>
        <w:rPr>
          <w:color w:val="000000" w:themeColor="text1"/>
          <w:highlight w:val="none"/>
        </w:rPr>
        <w:pict>
          <v:line id="直线 362" o:spid="_x0000_s2095" o:spt="20" style="position:absolute;left:0pt;margin-left:220.5pt;margin-top:101.4pt;height:0pt;width:0.05pt;z-index:251681792;mso-width-relative:page;mso-height-relative:page;" coordsize="21600,21600">
            <v:path arrowok="t"/>
            <v:fill focussize="0,0"/>
            <v:stroke/>
            <v:imagedata o:title=""/>
            <o:lock v:ext="edit"/>
          </v:line>
        </w:pict>
      </w:r>
      <w:r>
        <w:rPr>
          <w:color w:val="000000" w:themeColor="text1"/>
          <w:highlight w:val="none"/>
        </w:rPr>
        <w:pict>
          <v:line id="直线 360" o:spid="_x0000_s2096" o:spt="20" style="position:absolute;left:0pt;margin-left:147pt;margin-top:31.2pt;height:0pt;width:0.05pt;z-index:251679744;mso-width-relative:page;mso-height-relative:page;" coordsize="21600,21600">
            <v:path arrowok="t"/>
            <v:fill focussize="0,0"/>
            <v:stroke/>
            <v:imagedata o:title=""/>
            <o:lock v:ext="edit"/>
          </v:line>
        </w:pict>
      </w:r>
      <w:r>
        <w:rPr>
          <w:color w:val="000000" w:themeColor="text1"/>
          <w:highlight w:val="none"/>
        </w:rPr>
        <w:pict>
          <v:line id="直线 357" o:spid="_x0000_s2097" o:spt="20" style="position:absolute;left:0pt;margin-left:231pt;margin-top:23.4pt;height:0pt;width:0.05pt;z-index:251676672;mso-width-relative:page;mso-height-relative:page;" coordsize="21600,21600">
            <v:path arrowok="t"/>
            <v:fill focussize="0,0"/>
            <v:stroke/>
            <v:imagedata o:title=""/>
            <o:lock v:ext="edit"/>
          </v:line>
        </w:pict>
      </w:r>
      <w:r>
        <w:rPr>
          <w:color w:val="000000" w:themeColor="text1"/>
          <w:highlight w:val="none"/>
        </w:rPr>
        <w:t xml:space="preserve">     </w:t>
      </w:r>
      <w:r>
        <w:rPr>
          <w:color w:val="000000" w:themeColor="text1"/>
          <w:highlight w:val="none"/>
        </w:rPr>
        <w:tab/>
      </w:r>
      <w:r>
        <w:rPr>
          <w:color w:val="000000" w:themeColor="text1"/>
          <w:highlight w:val="none"/>
        </w:rPr>
        <w:br w:type="textWrapping"/>
      </w:r>
      <w:r>
        <w:rPr>
          <w:color w:val="000000" w:themeColor="text1"/>
          <w:highlight w:val="none"/>
        </w:rPr>
        <w:br w:type="textWrapping"/>
      </w:r>
      <w:r>
        <w:rPr>
          <w:color w:val="000000" w:themeColor="text1"/>
          <w:highlight w:val="none"/>
        </w:rPr>
        <w:t xml:space="preserve">                           </w:t>
      </w:r>
    </w:p>
    <w:p w14:paraId="04A2D68F">
      <w:pPr>
        <w:pageBreakBefore w:val="0"/>
        <w:wordWrap/>
        <w:topLinePunct w:val="0"/>
        <w:bidi w:val="0"/>
        <w:adjustRightInd/>
        <w:snapToGrid/>
        <w:spacing w:line="360" w:lineRule="auto"/>
        <w:ind w:firstLine="400"/>
        <w:jc w:val="left"/>
        <w:rPr>
          <w:color w:val="000000" w:themeColor="text1"/>
          <w:highlight w:val="none"/>
        </w:rPr>
      </w:pPr>
      <w:r>
        <w:rPr>
          <w:color w:val="000000" w:themeColor="text1"/>
          <w:sz w:val="20"/>
          <w:highlight w:val="none"/>
        </w:rPr>
        <w:pict>
          <v:line id="直线 370" o:spid="_x0000_s2098" o:spt="20" style="position:absolute;left:0pt;margin-left:315pt;margin-top:15.9pt;height:23.4pt;width:0.05pt;z-index:251689984;mso-width-relative:page;mso-height-relative:page;" coordsize="21600,21600">
            <v:path arrowok="t"/>
            <v:fill focussize="0,0"/>
            <v:stroke/>
            <v:imagedata o:title=""/>
            <o:lock v:ext="edit"/>
          </v:line>
        </w:pict>
      </w:r>
    </w:p>
    <w:p w14:paraId="4453600E">
      <w:pPr>
        <w:pageBreakBefore w:val="0"/>
        <w:wordWrap/>
        <w:topLinePunct w:val="0"/>
        <w:bidi w:val="0"/>
        <w:adjustRightInd/>
        <w:snapToGrid/>
        <w:spacing w:line="360" w:lineRule="auto"/>
        <w:ind w:firstLine="400"/>
        <w:jc w:val="left"/>
        <w:rPr>
          <w:color w:val="000000" w:themeColor="text1"/>
          <w:highlight w:val="none"/>
        </w:rPr>
      </w:pPr>
      <w:r>
        <w:rPr>
          <w:color w:val="000000" w:themeColor="text1"/>
          <w:sz w:val="20"/>
          <w:highlight w:val="none"/>
        </w:rPr>
        <w:pict>
          <v:rect id="矩形 378" o:spid="_x0000_s2099" o:spt="1" style="position:absolute;left:0pt;margin-left:19.45pt;margin-top:16.75pt;height:74.15pt;width:52.5pt;z-index:251696128;mso-width-relative:page;mso-height-relative:page;" coordsize="21600,21600">
            <v:path/>
            <v:fill focussize="0,0"/>
            <v:stroke/>
            <v:imagedata o:title=""/>
            <o:lock v:ext="edit"/>
            <v:textbox>
              <w:txbxContent>
                <w:p w14:paraId="323A06D4">
                  <w:pPr>
                    <w:spacing w:line="240" w:lineRule="exact"/>
                    <w:ind w:firstLine="0" w:firstLineChars="0"/>
                    <w:jc w:val="center"/>
                    <w:rPr>
                      <w:sz w:val="21"/>
                      <w:szCs w:val="21"/>
                    </w:rPr>
                  </w:pPr>
                  <w:r>
                    <w:rPr>
                      <w:rFonts w:hint="eastAsia"/>
                      <w:sz w:val="21"/>
                      <w:szCs w:val="21"/>
                    </w:rPr>
                    <w:t>控制施工期对生态的破坏</w:t>
                  </w:r>
                </w:p>
              </w:txbxContent>
            </v:textbox>
          </v:rect>
        </w:pict>
      </w:r>
      <w:r>
        <w:rPr>
          <w:color w:val="000000" w:themeColor="text1"/>
          <w:sz w:val="20"/>
          <w:highlight w:val="none"/>
        </w:rPr>
        <w:pict>
          <v:line id="直线 369" o:spid="_x0000_s2100" o:spt="20" style="position:absolute;left:0pt;margin-left:42pt;margin-top:7.8pt;height:23.4pt;width:0.05pt;z-index:251688960;mso-width-relative:page;mso-height-relative:page;" coordsize="21600,21600">
            <v:path arrowok="t"/>
            <v:fill focussize="0,0"/>
            <v:stroke/>
            <v:imagedata o:title=""/>
            <o:lock v:ext="edit"/>
          </v:line>
        </w:pict>
      </w:r>
      <w:r>
        <w:rPr>
          <w:color w:val="000000" w:themeColor="text1"/>
          <w:sz w:val="20"/>
          <w:highlight w:val="none"/>
        </w:rPr>
        <w:pict>
          <v:rect id="矩形 382" o:spid="_x0000_s2101" o:spt="1" style="position:absolute;left:0pt;margin-left:357pt;margin-top:15.95pt;height:74.15pt;width:52.5pt;z-index:251700224;mso-width-relative:page;mso-height-relative:page;" coordsize="21600,21600">
            <v:path/>
            <v:fill focussize="0,0"/>
            <v:stroke/>
            <v:imagedata o:title=""/>
            <o:lock v:ext="edit"/>
            <v:textbox>
              <w:txbxContent>
                <w:p w14:paraId="1332C996">
                  <w:pPr>
                    <w:spacing w:line="240" w:lineRule="exact"/>
                    <w:ind w:firstLine="0" w:firstLineChars="0"/>
                    <w:jc w:val="center"/>
                    <w:rPr>
                      <w:sz w:val="21"/>
                      <w:szCs w:val="21"/>
                    </w:rPr>
                  </w:pPr>
                  <w:r>
                    <w:rPr>
                      <w:rFonts w:hint="eastAsia"/>
                      <w:sz w:val="21"/>
                      <w:szCs w:val="21"/>
                    </w:rPr>
                    <w:t>对噪声、大气进行定期的环境监测</w:t>
                  </w:r>
                </w:p>
              </w:txbxContent>
            </v:textbox>
          </v:rect>
        </w:pict>
      </w:r>
      <w:r>
        <w:rPr>
          <w:color w:val="000000" w:themeColor="text1"/>
          <w:sz w:val="20"/>
          <w:highlight w:val="none"/>
        </w:rPr>
        <w:pict>
          <v:rect id="矩形 381" o:spid="_x0000_s2102" o:spt="1" style="position:absolute;left:0pt;margin-left:288.75pt;margin-top:15.6pt;height:74.5pt;width:52.5pt;z-index:251699200;mso-width-relative:page;mso-height-relative:page;" coordsize="21600,21600">
            <v:path/>
            <v:fill focussize="0,0"/>
            <v:stroke/>
            <v:imagedata o:title=""/>
            <o:lock v:ext="edit"/>
            <v:textbox>
              <w:txbxContent>
                <w:p w14:paraId="4172F8B3">
                  <w:pPr>
                    <w:spacing w:line="240" w:lineRule="exact"/>
                    <w:ind w:firstLine="0" w:firstLineChars="0"/>
                    <w:jc w:val="center"/>
                    <w:rPr>
                      <w:sz w:val="21"/>
                      <w:szCs w:val="21"/>
                    </w:rPr>
                  </w:pPr>
                  <w:r>
                    <w:rPr>
                      <w:rFonts w:hint="eastAsia"/>
                      <w:sz w:val="21"/>
                      <w:szCs w:val="21"/>
                    </w:rPr>
                    <w:t>道路沿线的绿化、美化等</w:t>
                  </w:r>
                </w:p>
              </w:txbxContent>
            </v:textbox>
          </v:rect>
        </w:pict>
      </w:r>
      <w:r>
        <w:rPr>
          <w:color w:val="000000" w:themeColor="text1"/>
          <w:sz w:val="20"/>
          <w:highlight w:val="none"/>
        </w:rPr>
        <w:pict>
          <v:rect id="矩形 380" o:spid="_x0000_s2103" o:spt="1" style="position:absolute;left:0pt;margin-left:225.75pt;margin-top:15.95pt;height:74.15pt;width:52.5pt;z-index:251698176;mso-width-relative:page;mso-height-relative:page;" coordsize="21600,21600">
            <v:path/>
            <v:fill focussize="0,0"/>
            <v:stroke/>
            <v:imagedata o:title=""/>
            <o:lock v:ext="edit"/>
            <v:textbox>
              <w:txbxContent>
                <w:p w14:paraId="63693035">
                  <w:pPr>
                    <w:spacing w:line="240" w:lineRule="exact"/>
                    <w:ind w:firstLine="0" w:firstLineChars="0"/>
                    <w:jc w:val="center"/>
                    <w:rPr>
                      <w:sz w:val="21"/>
                      <w:szCs w:val="21"/>
                    </w:rPr>
                  </w:pPr>
                  <w:r>
                    <w:rPr>
                      <w:rFonts w:hint="eastAsia"/>
                      <w:sz w:val="21"/>
                      <w:szCs w:val="21"/>
                    </w:rPr>
                    <w:t>防止交通事故发生</w:t>
                  </w:r>
                </w:p>
              </w:txbxContent>
            </v:textbox>
          </v:rect>
        </w:pict>
      </w:r>
      <w:r>
        <w:rPr>
          <w:color w:val="000000" w:themeColor="text1"/>
          <w:sz w:val="20"/>
          <w:highlight w:val="none"/>
        </w:rPr>
        <w:pict>
          <v:rect id="矩形 379" o:spid="_x0000_s2104" o:spt="1" style="position:absolute;left:0pt;margin-left:141.75pt;margin-top:15.95pt;height:74.15pt;width:57.75pt;z-index:251697152;mso-width-relative:page;mso-height-relative:page;" coordsize="21600,21600">
            <v:path/>
            <v:fill focussize="0,0"/>
            <v:stroke/>
            <v:imagedata o:title=""/>
            <o:lock v:ext="edit"/>
            <v:textbox>
              <w:txbxContent>
                <w:p w14:paraId="1E348660">
                  <w:pPr>
                    <w:spacing w:line="240" w:lineRule="exact"/>
                    <w:ind w:firstLine="0" w:firstLineChars="0"/>
                    <w:jc w:val="center"/>
                    <w:rPr>
                      <w:sz w:val="21"/>
                      <w:szCs w:val="21"/>
                    </w:rPr>
                  </w:pPr>
                  <w:r>
                    <w:rPr>
                      <w:rFonts w:hint="eastAsia"/>
                      <w:sz w:val="21"/>
                      <w:szCs w:val="21"/>
                    </w:rPr>
                    <w:t>控制噪声、施工废水、大气对环境的影响</w:t>
                  </w:r>
                </w:p>
              </w:txbxContent>
            </v:textbox>
          </v:rect>
        </w:pict>
      </w:r>
      <w:r>
        <w:rPr>
          <w:color w:val="000000" w:themeColor="text1"/>
          <w:sz w:val="20"/>
          <w:highlight w:val="none"/>
        </w:rPr>
        <w:pict>
          <v:line id="直线 372" o:spid="_x0000_s2105" o:spt="20" style="position:absolute;left:0pt;margin-left:168pt;margin-top:7.8pt;height:15.6pt;width:0.05pt;z-index:251691008;mso-width-relative:page;mso-height-relative:page;" coordsize="21600,21600">
            <v:path arrowok="t"/>
            <v:fill focussize="0,0"/>
            <v:stroke/>
            <v:imagedata o:title=""/>
            <o:lock v:ext="edit"/>
          </v:line>
        </w:pict>
      </w:r>
      <w:r>
        <w:rPr>
          <w:color w:val="000000" w:themeColor="text1"/>
          <w:sz w:val="20"/>
          <w:highlight w:val="none"/>
        </w:rPr>
        <w:pict>
          <v:line id="直线 374" o:spid="_x0000_s2106" o:spt="20" style="position:absolute;left:0pt;margin-left:252pt;margin-top:7.8pt;height:15.6pt;width:0.05pt;z-index:251693056;mso-width-relative:page;mso-height-relative:page;" coordsize="21600,21600">
            <v:path arrowok="t"/>
            <v:fill focussize="0,0"/>
            <v:stroke/>
            <v:imagedata o:title=""/>
            <o:lock v:ext="edit"/>
          </v:line>
        </w:pict>
      </w:r>
      <w:r>
        <w:rPr>
          <w:color w:val="000000" w:themeColor="text1"/>
          <w:sz w:val="20"/>
          <w:highlight w:val="none"/>
        </w:rPr>
        <w:pict>
          <v:line id="直线 373" o:spid="_x0000_s2107" o:spt="20" style="position:absolute;left:0pt;margin-left:383.25pt;margin-top:7.8pt;height:15.6pt;width:0.05pt;z-index:251692032;mso-width-relative:page;mso-height-relative:page;" coordsize="21600,21600">
            <v:path arrowok="t"/>
            <v:fill focussize="0,0"/>
            <v:stroke/>
            <v:imagedata o:title=""/>
            <o:lock v:ext="edit"/>
          </v:line>
        </w:pict>
      </w:r>
      <w:r>
        <w:rPr>
          <w:color w:val="000000" w:themeColor="text1"/>
          <w:sz w:val="20"/>
          <w:highlight w:val="none"/>
        </w:rPr>
        <w:pict>
          <v:line id="直线 386" o:spid="_x0000_s2108" o:spt="20" style="position:absolute;left:0pt;margin-left:252pt;margin-top:7.8pt;height:0pt;width:131.25pt;z-index:251704320;mso-width-relative:page;mso-height-relative:page;" coordsize="21600,21600">
            <v:path arrowok="t"/>
            <v:fill focussize="0,0"/>
            <v:stroke/>
            <v:imagedata o:title=""/>
            <o:lock v:ext="edit"/>
          </v:line>
        </w:pict>
      </w:r>
      <w:r>
        <w:rPr>
          <w:color w:val="000000" w:themeColor="text1"/>
          <w:sz w:val="20"/>
          <w:highlight w:val="none"/>
        </w:rPr>
        <w:pict>
          <v:line id="直线 385" o:spid="_x0000_s2109" o:spt="20" style="position:absolute;left:0pt;margin-left:42pt;margin-top:7.8pt;height:0pt;width:126pt;z-index:251703296;mso-width-relative:page;mso-height-relative:page;" coordsize="21600,21600">
            <v:path arrowok="t"/>
            <v:fill focussize="0,0"/>
            <v:stroke/>
            <v:imagedata o:title=""/>
            <o:lock v:ext="edit"/>
          </v:line>
        </w:pict>
      </w:r>
    </w:p>
    <w:p w14:paraId="0D471B9B">
      <w:pPr>
        <w:pageBreakBefore w:val="0"/>
        <w:wordWrap/>
        <w:topLinePunct w:val="0"/>
        <w:bidi w:val="0"/>
        <w:adjustRightInd/>
        <w:snapToGrid/>
        <w:spacing w:line="360" w:lineRule="auto"/>
        <w:jc w:val="left"/>
        <w:rPr>
          <w:color w:val="000000" w:themeColor="text1"/>
          <w:highlight w:val="none"/>
        </w:rPr>
      </w:pPr>
    </w:p>
    <w:p w14:paraId="5A30547D">
      <w:pPr>
        <w:pageBreakBefore w:val="0"/>
        <w:wordWrap/>
        <w:topLinePunct w:val="0"/>
        <w:bidi w:val="0"/>
        <w:adjustRightInd/>
        <w:snapToGrid/>
        <w:spacing w:line="360" w:lineRule="auto"/>
        <w:jc w:val="left"/>
        <w:rPr>
          <w:color w:val="000000" w:themeColor="text1"/>
          <w:highlight w:val="none"/>
        </w:rPr>
      </w:pPr>
    </w:p>
    <w:p w14:paraId="17A8C71E">
      <w:pPr>
        <w:pageBreakBefore w:val="0"/>
        <w:wordWrap/>
        <w:topLinePunct w:val="0"/>
        <w:bidi w:val="0"/>
        <w:adjustRightInd/>
        <w:snapToGrid/>
        <w:spacing w:line="360" w:lineRule="auto"/>
        <w:jc w:val="left"/>
        <w:rPr>
          <w:color w:val="000000" w:themeColor="text1"/>
          <w:highlight w:val="none"/>
        </w:rPr>
      </w:pPr>
    </w:p>
    <w:p w14:paraId="07FFBFC1">
      <w:pPr>
        <w:pageBreakBefore w:val="0"/>
        <w:wordWrap/>
        <w:topLinePunct w:val="0"/>
        <w:bidi w:val="0"/>
        <w:spacing w:line="360" w:lineRule="auto"/>
        <w:ind w:firstLine="0" w:firstLineChars="0"/>
        <w:rPr>
          <w:color w:val="000000" w:themeColor="text1"/>
          <w:highlight w:val="none"/>
        </w:rPr>
      </w:pPr>
    </w:p>
    <w:p w14:paraId="57D655AC">
      <w:pPr>
        <w:pageBreakBefore w:val="0"/>
        <w:wordWrap/>
        <w:topLinePunct w:val="0"/>
        <w:bidi w:val="0"/>
        <w:spacing w:line="360" w:lineRule="auto"/>
        <w:ind w:firstLine="482"/>
        <w:jc w:val="center"/>
        <w:rPr>
          <w:b/>
          <w:color w:val="000000" w:themeColor="text1"/>
          <w:highlight w:val="none"/>
        </w:rPr>
      </w:pPr>
      <w:r>
        <w:rPr>
          <w:b/>
          <w:color w:val="000000" w:themeColor="text1"/>
          <w:highlight w:val="none"/>
        </w:rPr>
        <w:t>图</w:t>
      </w:r>
      <w:r>
        <w:rPr>
          <w:rFonts w:hint="eastAsia"/>
          <w:b/>
          <w:color w:val="000000" w:themeColor="text1"/>
          <w:highlight w:val="none"/>
          <w:lang w:val="en-US" w:eastAsia="zh-CN"/>
        </w:rPr>
        <w:t>9</w:t>
      </w:r>
      <w:r>
        <w:rPr>
          <w:b/>
          <w:color w:val="000000" w:themeColor="text1"/>
          <w:highlight w:val="none"/>
        </w:rPr>
        <w:t>.1-1</w:t>
      </w:r>
      <w:r>
        <w:rPr>
          <w:rFonts w:hint="eastAsia"/>
          <w:b/>
          <w:color w:val="000000" w:themeColor="text1"/>
          <w:highlight w:val="none"/>
          <w:lang w:val="en-US" w:eastAsia="zh-CN"/>
        </w:rPr>
        <w:t xml:space="preserve">  </w:t>
      </w:r>
      <w:r>
        <w:rPr>
          <w:b/>
          <w:color w:val="000000" w:themeColor="text1"/>
          <w:highlight w:val="none"/>
        </w:rPr>
        <w:t>组织机构图</w:t>
      </w:r>
    </w:p>
    <w:p w14:paraId="27D62E4C">
      <w:pPr>
        <w:pageBreakBefore w:val="0"/>
        <w:wordWrap/>
        <w:topLinePunct w:val="0"/>
        <w:bidi w:val="0"/>
        <w:spacing w:line="360" w:lineRule="auto"/>
        <w:rPr>
          <w:color w:val="000000" w:themeColor="text1"/>
          <w:highlight w:val="none"/>
        </w:rPr>
      </w:pPr>
    </w:p>
    <w:p w14:paraId="62444E92">
      <w:pPr>
        <w:pageBreakBefore w:val="0"/>
        <w:wordWrap/>
        <w:topLinePunct w:val="0"/>
        <w:bidi w:val="0"/>
        <w:spacing w:line="360" w:lineRule="auto"/>
        <w:rPr>
          <w:color w:val="000000" w:themeColor="text1"/>
          <w:highlight w:val="none"/>
        </w:rPr>
      </w:pPr>
    </w:p>
    <w:p w14:paraId="188B38A8">
      <w:pPr>
        <w:pageBreakBefore w:val="0"/>
        <w:wordWrap/>
        <w:topLinePunct w:val="0"/>
        <w:bidi w:val="0"/>
        <w:spacing w:line="360" w:lineRule="auto"/>
        <w:rPr>
          <w:color w:val="000000" w:themeColor="text1"/>
          <w:highlight w:val="none"/>
        </w:rPr>
      </w:pPr>
      <w:r>
        <w:rPr>
          <w:color w:val="000000" w:themeColor="text1"/>
          <w:highlight w:val="none"/>
        </w:rPr>
        <w:t>建设项目施工期及运营期应加强日常环境管理工作，分清职责，使环保措施得到落实并起到监督管理作用。</w:t>
      </w:r>
    </w:p>
    <w:p w14:paraId="7D70F8C1">
      <w:pPr>
        <w:pageBreakBefore w:val="0"/>
        <w:wordWrap/>
        <w:topLinePunct w:val="0"/>
        <w:bidi w:val="0"/>
        <w:spacing w:line="360" w:lineRule="auto"/>
        <w:rPr>
          <w:color w:val="000000" w:themeColor="text1"/>
          <w:highlight w:val="none"/>
        </w:rPr>
      </w:pPr>
      <w:r>
        <w:rPr>
          <w:color w:val="000000" w:themeColor="text1"/>
          <w:highlight w:val="none"/>
        </w:rPr>
        <w:t>施工期各承包商设立1名以上专职环保工作人员，其职责是：</w:t>
      </w:r>
    </w:p>
    <w:p w14:paraId="0AAEBDFF">
      <w:pPr>
        <w:pageBreakBefore w:val="0"/>
        <w:wordWrap/>
        <w:topLinePunct w:val="0"/>
        <w:bidi w:val="0"/>
        <w:spacing w:line="360" w:lineRule="auto"/>
        <w:rPr>
          <w:color w:val="000000" w:themeColor="text1"/>
          <w:highlight w:val="none"/>
        </w:rPr>
      </w:pPr>
      <w:r>
        <w:rPr>
          <w:color w:val="000000" w:themeColor="text1"/>
          <w:highlight w:val="none"/>
        </w:rPr>
        <w:t>（1）负责在所承包工程施工时，严格执行和落实合同与投标文件中明确的环保措施及环保工作；</w:t>
      </w:r>
    </w:p>
    <w:p w14:paraId="43124395">
      <w:pPr>
        <w:pageBreakBefore w:val="0"/>
        <w:wordWrap/>
        <w:topLinePunct w:val="0"/>
        <w:bidi w:val="0"/>
        <w:spacing w:line="360" w:lineRule="auto"/>
        <w:rPr>
          <w:color w:val="000000" w:themeColor="text1"/>
          <w:highlight w:val="none"/>
        </w:rPr>
      </w:pPr>
      <w:r>
        <w:rPr>
          <w:color w:val="000000" w:themeColor="text1"/>
          <w:highlight w:val="none"/>
        </w:rPr>
        <w:t>（2）配合环境监理工程师，检查和纠正施工中对环保不利的行为。</w:t>
      </w:r>
    </w:p>
    <w:p w14:paraId="23EC08DD">
      <w:pPr>
        <w:pageBreakBefore w:val="0"/>
        <w:wordWrap/>
        <w:topLinePunct w:val="0"/>
        <w:bidi w:val="0"/>
        <w:spacing w:line="360" w:lineRule="auto"/>
        <w:rPr>
          <w:color w:val="000000" w:themeColor="text1"/>
          <w:highlight w:val="none"/>
        </w:rPr>
      </w:pPr>
      <w:r>
        <w:rPr>
          <w:color w:val="000000" w:themeColor="text1"/>
          <w:highlight w:val="none"/>
        </w:rPr>
        <w:t>项目建设部门，设立1名以上专职环保监理，负责施工期工程日常环保工作的协调及环保措施落实的监督管理。</w:t>
      </w:r>
    </w:p>
    <w:p w14:paraId="70736F7B">
      <w:pPr>
        <w:pStyle w:val="4"/>
        <w:pageBreakBefore w:val="0"/>
        <w:wordWrap/>
        <w:topLinePunct w:val="0"/>
        <w:bidi w:val="0"/>
        <w:spacing w:before="120" w:line="360" w:lineRule="auto"/>
        <w:ind w:left="851" w:hanging="851"/>
        <w:rPr>
          <w:color w:val="000000" w:themeColor="text1"/>
          <w:highlight w:val="none"/>
        </w:rPr>
      </w:pPr>
      <w:bookmarkStart w:id="557" w:name="_Toc15958"/>
      <w:bookmarkStart w:id="558" w:name="_Toc26467"/>
      <w:r>
        <w:rPr>
          <w:rFonts w:hint="eastAsia"/>
          <w:color w:val="000000" w:themeColor="text1"/>
          <w:highlight w:val="none"/>
          <w:lang w:val="en-US" w:eastAsia="zh-CN"/>
        </w:rPr>
        <w:t>9</w:t>
      </w:r>
      <w:r>
        <w:rPr>
          <w:color w:val="000000" w:themeColor="text1"/>
          <w:highlight w:val="none"/>
        </w:rPr>
        <w:t>.1.3环境管理计划内容</w:t>
      </w:r>
      <w:bookmarkEnd w:id="557"/>
      <w:bookmarkEnd w:id="558"/>
    </w:p>
    <w:p w14:paraId="6BFC61C5">
      <w:pPr>
        <w:pageBreakBefore w:val="0"/>
        <w:wordWrap/>
        <w:topLinePunct w:val="0"/>
        <w:bidi w:val="0"/>
        <w:spacing w:line="360" w:lineRule="auto"/>
        <w:rPr>
          <w:color w:val="000000" w:themeColor="text1"/>
          <w:highlight w:val="none"/>
        </w:rPr>
      </w:pPr>
      <w:r>
        <w:rPr>
          <w:color w:val="000000" w:themeColor="text1"/>
          <w:highlight w:val="none"/>
        </w:rPr>
        <w:t>环境管理计划制定和实施是道路建设各个阶段环境保护措施落实的重要保证。施工前期、施工期及营运期各级实施机构、负责机构和监督机构应各负其责地进行有效工作。</w:t>
      </w:r>
    </w:p>
    <w:p w14:paraId="1B4FE42E">
      <w:pPr>
        <w:pageBreakBefore w:val="0"/>
        <w:wordWrap/>
        <w:topLinePunct w:val="0"/>
        <w:bidi w:val="0"/>
        <w:spacing w:line="360" w:lineRule="auto"/>
        <w:rPr>
          <w:color w:val="000000" w:themeColor="text1"/>
          <w:highlight w:val="none"/>
        </w:rPr>
      </w:pPr>
      <w:r>
        <w:rPr>
          <w:color w:val="000000" w:themeColor="text1"/>
          <w:highlight w:val="none"/>
        </w:rPr>
        <w:t>本项目环境监督计划见表</w:t>
      </w:r>
      <w:r>
        <w:rPr>
          <w:rFonts w:hint="eastAsia"/>
          <w:color w:val="000000" w:themeColor="text1"/>
          <w:highlight w:val="none"/>
          <w:lang w:val="en-US" w:eastAsia="zh-CN"/>
        </w:rPr>
        <w:t>9</w:t>
      </w:r>
      <w:r>
        <w:rPr>
          <w:color w:val="000000" w:themeColor="text1"/>
          <w:highlight w:val="none"/>
        </w:rPr>
        <w:t>.1-1，环境管理计划见表</w:t>
      </w:r>
      <w:r>
        <w:rPr>
          <w:rFonts w:hint="eastAsia"/>
          <w:color w:val="000000" w:themeColor="text1"/>
          <w:highlight w:val="none"/>
          <w:lang w:val="en-US" w:eastAsia="zh-CN"/>
        </w:rPr>
        <w:t>9</w:t>
      </w:r>
      <w:r>
        <w:rPr>
          <w:color w:val="000000" w:themeColor="text1"/>
          <w:highlight w:val="none"/>
        </w:rPr>
        <w:t>.1-2。</w:t>
      </w:r>
    </w:p>
    <w:p w14:paraId="3BFA633D">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w:t>
      </w:r>
      <w:r>
        <w:rPr>
          <w:rFonts w:hint="eastAsia"/>
          <w:b/>
          <w:color w:val="000000" w:themeColor="text1"/>
          <w:highlight w:val="none"/>
          <w:lang w:val="en-US" w:eastAsia="zh-CN"/>
        </w:rPr>
        <w:t>9</w:t>
      </w:r>
      <w:r>
        <w:rPr>
          <w:b/>
          <w:color w:val="000000" w:themeColor="text1"/>
          <w:highlight w:val="none"/>
        </w:rPr>
        <w:t>.1-1</w:t>
      </w:r>
      <w:r>
        <w:rPr>
          <w:rFonts w:hint="eastAsia"/>
          <w:b/>
          <w:color w:val="000000" w:themeColor="text1"/>
          <w:highlight w:val="none"/>
          <w:lang w:val="en-US" w:eastAsia="zh-CN"/>
        </w:rPr>
        <w:t xml:space="preserve">  </w:t>
      </w:r>
      <w:r>
        <w:rPr>
          <w:b/>
          <w:color w:val="000000" w:themeColor="text1"/>
          <w:highlight w:val="none"/>
        </w:rPr>
        <w:t>项目环境监督计划</w:t>
      </w:r>
    </w:p>
    <w:tbl>
      <w:tblPr>
        <w:tblStyle w:val="33"/>
        <w:tblW w:w="836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595"/>
        <w:gridCol w:w="1560"/>
        <w:gridCol w:w="2693"/>
        <w:gridCol w:w="3520"/>
      </w:tblGrid>
      <w:tr w14:paraId="28A702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595" w:type="dxa"/>
            <w:vAlign w:val="center"/>
          </w:tcPr>
          <w:p w14:paraId="7E54BA13">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阶段</w:t>
            </w:r>
          </w:p>
        </w:tc>
        <w:tc>
          <w:tcPr>
            <w:tcW w:w="1560" w:type="dxa"/>
            <w:vAlign w:val="center"/>
          </w:tcPr>
          <w:p w14:paraId="1259FB80">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机构</w:t>
            </w:r>
          </w:p>
        </w:tc>
        <w:tc>
          <w:tcPr>
            <w:tcW w:w="2693" w:type="dxa"/>
            <w:vAlign w:val="center"/>
          </w:tcPr>
          <w:p w14:paraId="07DE459F">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监督内容</w:t>
            </w:r>
          </w:p>
        </w:tc>
        <w:tc>
          <w:tcPr>
            <w:tcW w:w="3520" w:type="dxa"/>
            <w:vAlign w:val="center"/>
          </w:tcPr>
          <w:p w14:paraId="74734039">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监督目的</w:t>
            </w:r>
          </w:p>
        </w:tc>
      </w:tr>
      <w:tr w14:paraId="0DAF65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Align w:val="center"/>
          </w:tcPr>
          <w:p w14:paraId="2325453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可</w:t>
            </w:r>
          </w:p>
          <w:p w14:paraId="40743CD8">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行</w:t>
            </w:r>
          </w:p>
          <w:p w14:paraId="3E070AA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性</w:t>
            </w:r>
          </w:p>
          <w:p w14:paraId="3FA44D1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研</w:t>
            </w:r>
          </w:p>
          <w:p w14:paraId="29F3659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究</w:t>
            </w:r>
          </w:p>
        </w:tc>
        <w:tc>
          <w:tcPr>
            <w:tcW w:w="1560" w:type="dxa"/>
            <w:vAlign w:val="center"/>
          </w:tcPr>
          <w:p w14:paraId="2488A812">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p>
        </w:tc>
        <w:tc>
          <w:tcPr>
            <w:tcW w:w="2693" w:type="dxa"/>
            <w:vAlign w:val="center"/>
          </w:tcPr>
          <w:p w14:paraId="03AF34B5">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审核环境影响报告书</w:t>
            </w:r>
          </w:p>
        </w:tc>
        <w:tc>
          <w:tcPr>
            <w:tcW w:w="3520" w:type="dxa"/>
            <w:vAlign w:val="center"/>
          </w:tcPr>
          <w:p w14:paraId="7B1ACEE0">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1、保证环评内容全面，专题设置得当，重点突出</w:t>
            </w:r>
          </w:p>
          <w:p w14:paraId="443BB496">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2、保证项目可能产生重大的、潜在问题都已得到反映</w:t>
            </w:r>
          </w:p>
          <w:p w14:paraId="4E01CAB5">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3、保证减缓环境措施具体可行</w:t>
            </w:r>
          </w:p>
        </w:tc>
      </w:tr>
      <w:tr w14:paraId="6691DC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71B3E832">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设</w:t>
            </w:r>
          </w:p>
          <w:p w14:paraId="19EF2E98">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计</w:t>
            </w:r>
          </w:p>
          <w:p w14:paraId="78D332C2">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和</w:t>
            </w:r>
          </w:p>
          <w:p w14:paraId="44426DA0">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施</w:t>
            </w:r>
          </w:p>
          <w:p w14:paraId="7131C09D">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工</w:t>
            </w:r>
          </w:p>
          <w:p w14:paraId="3C877E0C">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阶</w:t>
            </w:r>
          </w:p>
          <w:p w14:paraId="2AA9682D">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段</w:t>
            </w:r>
          </w:p>
        </w:tc>
        <w:tc>
          <w:tcPr>
            <w:tcW w:w="1560" w:type="dxa"/>
            <w:vMerge w:val="restart"/>
            <w:vAlign w:val="center"/>
          </w:tcPr>
          <w:p w14:paraId="58FE17E3">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环境监理单位和</w:t>
            </w: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p>
        </w:tc>
        <w:tc>
          <w:tcPr>
            <w:tcW w:w="2693" w:type="dxa"/>
            <w:vAlign w:val="center"/>
          </w:tcPr>
          <w:p w14:paraId="15F6030B">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1、审核环保初步设计</w:t>
            </w:r>
          </w:p>
        </w:tc>
        <w:tc>
          <w:tcPr>
            <w:tcW w:w="3520" w:type="dxa"/>
            <w:vAlign w:val="center"/>
          </w:tcPr>
          <w:p w14:paraId="170E5926">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1、严格执行三同时及环保措施</w:t>
            </w:r>
          </w:p>
        </w:tc>
      </w:tr>
      <w:tr w14:paraId="0B9A35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26396BC2">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51F0F3D0">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7DD861E0">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2、环保投资是否落实</w:t>
            </w:r>
          </w:p>
        </w:tc>
        <w:tc>
          <w:tcPr>
            <w:tcW w:w="3520" w:type="dxa"/>
            <w:vAlign w:val="center"/>
          </w:tcPr>
          <w:p w14:paraId="5FBB75E7">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2、确保环保投资足额到位</w:t>
            </w:r>
          </w:p>
        </w:tc>
      </w:tr>
      <w:tr w14:paraId="5E92E4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4079754C">
            <w:pPr>
              <w:pStyle w:val="116"/>
              <w:pageBreakBefore w:val="0"/>
              <w:wordWrap/>
              <w:topLinePunct w:val="0"/>
              <w:bidi w:val="0"/>
              <w:spacing w:line="240" w:lineRule="auto"/>
              <w:rPr>
                <w:color w:val="000000" w:themeColor="text1"/>
                <w:sz w:val="21"/>
                <w:szCs w:val="21"/>
                <w:highlight w:val="none"/>
              </w:rPr>
            </w:pPr>
          </w:p>
        </w:tc>
        <w:tc>
          <w:tcPr>
            <w:tcW w:w="1560" w:type="dxa"/>
            <w:vMerge w:val="restart"/>
            <w:vAlign w:val="center"/>
          </w:tcPr>
          <w:p w14:paraId="15D53A9D">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p>
        </w:tc>
        <w:tc>
          <w:tcPr>
            <w:tcW w:w="2693" w:type="dxa"/>
            <w:vAlign w:val="center"/>
          </w:tcPr>
          <w:p w14:paraId="22BED78A">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3、检查料场和砼搅拌站位置设置是否合理</w:t>
            </w:r>
          </w:p>
        </w:tc>
        <w:tc>
          <w:tcPr>
            <w:tcW w:w="3520" w:type="dxa"/>
            <w:vAlign w:val="center"/>
          </w:tcPr>
          <w:p w14:paraId="451A5D43">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3、确保这些场所满足环保要求</w:t>
            </w:r>
          </w:p>
        </w:tc>
      </w:tr>
      <w:tr w14:paraId="034361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43298448">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1BC55224">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054D617D">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4、检查粉尘和噪声污染情况，决定施工时间</w:t>
            </w:r>
          </w:p>
        </w:tc>
        <w:tc>
          <w:tcPr>
            <w:tcW w:w="3520" w:type="dxa"/>
            <w:vAlign w:val="center"/>
          </w:tcPr>
          <w:p w14:paraId="7A03025F">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4、减少工程建设对周围环境影响，执行相关环保法规和标准</w:t>
            </w:r>
          </w:p>
        </w:tc>
      </w:tr>
      <w:tr w14:paraId="0B41B3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2A487D28">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200A7FE0">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5DE7FBB6">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5、检查有毒、有害物质装卸堆放管理方法、措施是否可行，检查大气污染物排放是否满足相应排放标准</w:t>
            </w:r>
          </w:p>
        </w:tc>
        <w:tc>
          <w:tcPr>
            <w:tcW w:w="3520" w:type="dxa"/>
            <w:vAlign w:val="center"/>
          </w:tcPr>
          <w:p w14:paraId="5E54A715">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5、减少因工程建设对周围环境的影响，执行相关环保法规和标准</w:t>
            </w:r>
          </w:p>
        </w:tc>
      </w:tr>
      <w:tr w14:paraId="574A09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5812F66D">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34A69F5F">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61E2B907">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6、检查施工场所生活废水排放和处理方法是否得当</w:t>
            </w:r>
          </w:p>
        </w:tc>
        <w:tc>
          <w:tcPr>
            <w:tcW w:w="3520" w:type="dxa"/>
            <w:vAlign w:val="center"/>
          </w:tcPr>
          <w:p w14:paraId="4ED8BDF9">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6、确保地表水和水源地不被污染</w:t>
            </w:r>
          </w:p>
        </w:tc>
      </w:tr>
      <w:tr w14:paraId="02514F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3E4333C3">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7DF43A44">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4090D974">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7、临时占地地恢复和处理</w:t>
            </w:r>
          </w:p>
        </w:tc>
        <w:tc>
          <w:tcPr>
            <w:tcW w:w="3520" w:type="dxa"/>
            <w:vAlign w:val="center"/>
          </w:tcPr>
          <w:p w14:paraId="606F5277">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7、确保景观和土地资源得到及早恢复</w:t>
            </w:r>
          </w:p>
        </w:tc>
      </w:tr>
      <w:tr w14:paraId="390E1D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4324CA29">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1A0338DC">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23BAC2C5">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8、检查环保设施三同时，确定最终完成期限</w:t>
            </w:r>
          </w:p>
        </w:tc>
        <w:tc>
          <w:tcPr>
            <w:tcW w:w="3520" w:type="dxa"/>
            <w:vAlign w:val="center"/>
          </w:tcPr>
          <w:p w14:paraId="534EDC3D">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8、确保环保措施三同时</w:t>
            </w:r>
          </w:p>
        </w:tc>
      </w:tr>
      <w:tr w14:paraId="053C5B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1B2E8D37">
            <w:pPr>
              <w:pStyle w:val="116"/>
              <w:pageBreakBefore w:val="0"/>
              <w:wordWrap/>
              <w:topLinePunct w:val="0"/>
              <w:bidi w:val="0"/>
              <w:spacing w:line="240" w:lineRule="auto"/>
              <w:rPr>
                <w:color w:val="000000" w:themeColor="text1"/>
                <w:sz w:val="21"/>
                <w:szCs w:val="21"/>
                <w:highlight w:val="none"/>
              </w:rPr>
            </w:pPr>
          </w:p>
        </w:tc>
        <w:tc>
          <w:tcPr>
            <w:tcW w:w="1560" w:type="dxa"/>
            <w:vMerge w:val="restart"/>
            <w:vAlign w:val="center"/>
          </w:tcPr>
          <w:p w14:paraId="4EF4FBB2">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r>
              <w:rPr>
                <w:rFonts w:hint="eastAsia"/>
                <w:color w:val="000000" w:themeColor="text1"/>
                <w:sz w:val="21"/>
                <w:szCs w:val="21"/>
                <w:highlight w:val="none"/>
                <w:lang w:val="en-US" w:eastAsia="zh-CN"/>
              </w:rPr>
              <w:t>和鹤岗市</w:t>
            </w:r>
            <w:r>
              <w:rPr>
                <w:color w:val="000000" w:themeColor="text1"/>
                <w:sz w:val="21"/>
                <w:szCs w:val="21"/>
                <w:highlight w:val="none"/>
              </w:rPr>
              <w:t>文物局</w:t>
            </w:r>
          </w:p>
        </w:tc>
        <w:tc>
          <w:tcPr>
            <w:tcW w:w="2693" w:type="dxa"/>
            <w:vAlign w:val="center"/>
          </w:tcPr>
          <w:p w14:paraId="7E73ECFD">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9、检查环保设施是否达到设计标准要求</w:t>
            </w:r>
          </w:p>
        </w:tc>
        <w:tc>
          <w:tcPr>
            <w:tcW w:w="3520" w:type="dxa"/>
            <w:vAlign w:val="center"/>
          </w:tcPr>
          <w:p w14:paraId="3BC576DB">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9、验收环保设施</w:t>
            </w:r>
          </w:p>
        </w:tc>
      </w:tr>
      <w:tr w14:paraId="739B5F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2AFC9E30">
            <w:pPr>
              <w:pStyle w:val="116"/>
              <w:pageBreakBefore w:val="0"/>
              <w:wordWrap/>
              <w:topLinePunct w:val="0"/>
              <w:bidi w:val="0"/>
              <w:spacing w:line="240" w:lineRule="auto"/>
              <w:rPr>
                <w:color w:val="000000" w:themeColor="text1"/>
                <w:sz w:val="21"/>
                <w:szCs w:val="21"/>
                <w:highlight w:val="none"/>
              </w:rPr>
            </w:pPr>
          </w:p>
        </w:tc>
        <w:tc>
          <w:tcPr>
            <w:tcW w:w="1560" w:type="dxa"/>
            <w:vMerge w:val="continue"/>
            <w:vAlign w:val="center"/>
          </w:tcPr>
          <w:p w14:paraId="7B434736">
            <w:pPr>
              <w:pStyle w:val="116"/>
              <w:pageBreakBefore w:val="0"/>
              <w:wordWrap/>
              <w:topLinePunct w:val="0"/>
              <w:bidi w:val="0"/>
              <w:spacing w:line="240" w:lineRule="auto"/>
              <w:rPr>
                <w:color w:val="000000" w:themeColor="text1"/>
                <w:sz w:val="21"/>
                <w:szCs w:val="21"/>
                <w:highlight w:val="none"/>
              </w:rPr>
            </w:pPr>
          </w:p>
        </w:tc>
        <w:tc>
          <w:tcPr>
            <w:tcW w:w="2693" w:type="dxa"/>
            <w:vAlign w:val="center"/>
          </w:tcPr>
          <w:p w14:paraId="67A0BD31">
            <w:pPr>
              <w:pStyle w:val="116"/>
              <w:pageBreakBefore w:val="0"/>
              <w:wordWrap/>
              <w:topLinePunct w:val="0"/>
              <w:bidi w:val="0"/>
              <w:spacing w:line="240" w:lineRule="auto"/>
              <w:jc w:val="both"/>
              <w:rPr>
                <w:color w:val="000000" w:themeColor="text1"/>
                <w:sz w:val="21"/>
                <w:szCs w:val="21"/>
                <w:highlight w:val="none"/>
              </w:rPr>
            </w:pPr>
            <w:r>
              <w:rPr>
                <w:color w:val="000000" w:themeColor="text1"/>
                <w:sz w:val="21"/>
                <w:szCs w:val="21"/>
                <w:highlight w:val="none"/>
              </w:rPr>
              <w:t>10、检查有无地下文物</w:t>
            </w:r>
          </w:p>
        </w:tc>
        <w:tc>
          <w:tcPr>
            <w:tcW w:w="3520" w:type="dxa"/>
            <w:vAlign w:val="center"/>
          </w:tcPr>
          <w:p w14:paraId="752666FE">
            <w:pPr>
              <w:pStyle w:val="116"/>
              <w:pageBreakBefore w:val="0"/>
              <w:wordWrap/>
              <w:topLinePunct w:val="0"/>
              <w:bidi w:val="0"/>
              <w:spacing w:line="240" w:lineRule="auto"/>
              <w:jc w:val="both"/>
              <w:rPr>
                <w:color w:val="000000" w:themeColor="text1"/>
                <w:sz w:val="21"/>
                <w:szCs w:val="21"/>
                <w:highlight w:val="none"/>
              </w:rPr>
            </w:pPr>
            <w:r>
              <w:rPr>
                <w:color w:val="000000" w:themeColor="text1"/>
                <w:sz w:val="21"/>
                <w:szCs w:val="21"/>
                <w:highlight w:val="none"/>
              </w:rPr>
              <w:t>10、保护文物资源不受破坏</w:t>
            </w:r>
          </w:p>
        </w:tc>
      </w:tr>
      <w:tr w14:paraId="60E04B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restart"/>
            <w:vAlign w:val="center"/>
          </w:tcPr>
          <w:p w14:paraId="025BFAC0">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营</w:t>
            </w:r>
          </w:p>
          <w:p w14:paraId="0829A535">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运</w:t>
            </w:r>
          </w:p>
          <w:p w14:paraId="528BA6C2">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期</w:t>
            </w:r>
          </w:p>
        </w:tc>
        <w:tc>
          <w:tcPr>
            <w:tcW w:w="1560" w:type="dxa"/>
            <w:vAlign w:val="center"/>
          </w:tcPr>
          <w:p w14:paraId="369B77D8">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p>
        </w:tc>
        <w:tc>
          <w:tcPr>
            <w:tcW w:w="2693" w:type="dxa"/>
            <w:vAlign w:val="center"/>
          </w:tcPr>
          <w:p w14:paraId="758893DA">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1、检查营运环境管理及监测计划实施</w:t>
            </w:r>
          </w:p>
          <w:p w14:paraId="40A05037">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2、核查有无必要采取进一步环保措施（可能出现原来未估计到的环境问题）</w:t>
            </w:r>
          </w:p>
        </w:tc>
        <w:tc>
          <w:tcPr>
            <w:tcW w:w="3520" w:type="dxa"/>
            <w:vAlign w:val="center"/>
          </w:tcPr>
          <w:p w14:paraId="1372C333">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1、落实环境管理及监测计划实施内容</w:t>
            </w:r>
          </w:p>
          <w:p w14:paraId="4467CD71">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2、切实保护环境，使工程建设和营运对环境的影响降至最低</w:t>
            </w:r>
          </w:p>
        </w:tc>
      </w:tr>
      <w:tr w14:paraId="6AB1B9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7AE942B3">
            <w:pPr>
              <w:pStyle w:val="116"/>
              <w:pageBreakBefore w:val="0"/>
              <w:wordWrap/>
              <w:topLinePunct w:val="0"/>
              <w:bidi w:val="0"/>
              <w:spacing w:line="240" w:lineRule="auto"/>
              <w:rPr>
                <w:color w:val="000000" w:themeColor="text1"/>
                <w:sz w:val="21"/>
                <w:szCs w:val="21"/>
                <w:highlight w:val="none"/>
              </w:rPr>
            </w:pPr>
          </w:p>
        </w:tc>
        <w:tc>
          <w:tcPr>
            <w:tcW w:w="1560" w:type="dxa"/>
            <w:vAlign w:val="center"/>
          </w:tcPr>
          <w:p w14:paraId="63B7131E">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p>
        </w:tc>
        <w:tc>
          <w:tcPr>
            <w:tcW w:w="2693" w:type="dxa"/>
            <w:vAlign w:val="center"/>
          </w:tcPr>
          <w:p w14:paraId="0B899421">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3、检查环境敏感区环境质量是否满足其相应质量标准要求</w:t>
            </w:r>
          </w:p>
        </w:tc>
        <w:tc>
          <w:tcPr>
            <w:tcW w:w="3520" w:type="dxa"/>
            <w:vAlign w:val="center"/>
          </w:tcPr>
          <w:p w14:paraId="27D157F8">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3、加强环境管理，切实保护人群生活质量</w:t>
            </w:r>
          </w:p>
          <w:p w14:paraId="157F1C51">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4、确保其污水排放满足标准要求</w:t>
            </w:r>
          </w:p>
        </w:tc>
      </w:tr>
      <w:tr w14:paraId="6113F8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dxa"/>
            <w:vMerge w:val="continue"/>
            <w:vAlign w:val="center"/>
          </w:tcPr>
          <w:p w14:paraId="7367B247">
            <w:pPr>
              <w:pStyle w:val="116"/>
              <w:pageBreakBefore w:val="0"/>
              <w:wordWrap/>
              <w:topLinePunct w:val="0"/>
              <w:bidi w:val="0"/>
              <w:spacing w:line="240" w:lineRule="auto"/>
              <w:rPr>
                <w:color w:val="000000" w:themeColor="text1"/>
                <w:sz w:val="21"/>
                <w:szCs w:val="21"/>
                <w:highlight w:val="none"/>
              </w:rPr>
            </w:pPr>
          </w:p>
        </w:tc>
        <w:tc>
          <w:tcPr>
            <w:tcW w:w="1560" w:type="dxa"/>
            <w:vAlign w:val="center"/>
          </w:tcPr>
          <w:p w14:paraId="647F8CBA">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鹤岗</w:t>
            </w:r>
            <w:r>
              <w:rPr>
                <w:color w:val="000000" w:themeColor="text1"/>
                <w:sz w:val="21"/>
                <w:szCs w:val="21"/>
                <w:highlight w:val="none"/>
              </w:rPr>
              <w:t>市</w:t>
            </w:r>
            <w:r>
              <w:rPr>
                <w:rFonts w:hint="eastAsia"/>
                <w:color w:val="000000" w:themeColor="text1"/>
                <w:sz w:val="21"/>
                <w:szCs w:val="21"/>
                <w:highlight w:val="none"/>
              </w:rPr>
              <w:t>生态环境</w:t>
            </w:r>
            <w:r>
              <w:rPr>
                <w:color w:val="000000" w:themeColor="text1"/>
                <w:sz w:val="21"/>
                <w:szCs w:val="21"/>
                <w:highlight w:val="none"/>
              </w:rPr>
              <w:t>局</w:t>
            </w:r>
            <w:r>
              <w:rPr>
                <w:rFonts w:hint="eastAsia"/>
                <w:color w:val="000000" w:themeColor="text1"/>
                <w:sz w:val="21"/>
                <w:szCs w:val="21"/>
                <w:highlight w:val="none"/>
                <w:lang w:val="en-US" w:eastAsia="zh-CN"/>
              </w:rPr>
              <w:t>和</w:t>
            </w:r>
            <w:r>
              <w:rPr>
                <w:color w:val="000000" w:themeColor="text1"/>
                <w:sz w:val="21"/>
                <w:szCs w:val="21"/>
                <w:highlight w:val="none"/>
              </w:rPr>
              <w:t>公安消防部门</w:t>
            </w:r>
          </w:p>
        </w:tc>
        <w:tc>
          <w:tcPr>
            <w:tcW w:w="2693" w:type="dxa"/>
            <w:vAlign w:val="center"/>
          </w:tcPr>
          <w:p w14:paraId="473E52FD">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5、加强监督防止突发事故，消除事故隐患。预先制定紧急事故应付方案，一旦发生事故能及时消除危险、确保剧毒材料不被泄漏</w:t>
            </w:r>
          </w:p>
        </w:tc>
        <w:tc>
          <w:tcPr>
            <w:tcW w:w="3520" w:type="dxa"/>
            <w:vAlign w:val="center"/>
          </w:tcPr>
          <w:p w14:paraId="1F591383">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5、消除事故隐患，避免发生恶性污染事件</w:t>
            </w:r>
          </w:p>
        </w:tc>
      </w:tr>
    </w:tbl>
    <w:p w14:paraId="19EAFB7A">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w:t>
      </w:r>
      <w:r>
        <w:rPr>
          <w:rFonts w:hint="eastAsia"/>
          <w:b/>
          <w:color w:val="000000" w:themeColor="text1"/>
          <w:highlight w:val="none"/>
          <w:lang w:val="en-US" w:eastAsia="zh-CN"/>
        </w:rPr>
        <w:t>9</w:t>
      </w:r>
      <w:r>
        <w:rPr>
          <w:b/>
          <w:color w:val="000000" w:themeColor="text1"/>
          <w:highlight w:val="none"/>
        </w:rPr>
        <w:t>.1-2</w:t>
      </w:r>
      <w:r>
        <w:rPr>
          <w:rFonts w:hint="eastAsia"/>
          <w:b/>
          <w:color w:val="000000" w:themeColor="text1"/>
          <w:highlight w:val="none"/>
          <w:lang w:val="en-US" w:eastAsia="zh-CN"/>
        </w:rPr>
        <w:t xml:space="preserve">  </w:t>
      </w:r>
      <w:r>
        <w:rPr>
          <w:b/>
          <w:color w:val="000000" w:themeColor="text1"/>
          <w:highlight w:val="none"/>
        </w:rPr>
        <w:t>项目环境管理计划</w:t>
      </w:r>
    </w:p>
    <w:tbl>
      <w:tblPr>
        <w:tblStyle w:val="33"/>
        <w:tblW w:w="8387" w:type="dxa"/>
        <w:tblInd w:w="-11"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2798"/>
        <w:gridCol w:w="3998"/>
        <w:gridCol w:w="905"/>
        <w:gridCol w:w="686"/>
      </w:tblGrid>
      <w:tr w14:paraId="100A2B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798" w:type="dxa"/>
            <w:vAlign w:val="center"/>
          </w:tcPr>
          <w:p w14:paraId="1102564A">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潜在环境影响</w:t>
            </w:r>
          </w:p>
        </w:tc>
        <w:tc>
          <w:tcPr>
            <w:tcW w:w="3998" w:type="dxa"/>
            <w:vAlign w:val="center"/>
          </w:tcPr>
          <w:p w14:paraId="2120D882">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减缓措施</w:t>
            </w:r>
          </w:p>
        </w:tc>
        <w:tc>
          <w:tcPr>
            <w:tcW w:w="905" w:type="dxa"/>
            <w:vAlign w:val="center"/>
          </w:tcPr>
          <w:p w14:paraId="10ABA90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实施机构</w:t>
            </w:r>
          </w:p>
        </w:tc>
        <w:tc>
          <w:tcPr>
            <w:tcW w:w="686" w:type="dxa"/>
            <w:vAlign w:val="center"/>
          </w:tcPr>
          <w:p w14:paraId="3E5DE3F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负责</w:t>
            </w:r>
          </w:p>
          <w:p w14:paraId="6A3AA35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机构</w:t>
            </w:r>
          </w:p>
        </w:tc>
      </w:tr>
      <w:tr w14:paraId="24C05A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798" w:type="dxa"/>
            <w:vAlign w:val="center"/>
          </w:tcPr>
          <w:p w14:paraId="6C863DDE">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一、计划和设计阶段</w:t>
            </w:r>
          </w:p>
          <w:p w14:paraId="6146B0E2">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1、占用土地资源</w:t>
            </w:r>
          </w:p>
          <w:p w14:paraId="04BAB859">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lang w:val="en-US" w:eastAsia="zh-CN"/>
              </w:rPr>
              <w:t>2</w:t>
            </w:r>
            <w:r>
              <w:rPr>
                <w:color w:val="000000" w:themeColor="text1"/>
                <w:sz w:val="21"/>
                <w:szCs w:val="21"/>
                <w:highlight w:val="none"/>
              </w:rPr>
              <w:t>、开挖土石方，取土，弃渣</w:t>
            </w:r>
          </w:p>
        </w:tc>
        <w:tc>
          <w:tcPr>
            <w:tcW w:w="3998" w:type="dxa"/>
            <w:vAlign w:val="center"/>
          </w:tcPr>
          <w:p w14:paraId="21686765">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1、选线时尽量少占农田</w:t>
            </w:r>
          </w:p>
          <w:p w14:paraId="7A180EB1">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2、精心选线，尽量避让</w:t>
            </w:r>
          </w:p>
        </w:tc>
        <w:tc>
          <w:tcPr>
            <w:tcW w:w="905" w:type="dxa"/>
            <w:vAlign w:val="center"/>
          </w:tcPr>
          <w:p w14:paraId="137F01A6">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评价单位</w:t>
            </w:r>
          </w:p>
          <w:p w14:paraId="242860ED">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设计单位</w:t>
            </w:r>
          </w:p>
        </w:tc>
        <w:tc>
          <w:tcPr>
            <w:tcW w:w="686" w:type="dxa"/>
            <w:vMerge w:val="restart"/>
            <w:vAlign w:val="center"/>
          </w:tcPr>
          <w:p w14:paraId="612E3AC8">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rPr>
              <w:t>建设单位</w:t>
            </w:r>
          </w:p>
        </w:tc>
      </w:tr>
      <w:tr w14:paraId="20ABF6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798" w:type="dxa"/>
            <w:vAlign w:val="center"/>
          </w:tcPr>
          <w:p w14:paraId="61A19D1C">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二、施工期</w:t>
            </w:r>
          </w:p>
          <w:p w14:paraId="2DBEB78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1、搅拌站环境空气污染</w:t>
            </w:r>
          </w:p>
          <w:p w14:paraId="208E45AF">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2、施工机器噪声污染</w:t>
            </w:r>
          </w:p>
          <w:p w14:paraId="47995D9E">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3、施工现场扬尘污染</w:t>
            </w:r>
          </w:p>
          <w:p w14:paraId="512C397A">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4、施工营地生活废水污染</w:t>
            </w:r>
          </w:p>
          <w:p w14:paraId="5F2BACA8">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5、阻断从家到农田路等，增加行走时间</w:t>
            </w:r>
          </w:p>
          <w:p w14:paraId="6E9C809D">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6、取土对土地产生的影响</w:t>
            </w:r>
          </w:p>
        </w:tc>
        <w:tc>
          <w:tcPr>
            <w:tcW w:w="3998" w:type="dxa"/>
            <w:vAlign w:val="center"/>
          </w:tcPr>
          <w:p w14:paraId="378EFC9F">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二、施工期</w:t>
            </w:r>
          </w:p>
          <w:p w14:paraId="2F0A615B">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1、安装并开通空气污染控制装置、恰当选择场所</w:t>
            </w:r>
          </w:p>
          <w:p w14:paraId="3AB27A4B">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2、在设备上安装消声器并及时维护，规范使用时间、对超标敏感点上移动隔声屏</w:t>
            </w:r>
          </w:p>
          <w:p w14:paraId="711B758E">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3、定期洒水</w:t>
            </w:r>
          </w:p>
          <w:p w14:paraId="3DC96F9E">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4、建设防渗旱厕，统一处理</w:t>
            </w:r>
          </w:p>
          <w:p w14:paraId="5EA0414E">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5、提供位置和数量恰当的通道，维护现有道路</w:t>
            </w:r>
          </w:p>
          <w:p w14:paraId="1AA61682">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6、采取必要措施，加强防护</w:t>
            </w:r>
          </w:p>
        </w:tc>
        <w:tc>
          <w:tcPr>
            <w:tcW w:w="905" w:type="dxa"/>
            <w:vAlign w:val="center"/>
          </w:tcPr>
          <w:p w14:paraId="323686AE">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施工单位</w:t>
            </w:r>
          </w:p>
          <w:p w14:paraId="6CC5F70D">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设计单位</w:t>
            </w:r>
          </w:p>
        </w:tc>
        <w:tc>
          <w:tcPr>
            <w:tcW w:w="686" w:type="dxa"/>
            <w:vMerge w:val="continue"/>
            <w:vAlign w:val="center"/>
          </w:tcPr>
          <w:p w14:paraId="5D60147E">
            <w:pPr>
              <w:pStyle w:val="116"/>
              <w:pageBreakBefore w:val="0"/>
              <w:wordWrap/>
              <w:topLinePunct w:val="0"/>
              <w:bidi w:val="0"/>
              <w:spacing w:line="240" w:lineRule="auto"/>
              <w:rPr>
                <w:color w:val="000000" w:themeColor="text1"/>
                <w:sz w:val="21"/>
                <w:szCs w:val="21"/>
                <w:highlight w:val="none"/>
              </w:rPr>
            </w:pPr>
          </w:p>
        </w:tc>
      </w:tr>
      <w:tr w14:paraId="750EED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798" w:type="dxa"/>
            <w:vAlign w:val="center"/>
          </w:tcPr>
          <w:p w14:paraId="55F49974">
            <w:pPr>
              <w:pStyle w:val="116"/>
              <w:pageBreakBefore w:val="0"/>
              <w:wordWrap/>
              <w:topLinePunct w:val="0"/>
              <w:bidi w:val="0"/>
              <w:spacing w:line="240" w:lineRule="auto"/>
              <w:rPr>
                <w:color w:val="000000" w:themeColor="text1"/>
                <w:sz w:val="21"/>
                <w:szCs w:val="21"/>
                <w:highlight w:val="none"/>
              </w:rPr>
            </w:pPr>
            <w:bookmarkStart w:id="559" w:name="_Toc397591615"/>
            <w:bookmarkStart w:id="560" w:name="_Toc240169752"/>
            <w:bookmarkStart w:id="561" w:name="_Toc361558297"/>
            <w:r>
              <w:rPr>
                <w:color w:val="000000" w:themeColor="text1"/>
                <w:sz w:val="21"/>
                <w:szCs w:val="21"/>
                <w:highlight w:val="none"/>
              </w:rPr>
              <w:t>三、营运期</w:t>
            </w:r>
          </w:p>
          <w:p w14:paraId="18D72509">
            <w:pPr>
              <w:pStyle w:val="116"/>
              <w:pageBreakBefore w:val="0"/>
              <w:wordWrap/>
              <w:topLinePunct w:val="0"/>
              <w:bidi w:val="0"/>
              <w:spacing w:line="240" w:lineRule="auto"/>
              <w:jc w:val="both"/>
              <w:rPr>
                <w:color w:val="000000" w:themeColor="text1"/>
                <w:sz w:val="21"/>
                <w:szCs w:val="21"/>
                <w:highlight w:val="none"/>
              </w:rPr>
            </w:pPr>
            <w:r>
              <w:rPr>
                <w:color w:val="000000" w:themeColor="text1"/>
                <w:sz w:val="21"/>
                <w:szCs w:val="21"/>
                <w:highlight w:val="none"/>
              </w:rPr>
              <w:t>1、运行车辆交通噪声污染</w:t>
            </w:r>
            <w:r>
              <w:rPr>
                <w:rFonts w:hint="eastAsia"/>
                <w:color w:val="000000" w:themeColor="text1"/>
                <w:sz w:val="21"/>
                <w:szCs w:val="21"/>
                <w:highlight w:val="none"/>
              </w:rPr>
              <w:t>。</w:t>
            </w:r>
          </w:p>
          <w:p w14:paraId="6AE0C965">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2、运行车辆尾气排放产生环境空气污染</w:t>
            </w:r>
            <w:r>
              <w:rPr>
                <w:rFonts w:hint="eastAsia"/>
                <w:color w:val="000000" w:themeColor="text1"/>
                <w:sz w:val="21"/>
                <w:szCs w:val="21"/>
                <w:highlight w:val="none"/>
              </w:rPr>
              <w:t>。</w:t>
            </w:r>
          </w:p>
          <w:p w14:paraId="481A8E88">
            <w:pPr>
              <w:pStyle w:val="116"/>
              <w:pageBreakBefore w:val="0"/>
              <w:wordWrap/>
              <w:topLinePunct w:val="0"/>
              <w:bidi w:val="0"/>
              <w:spacing w:line="240" w:lineRule="auto"/>
              <w:jc w:val="both"/>
              <w:rPr>
                <w:color w:val="000000" w:themeColor="text1"/>
                <w:sz w:val="21"/>
                <w:szCs w:val="21"/>
                <w:highlight w:val="none"/>
              </w:rPr>
            </w:pPr>
            <w:r>
              <w:rPr>
                <w:color w:val="000000" w:themeColor="text1"/>
                <w:sz w:val="21"/>
                <w:szCs w:val="21"/>
                <w:highlight w:val="none"/>
              </w:rPr>
              <w:t>3、随意丢弃固体废物，路边杂乱无章</w:t>
            </w:r>
            <w:r>
              <w:rPr>
                <w:rFonts w:hint="eastAsia"/>
                <w:color w:val="000000" w:themeColor="text1"/>
                <w:sz w:val="21"/>
                <w:szCs w:val="21"/>
                <w:highlight w:val="none"/>
              </w:rPr>
              <w:t>。</w:t>
            </w:r>
          </w:p>
          <w:p w14:paraId="521052C1">
            <w:pPr>
              <w:pStyle w:val="116"/>
              <w:pageBreakBefore w:val="0"/>
              <w:wordWrap/>
              <w:topLinePunct w:val="0"/>
              <w:bidi w:val="0"/>
              <w:spacing w:line="240" w:lineRule="auto"/>
              <w:jc w:val="left"/>
              <w:rPr>
                <w:color w:val="000000" w:themeColor="text1"/>
                <w:sz w:val="21"/>
                <w:szCs w:val="21"/>
                <w:highlight w:val="none"/>
              </w:rPr>
            </w:pPr>
            <w:r>
              <w:rPr>
                <w:rFonts w:hint="eastAsia"/>
                <w:color w:val="000000" w:themeColor="text1"/>
                <w:sz w:val="21"/>
                <w:szCs w:val="21"/>
                <w:highlight w:val="none"/>
                <w:lang w:val="en-US" w:eastAsia="zh-CN"/>
              </w:rPr>
              <w:t>4</w:t>
            </w:r>
            <w:r>
              <w:rPr>
                <w:color w:val="000000" w:themeColor="text1"/>
                <w:sz w:val="21"/>
                <w:szCs w:val="21"/>
                <w:highlight w:val="none"/>
              </w:rPr>
              <w:t>、伴随车辆交通和运输产生的事故风险，由此可导致有毒物散落、受伤或丧命</w:t>
            </w:r>
            <w:r>
              <w:rPr>
                <w:rFonts w:hint="eastAsia"/>
                <w:color w:val="000000" w:themeColor="text1"/>
                <w:sz w:val="21"/>
                <w:szCs w:val="21"/>
                <w:highlight w:val="none"/>
              </w:rPr>
              <w:t>。</w:t>
            </w:r>
          </w:p>
        </w:tc>
        <w:tc>
          <w:tcPr>
            <w:tcW w:w="3998" w:type="dxa"/>
            <w:vAlign w:val="center"/>
          </w:tcPr>
          <w:p w14:paraId="24AA038D">
            <w:pPr>
              <w:pStyle w:val="116"/>
              <w:pageBreakBefore w:val="0"/>
              <w:wordWrap/>
              <w:topLinePunct w:val="0"/>
              <w:bidi w:val="0"/>
              <w:spacing w:line="240" w:lineRule="auto"/>
              <w:jc w:val="both"/>
              <w:rPr>
                <w:color w:val="000000" w:themeColor="text1"/>
                <w:sz w:val="21"/>
                <w:szCs w:val="21"/>
                <w:highlight w:val="none"/>
              </w:rPr>
            </w:pPr>
            <w:r>
              <w:rPr>
                <w:color w:val="000000" w:themeColor="text1"/>
                <w:sz w:val="21"/>
                <w:szCs w:val="21"/>
                <w:highlight w:val="none"/>
              </w:rPr>
              <w:t>三、营运期</w:t>
            </w:r>
          </w:p>
          <w:p w14:paraId="59E3B7B1">
            <w:pPr>
              <w:pStyle w:val="116"/>
              <w:pageBreakBefore w:val="0"/>
              <w:wordWrap/>
              <w:topLinePunct w:val="0"/>
              <w:bidi w:val="0"/>
              <w:spacing w:line="240" w:lineRule="auto"/>
              <w:jc w:val="both"/>
              <w:rPr>
                <w:color w:val="000000" w:themeColor="text1"/>
                <w:sz w:val="21"/>
                <w:szCs w:val="21"/>
                <w:highlight w:val="none"/>
              </w:rPr>
            </w:pPr>
            <w:r>
              <w:rPr>
                <w:color w:val="000000" w:themeColor="text1"/>
                <w:sz w:val="21"/>
                <w:szCs w:val="21"/>
                <w:highlight w:val="none"/>
              </w:rPr>
              <w:t>1、采用其他防噪措施</w:t>
            </w:r>
            <w:r>
              <w:rPr>
                <w:rFonts w:hint="eastAsia"/>
                <w:color w:val="000000" w:themeColor="text1"/>
                <w:sz w:val="21"/>
                <w:szCs w:val="21"/>
                <w:highlight w:val="none"/>
              </w:rPr>
              <w:t>。</w:t>
            </w:r>
          </w:p>
          <w:p w14:paraId="6E5702E1">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2、加强管理，控制上路车辆状况</w:t>
            </w:r>
            <w:r>
              <w:rPr>
                <w:rFonts w:hint="eastAsia"/>
                <w:color w:val="000000" w:themeColor="text1"/>
                <w:sz w:val="21"/>
                <w:szCs w:val="21"/>
                <w:highlight w:val="none"/>
              </w:rPr>
              <w:t>。</w:t>
            </w:r>
          </w:p>
          <w:p w14:paraId="049F6027">
            <w:pPr>
              <w:pStyle w:val="116"/>
              <w:pageBreakBefore w:val="0"/>
              <w:wordWrap/>
              <w:topLinePunct w:val="0"/>
              <w:bidi w:val="0"/>
              <w:spacing w:line="240" w:lineRule="auto"/>
              <w:jc w:val="left"/>
              <w:rPr>
                <w:color w:val="000000" w:themeColor="text1"/>
                <w:sz w:val="21"/>
                <w:szCs w:val="21"/>
                <w:highlight w:val="none"/>
              </w:rPr>
            </w:pPr>
            <w:r>
              <w:rPr>
                <w:color w:val="000000" w:themeColor="text1"/>
                <w:sz w:val="21"/>
                <w:szCs w:val="21"/>
                <w:highlight w:val="none"/>
              </w:rPr>
              <w:t>3、加强</w:t>
            </w:r>
            <w:r>
              <w:rPr>
                <w:rFonts w:hint="eastAsia"/>
                <w:color w:val="000000" w:themeColor="text1"/>
                <w:sz w:val="21"/>
                <w:szCs w:val="21"/>
                <w:highlight w:val="none"/>
                <w:lang w:val="en-US" w:eastAsia="zh-CN"/>
              </w:rPr>
              <w:t>路面</w:t>
            </w:r>
            <w:r>
              <w:rPr>
                <w:color w:val="000000" w:themeColor="text1"/>
                <w:sz w:val="21"/>
                <w:szCs w:val="21"/>
                <w:highlight w:val="none"/>
              </w:rPr>
              <w:t>维护</w:t>
            </w:r>
            <w:r>
              <w:rPr>
                <w:rFonts w:hint="eastAsia"/>
                <w:color w:val="000000" w:themeColor="text1"/>
                <w:sz w:val="21"/>
                <w:szCs w:val="21"/>
                <w:highlight w:val="none"/>
              </w:rPr>
              <w:t>。</w:t>
            </w:r>
          </w:p>
          <w:p w14:paraId="07A5C84A">
            <w:pPr>
              <w:pStyle w:val="116"/>
              <w:pageBreakBefore w:val="0"/>
              <w:wordWrap/>
              <w:topLinePunct w:val="0"/>
              <w:bidi w:val="0"/>
              <w:spacing w:line="240" w:lineRule="auto"/>
              <w:jc w:val="left"/>
              <w:rPr>
                <w:color w:val="000000" w:themeColor="text1"/>
                <w:sz w:val="21"/>
                <w:szCs w:val="21"/>
                <w:highlight w:val="none"/>
              </w:rPr>
            </w:pPr>
            <w:r>
              <w:rPr>
                <w:rFonts w:hint="eastAsia"/>
                <w:color w:val="000000" w:themeColor="text1"/>
                <w:sz w:val="21"/>
                <w:szCs w:val="21"/>
                <w:highlight w:val="none"/>
                <w:lang w:val="en-US" w:eastAsia="zh-CN"/>
              </w:rPr>
              <w:t>4</w:t>
            </w:r>
            <w:r>
              <w:rPr>
                <w:color w:val="000000" w:themeColor="text1"/>
                <w:sz w:val="21"/>
                <w:szCs w:val="21"/>
                <w:highlight w:val="none"/>
              </w:rPr>
              <w:t>、制定和执行一项紧急事故处置计划，设立必要的机构和管理程序，遏制意外事故产生损害</w:t>
            </w:r>
            <w:r>
              <w:rPr>
                <w:rFonts w:hint="eastAsia"/>
                <w:color w:val="000000" w:themeColor="text1"/>
                <w:sz w:val="21"/>
                <w:szCs w:val="21"/>
                <w:highlight w:val="none"/>
              </w:rPr>
              <w:t>。</w:t>
            </w:r>
          </w:p>
        </w:tc>
        <w:tc>
          <w:tcPr>
            <w:tcW w:w="905" w:type="dxa"/>
            <w:vAlign w:val="center"/>
          </w:tcPr>
          <w:p w14:paraId="05A38B2B">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道路管理处</w:t>
            </w:r>
          </w:p>
        </w:tc>
        <w:tc>
          <w:tcPr>
            <w:tcW w:w="686" w:type="dxa"/>
            <w:vMerge w:val="continue"/>
            <w:vAlign w:val="center"/>
          </w:tcPr>
          <w:p w14:paraId="7F11AA76">
            <w:pPr>
              <w:pStyle w:val="116"/>
              <w:pageBreakBefore w:val="0"/>
              <w:wordWrap/>
              <w:topLinePunct w:val="0"/>
              <w:bidi w:val="0"/>
              <w:spacing w:line="240" w:lineRule="auto"/>
              <w:rPr>
                <w:color w:val="000000" w:themeColor="text1"/>
                <w:sz w:val="21"/>
                <w:szCs w:val="21"/>
                <w:highlight w:val="none"/>
              </w:rPr>
            </w:pPr>
          </w:p>
        </w:tc>
      </w:tr>
    </w:tbl>
    <w:p w14:paraId="7901882B">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实施各阶段还应认真作好如下工作：</w:t>
      </w:r>
    </w:p>
    <w:p w14:paraId="75706B83">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（1）设计阶段</w:t>
      </w:r>
    </w:p>
    <w:p w14:paraId="5A9CBDED">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设计部门应将环境影响报告书提出的各项环保措施落实在设计中，建设单位环保部门应对环保措施设计方案进行认真的检查。</w:t>
      </w:r>
    </w:p>
    <w:p w14:paraId="201D31FA">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（2）招标阶段</w:t>
      </w:r>
    </w:p>
    <w:p w14:paraId="645A7BE7">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承包商投标中应有环境保护内容，中标后合同中应有实施环保措施的条件。</w:t>
      </w:r>
    </w:p>
    <w:p w14:paraId="77E78B98">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（3）施工阶段</w:t>
      </w:r>
    </w:p>
    <w:p w14:paraId="5E60AD9C">
      <w:pPr>
        <w:pageBreakBefore w:val="0"/>
        <w:wordWrap/>
        <w:topLinePunct w:val="0"/>
        <w:bidi w:val="0"/>
        <w:spacing w:line="360" w:lineRule="auto"/>
        <w:ind w:firstLine="523" w:firstLineChars="218"/>
        <w:rPr>
          <w:color w:val="000000" w:themeColor="text1"/>
          <w:highlight w:val="none"/>
        </w:rPr>
      </w:pPr>
      <w:r>
        <w:rPr>
          <w:rFonts w:hint="eastAsia" w:cs="宋体"/>
          <w:color w:val="000000" w:themeColor="text1"/>
          <w:highlight w:val="none"/>
        </w:rPr>
        <w:t>①</w:t>
      </w:r>
      <w:r>
        <w:rPr>
          <w:color w:val="000000" w:themeColor="text1"/>
          <w:highlight w:val="none"/>
        </w:rPr>
        <w:t>建设单位在施工开始后应配2～3名专职人员，负责施工环境管理与监督。重点在施工生活污水不处理排放、施工噪声、粉尘等。</w:t>
      </w:r>
    </w:p>
    <w:p w14:paraId="321E8EC4">
      <w:pPr>
        <w:pageBreakBefore w:val="0"/>
        <w:wordWrap/>
        <w:topLinePunct w:val="0"/>
        <w:bidi w:val="0"/>
        <w:spacing w:line="360" w:lineRule="auto"/>
        <w:ind w:firstLine="523" w:firstLineChars="218"/>
        <w:rPr>
          <w:color w:val="000000" w:themeColor="text1"/>
          <w:highlight w:val="none"/>
        </w:rPr>
      </w:pPr>
      <w:r>
        <w:rPr>
          <w:rFonts w:hint="eastAsia" w:cs="宋体"/>
          <w:color w:val="000000" w:themeColor="text1"/>
          <w:highlight w:val="none"/>
        </w:rPr>
        <w:t>②</w:t>
      </w:r>
      <w:r>
        <w:rPr>
          <w:color w:val="000000" w:themeColor="text1"/>
          <w:highlight w:val="none"/>
        </w:rPr>
        <w:t>各施工队伍应配备一名环保员，监督、管理环保措施的实施。</w:t>
      </w:r>
    </w:p>
    <w:p w14:paraId="30C95D50">
      <w:pPr>
        <w:pageBreakBefore w:val="0"/>
        <w:wordWrap/>
        <w:topLinePunct w:val="0"/>
        <w:bidi w:val="0"/>
        <w:spacing w:line="360" w:lineRule="auto"/>
        <w:ind w:firstLine="523" w:firstLineChars="218"/>
        <w:rPr>
          <w:color w:val="000000" w:themeColor="text1"/>
          <w:highlight w:val="none"/>
        </w:rPr>
      </w:pPr>
      <w:r>
        <w:rPr>
          <w:color w:val="000000" w:themeColor="text1"/>
          <w:highlight w:val="none"/>
        </w:rPr>
        <w:t>（4）营运期</w:t>
      </w:r>
    </w:p>
    <w:p w14:paraId="5BD9862D">
      <w:pPr>
        <w:pageBreakBefore w:val="0"/>
        <w:wordWrap/>
        <w:topLinePunct w:val="0"/>
        <w:bidi w:val="0"/>
        <w:spacing w:line="360" w:lineRule="auto"/>
        <w:rPr>
          <w:color w:val="000000" w:themeColor="text1"/>
          <w:highlight w:val="none"/>
        </w:rPr>
      </w:pPr>
      <w:r>
        <w:rPr>
          <w:color w:val="000000" w:themeColor="text1"/>
          <w:highlight w:val="none"/>
        </w:rPr>
        <w:t>营运期间环境管理工作由</w:t>
      </w:r>
      <w:r>
        <w:rPr>
          <w:rFonts w:hint="eastAsia"/>
          <w:color w:val="000000" w:themeColor="text1"/>
          <w:highlight w:val="none"/>
          <w:lang w:val="en-US" w:eastAsia="zh-CN"/>
        </w:rPr>
        <w:t>建设单位</w:t>
      </w:r>
      <w:r>
        <w:rPr>
          <w:color w:val="000000" w:themeColor="text1"/>
          <w:highlight w:val="none"/>
        </w:rPr>
        <w:t>专职人员负责。</w:t>
      </w:r>
    </w:p>
    <w:p w14:paraId="6860E9DA">
      <w:pPr>
        <w:pStyle w:val="3"/>
        <w:pageBreakBefore w:val="0"/>
        <w:wordWrap/>
        <w:topLinePunct w:val="0"/>
        <w:bidi w:val="0"/>
        <w:spacing w:line="360" w:lineRule="auto"/>
        <w:rPr>
          <w:color w:val="000000" w:themeColor="text1"/>
          <w:highlight w:val="none"/>
        </w:rPr>
      </w:pPr>
      <w:bookmarkStart w:id="562" w:name="_Toc25009"/>
      <w:bookmarkStart w:id="563" w:name="_Toc32519"/>
      <w:bookmarkStart w:id="564" w:name="_Toc5435"/>
      <w:bookmarkStart w:id="565" w:name="_Toc18242"/>
      <w:bookmarkStart w:id="566" w:name="_Toc30542"/>
      <w:r>
        <w:rPr>
          <w:rFonts w:hint="eastAsia"/>
          <w:color w:val="000000" w:themeColor="text1"/>
          <w:highlight w:val="none"/>
          <w:lang w:val="en-US" w:eastAsia="zh-CN"/>
        </w:rPr>
        <w:t>9</w:t>
      </w:r>
      <w:r>
        <w:rPr>
          <w:color w:val="000000" w:themeColor="text1"/>
          <w:highlight w:val="none"/>
        </w:rPr>
        <w:t>.2环境监测计划</w:t>
      </w:r>
      <w:bookmarkEnd w:id="559"/>
      <w:bookmarkEnd w:id="560"/>
      <w:bookmarkEnd w:id="561"/>
      <w:bookmarkEnd w:id="562"/>
      <w:bookmarkEnd w:id="563"/>
      <w:bookmarkEnd w:id="564"/>
      <w:bookmarkEnd w:id="565"/>
      <w:bookmarkEnd w:id="566"/>
    </w:p>
    <w:p w14:paraId="6F39DA6D">
      <w:pPr>
        <w:pageBreakBefore w:val="0"/>
        <w:wordWrap/>
        <w:topLinePunct w:val="0"/>
        <w:bidi w:val="0"/>
        <w:spacing w:line="360" w:lineRule="auto"/>
        <w:rPr>
          <w:color w:val="000000" w:themeColor="text1"/>
          <w:highlight w:val="none"/>
        </w:rPr>
      </w:pPr>
      <w:r>
        <w:rPr>
          <w:color w:val="000000" w:themeColor="text1"/>
          <w:highlight w:val="none"/>
        </w:rPr>
        <w:t>根据道路交通工程特征，本项目将按照施工期和运营期制定分期环境监测计划，见表</w:t>
      </w:r>
      <w:r>
        <w:rPr>
          <w:rFonts w:hint="eastAsia"/>
          <w:color w:val="000000" w:themeColor="text1"/>
          <w:highlight w:val="none"/>
          <w:lang w:val="en-US" w:eastAsia="zh-CN"/>
        </w:rPr>
        <w:t>9</w:t>
      </w:r>
      <w:r>
        <w:rPr>
          <w:color w:val="000000" w:themeColor="text1"/>
          <w:highlight w:val="none"/>
        </w:rPr>
        <w:t>.2-1。</w:t>
      </w:r>
    </w:p>
    <w:p w14:paraId="7D144477">
      <w:pPr>
        <w:pageBreakBefore w:val="0"/>
        <w:wordWrap/>
        <w:topLinePunct w:val="0"/>
        <w:bidi w:val="0"/>
        <w:spacing w:line="360" w:lineRule="auto"/>
        <w:ind w:left="0" w:leftChars="0" w:firstLine="0" w:firstLineChars="0"/>
        <w:jc w:val="center"/>
        <w:rPr>
          <w:b/>
          <w:color w:val="000000" w:themeColor="text1"/>
          <w:highlight w:val="none"/>
        </w:rPr>
      </w:pPr>
      <w:r>
        <w:rPr>
          <w:rFonts w:hint="eastAsia"/>
          <w:b/>
          <w:color w:val="000000" w:themeColor="text1"/>
          <w:highlight w:val="none"/>
        </w:rPr>
        <w:t>表</w:t>
      </w:r>
      <w:r>
        <w:rPr>
          <w:rFonts w:hint="eastAsia"/>
          <w:b/>
          <w:color w:val="000000" w:themeColor="text1"/>
          <w:highlight w:val="none"/>
          <w:lang w:val="en-US" w:eastAsia="zh-CN"/>
        </w:rPr>
        <w:t>9</w:t>
      </w:r>
      <w:r>
        <w:rPr>
          <w:rFonts w:hint="eastAsia"/>
          <w:b/>
          <w:color w:val="000000" w:themeColor="text1"/>
          <w:highlight w:val="none"/>
        </w:rPr>
        <w:t>.2-1</w:t>
      </w:r>
      <w:r>
        <w:rPr>
          <w:rFonts w:hint="eastAsia"/>
          <w:b/>
          <w:color w:val="000000" w:themeColor="text1"/>
          <w:highlight w:val="none"/>
          <w:lang w:val="en-US" w:eastAsia="zh-CN"/>
        </w:rPr>
        <w:t xml:space="preserve">  </w:t>
      </w:r>
      <w:r>
        <w:rPr>
          <w:rFonts w:hint="eastAsia"/>
          <w:b/>
          <w:color w:val="000000" w:themeColor="text1"/>
          <w:highlight w:val="none"/>
        </w:rPr>
        <w:t>环境监测计划</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28" w:type="dxa"/>
          <w:bottom w:w="0" w:type="dxa"/>
          <w:right w:w="28" w:type="dxa"/>
        </w:tblCellMar>
      </w:tblPr>
      <w:tblGrid>
        <w:gridCol w:w="1018"/>
        <w:gridCol w:w="1033"/>
        <w:gridCol w:w="1536"/>
        <w:gridCol w:w="1428"/>
        <w:gridCol w:w="1343"/>
        <w:gridCol w:w="997"/>
        <w:gridCol w:w="957"/>
      </w:tblGrid>
      <w:tr w14:paraId="21C1D87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tblHeader/>
          <w:jc w:val="center"/>
        </w:trPr>
        <w:tc>
          <w:tcPr>
            <w:tcW w:w="612" w:type="pct"/>
            <w:tcMar>
              <w:left w:w="0" w:type="dxa"/>
              <w:right w:w="0" w:type="dxa"/>
            </w:tcMar>
            <w:vAlign w:val="center"/>
          </w:tcPr>
          <w:p w14:paraId="30B4DDA7">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环境因子</w:t>
            </w:r>
          </w:p>
        </w:tc>
        <w:tc>
          <w:tcPr>
            <w:tcW w:w="621" w:type="pct"/>
            <w:tcBorders>
              <w:right w:val="single" w:color="auto" w:sz="4" w:space="0"/>
            </w:tcBorders>
            <w:tcMar>
              <w:left w:w="0" w:type="dxa"/>
              <w:right w:w="0" w:type="dxa"/>
            </w:tcMar>
            <w:vAlign w:val="center"/>
          </w:tcPr>
          <w:p w14:paraId="561BAB13">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监测时段</w:t>
            </w:r>
          </w:p>
        </w:tc>
        <w:tc>
          <w:tcPr>
            <w:tcW w:w="923" w:type="pct"/>
            <w:tcBorders>
              <w:right w:val="single" w:color="auto" w:sz="4" w:space="0"/>
            </w:tcBorders>
            <w:tcMar>
              <w:left w:w="0" w:type="dxa"/>
              <w:right w:w="0" w:type="dxa"/>
            </w:tcMar>
            <w:vAlign w:val="center"/>
          </w:tcPr>
          <w:p w14:paraId="46997325">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监测地点</w:t>
            </w:r>
          </w:p>
        </w:tc>
        <w:tc>
          <w:tcPr>
            <w:tcW w:w="858" w:type="pct"/>
            <w:tcBorders>
              <w:left w:val="single" w:color="auto" w:sz="4" w:space="0"/>
            </w:tcBorders>
            <w:tcMar>
              <w:left w:w="0" w:type="dxa"/>
              <w:right w:w="0" w:type="dxa"/>
            </w:tcMar>
            <w:vAlign w:val="center"/>
          </w:tcPr>
          <w:p w14:paraId="6F9794E7">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监测项目</w:t>
            </w:r>
          </w:p>
        </w:tc>
        <w:tc>
          <w:tcPr>
            <w:tcW w:w="807" w:type="pct"/>
            <w:tcBorders>
              <w:left w:val="single" w:color="auto" w:sz="4" w:space="0"/>
            </w:tcBorders>
            <w:tcMar>
              <w:left w:w="0" w:type="dxa"/>
              <w:right w:w="0" w:type="dxa"/>
            </w:tcMar>
            <w:vAlign w:val="center"/>
          </w:tcPr>
          <w:p w14:paraId="21C98CA9">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监测时间</w:t>
            </w:r>
          </w:p>
        </w:tc>
        <w:tc>
          <w:tcPr>
            <w:tcW w:w="599" w:type="pct"/>
            <w:tcMar>
              <w:left w:w="0" w:type="dxa"/>
              <w:right w:w="0" w:type="dxa"/>
            </w:tcMar>
            <w:vAlign w:val="center"/>
          </w:tcPr>
          <w:p w14:paraId="35E2848F">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实施机构</w:t>
            </w:r>
          </w:p>
        </w:tc>
        <w:tc>
          <w:tcPr>
            <w:tcW w:w="575" w:type="pct"/>
            <w:tcMar>
              <w:left w:w="0" w:type="dxa"/>
              <w:right w:w="0" w:type="dxa"/>
            </w:tcMar>
            <w:vAlign w:val="center"/>
          </w:tcPr>
          <w:p w14:paraId="7671AF19">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监督机构</w:t>
            </w:r>
          </w:p>
        </w:tc>
      </w:tr>
      <w:tr w14:paraId="581B17D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612" w:type="pct"/>
            <w:vAlign w:val="center"/>
          </w:tcPr>
          <w:p w14:paraId="7B589D6B">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环境</w:t>
            </w:r>
          </w:p>
          <w:p w14:paraId="1A3D4EE4">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空气</w:t>
            </w:r>
          </w:p>
        </w:tc>
        <w:tc>
          <w:tcPr>
            <w:tcW w:w="621" w:type="pct"/>
            <w:tcBorders>
              <w:right w:val="single" w:color="auto" w:sz="4" w:space="0"/>
            </w:tcBorders>
            <w:vAlign w:val="center"/>
          </w:tcPr>
          <w:p w14:paraId="71CAE3A0">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施工期</w:t>
            </w:r>
          </w:p>
        </w:tc>
        <w:tc>
          <w:tcPr>
            <w:tcW w:w="923" w:type="pct"/>
            <w:tcBorders>
              <w:right w:val="single" w:color="auto" w:sz="4" w:space="0"/>
            </w:tcBorders>
            <w:vAlign w:val="center"/>
          </w:tcPr>
          <w:p w14:paraId="57A13A68">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拌合站、未铺装施工道路</w:t>
            </w:r>
          </w:p>
        </w:tc>
        <w:tc>
          <w:tcPr>
            <w:tcW w:w="858" w:type="pct"/>
            <w:tcBorders>
              <w:left w:val="single" w:color="auto" w:sz="4" w:space="0"/>
            </w:tcBorders>
            <w:vAlign w:val="center"/>
          </w:tcPr>
          <w:p w14:paraId="73C38563">
            <w:pPr>
              <w:pageBreakBefore w:val="0"/>
              <w:wordWrap/>
              <w:topLinePunct w:val="0"/>
              <w:bidi w:val="0"/>
              <w:spacing w:line="240" w:lineRule="auto"/>
              <w:ind w:firstLine="78" w:firstLineChars="0"/>
              <w:jc w:val="center"/>
              <w:rPr>
                <w:rFonts w:hint="default" w:eastAsia="宋体"/>
                <w:color w:val="000000" w:themeColor="text1"/>
                <w:spacing w:val="4"/>
                <w:kern w:val="0"/>
                <w:sz w:val="21"/>
                <w:szCs w:val="21"/>
                <w:highlight w:val="none"/>
                <w:lang w:val="en-US" w:eastAsia="zh-CN"/>
              </w:rPr>
            </w:pPr>
            <w:r>
              <w:rPr>
                <w:rFonts w:hint="eastAsia"/>
                <w:color w:val="000000" w:themeColor="text1"/>
                <w:spacing w:val="4"/>
                <w:kern w:val="0"/>
                <w:sz w:val="21"/>
                <w:szCs w:val="21"/>
                <w:highlight w:val="none"/>
              </w:rPr>
              <w:t>苯并芘、非甲烷总烃、颗粒物、SO</w:t>
            </w:r>
            <w:r>
              <w:rPr>
                <w:rFonts w:hint="eastAsia"/>
                <w:color w:val="000000" w:themeColor="text1"/>
                <w:spacing w:val="4"/>
                <w:kern w:val="0"/>
                <w:sz w:val="21"/>
                <w:szCs w:val="21"/>
                <w:highlight w:val="none"/>
                <w:vertAlign w:val="subscript"/>
              </w:rPr>
              <w:t>2</w:t>
            </w:r>
            <w:r>
              <w:rPr>
                <w:rFonts w:hint="eastAsia"/>
                <w:color w:val="000000" w:themeColor="text1"/>
                <w:spacing w:val="4"/>
                <w:kern w:val="0"/>
                <w:sz w:val="21"/>
                <w:szCs w:val="21"/>
                <w:highlight w:val="none"/>
              </w:rPr>
              <w:t>、NOx及沥青烟</w:t>
            </w:r>
          </w:p>
        </w:tc>
        <w:tc>
          <w:tcPr>
            <w:tcW w:w="807" w:type="pct"/>
            <w:tcBorders>
              <w:left w:val="single" w:color="auto" w:sz="4" w:space="0"/>
            </w:tcBorders>
            <w:vAlign w:val="center"/>
          </w:tcPr>
          <w:p w14:paraId="38F25CD9">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1次/每季，停工期不监测，每次监测3天</w:t>
            </w:r>
          </w:p>
        </w:tc>
        <w:tc>
          <w:tcPr>
            <w:tcW w:w="599" w:type="pct"/>
            <w:vAlign w:val="center"/>
          </w:tcPr>
          <w:p w14:paraId="2D0E7998">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有</w:t>
            </w:r>
            <w:r>
              <w:rPr>
                <w:color w:val="000000" w:themeColor="text1"/>
                <w:spacing w:val="4"/>
                <w:kern w:val="0"/>
                <w:sz w:val="21"/>
                <w:szCs w:val="21"/>
                <w:highlight w:val="none"/>
              </w:rPr>
              <w:t>实施能力</w:t>
            </w:r>
            <w:r>
              <w:rPr>
                <w:rFonts w:hint="eastAsia"/>
                <w:color w:val="000000" w:themeColor="text1"/>
                <w:spacing w:val="4"/>
                <w:kern w:val="0"/>
                <w:sz w:val="21"/>
                <w:szCs w:val="21"/>
                <w:highlight w:val="none"/>
              </w:rPr>
              <w:t>相关</w:t>
            </w:r>
            <w:r>
              <w:rPr>
                <w:color w:val="000000" w:themeColor="text1"/>
                <w:spacing w:val="4"/>
                <w:kern w:val="0"/>
                <w:sz w:val="21"/>
                <w:szCs w:val="21"/>
                <w:highlight w:val="none"/>
              </w:rPr>
              <w:t>部门</w:t>
            </w:r>
          </w:p>
        </w:tc>
        <w:tc>
          <w:tcPr>
            <w:tcW w:w="575" w:type="pct"/>
            <w:vAlign w:val="center"/>
          </w:tcPr>
          <w:p w14:paraId="5A10E2E4">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bCs/>
                <w:color w:val="000000" w:themeColor="text1"/>
                <w:sz w:val="21"/>
                <w:szCs w:val="21"/>
                <w:highlight w:val="none"/>
              </w:rPr>
              <w:t>环境保护主管部门</w:t>
            </w:r>
          </w:p>
        </w:tc>
      </w:tr>
      <w:tr w14:paraId="4C87CC3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612" w:type="pct"/>
            <w:vAlign w:val="center"/>
          </w:tcPr>
          <w:p w14:paraId="20650C4D">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噪声</w:t>
            </w:r>
          </w:p>
        </w:tc>
        <w:tc>
          <w:tcPr>
            <w:tcW w:w="621" w:type="pct"/>
            <w:tcBorders>
              <w:right w:val="single" w:color="auto" w:sz="4" w:space="0"/>
            </w:tcBorders>
            <w:vAlign w:val="center"/>
          </w:tcPr>
          <w:p w14:paraId="4DE98905">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施工期</w:t>
            </w:r>
          </w:p>
        </w:tc>
        <w:tc>
          <w:tcPr>
            <w:tcW w:w="923" w:type="pct"/>
            <w:tcBorders>
              <w:bottom w:val="single" w:color="auto" w:sz="4" w:space="0"/>
              <w:right w:val="single" w:color="auto" w:sz="4" w:space="0"/>
            </w:tcBorders>
            <w:vAlign w:val="center"/>
          </w:tcPr>
          <w:p w14:paraId="1D4F5789">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bCs/>
                <w:color w:val="000000" w:themeColor="text1"/>
                <w:sz w:val="21"/>
                <w:szCs w:val="21"/>
                <w:highlight w:val="none"/>
              </w:rPr>
              <w:t>施工作业场地场界处</w:t>
            </w:r>
          </w:p>
        </w:tc>
        <w:tc>
          <w:tcPr>
            <w:tcW w:w="858" w:type="pct"/>
            <w:tcBorders>
              <w:left w:val="single" w:color="auto" w:sz="4" w:space="0"/>
            </w:tcBorders>
            <w:vAlign w:val="center"/>
          </w:tcPr>
          <w:p w14:paraId="6E4E821E">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L</w:t>
            </w:r>
            <w:r>
              <w:rPr>
                <w:color w:val="000000" w:themeColor="text1"/>
                <w:spacing w:val="4"/>
                <w:kern w:val="0"/>
                <w:sz w:val="21"/>
                <w:szCs w:val="21"/>
                <w:highlight w:val="none"/>
                <w:vertAlign w:val="subscript"/>
              </w:rPr>
              <w:t>Aeq</w:t>
            </w:r>
          </w:p>
        </w:tc>
        <w:tc>
          <w:tcPr>
            <w:tcW w:w="807" w:type="pct"/>
            <w:tcBorders>
              <w:left w:val="single" w:color="auto" w:sz="4" w:space="0"/>
            </w:tcBorders>
            <w:vAlign w:val="center"/>
          </w:tcPr>
          <w:p w14:paraId="3C8AA3A5">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2次/年（施工期每季度一次），1天2次（昼夜各一次）</w:t>
            </w:r>
          </w:p>
        </w:tc>
        <w:tc>
          <w:tcPr>
            <w:tcW w:w="599" w:type="pct"/>
            <w:vAlign w:val="center"/>
          </w:tcPr>
          <w:p w14:paraId="1A4AF25C">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有</w:t>
            </w:r>
            <w:r>
              <w:rPr>
                <w:color w:val="000000" w:themeColor="text1"/>
                <w:spacing w:val="4"/>
                <w:kern w:val="0"/>
                <w:sz w:val="21"/>
                <w:szCs w:val="21"/>
                <w:highlight w:val="none"/>
              </w:rPr>
              <w:t>实施能力</w:t>
            </w:r>
            <w:r>
              <w:rPr>
                <w:rFonts w:hint="eastAsia"/>
                <w:color w:val="000000" w:themeColor="text1"/>
                <w:spacing w:val="4"/>
                <w:kern w:val="0"/>
                <w:sz w:val="21"/>
                <w:szCs w:val="21"/>
                <w:highlight w:val="none"/>
              </w:rPr>
              <w:t>相关</w:t>
            </w:r>
            <w:r>
              <w:rPr>
                <w:color w:val="000000" w:themeColor="text1"/>
                <w:spacing w:val="4"/>
                <w:kern w:val="0"/>
                <w:sz w:val="21"/>
                <w:szCs w:val="21"/>
                <w:highlight w:val="none"/>
              </w:rPr>
              <w:t>部门</w:t>
            </w:r>
          </w:p>
        </w:tc>
        <w:tc>
          <w:tcPr>
            <w:tcW w:w="575" w:type="pct"/>
            <w:vAlign w:val="center"/>
          </w:tcPr>
          <w:p w14:paraId="615D7413">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bCs/>
                <w:color w:val="000000" w:themeColor="text1"/>
                <w:sz w:val="21"/>
                <w:szCs w:val="21"/>
                <w:highlight w:val="none"/>
              </w:rPr>
              <w:t>环境保护主管部门</w:t>
            </w:r>
          </w:p>
        </w:tc>
      </w:tr>
      <w:tr w14:paraId="35B7B60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612" w:type="pct"/>
            <w:vMerge w:val="restart"/>
            <w:vAlign w:val="center"/>
          </w:tcPr>
          <w:p w14:paraId="4C87AC04">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地表水</w:t>
            </w:r>
          </w:p>
        </w:tc>
        <w:tc>
          <w:tcPr>
            <w:tcW w:w="621" w:type="pct"/>
            <w:tcBorders>
              <w:right w:val="single" w:color="auto" w:sz="4" w:space="0"/>
            </w:tcBorders>
            <w:vAlign w:val="center"/>
          </w:tcPr>
          <w:p w14:paraId="562BB937">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施工期</w:t>
            </w:r>
          </w:p>
        </w:tc>
        <w:tc>
          <w:tcPr>
            <w:tcW w:w="923" w:type="pct"/>
            <w:tcBorders>
              <w:right w:val="single" w:color="auto" w:sz="4" w:space="0"/>
            </w:tcBorders>
            <w:vAlign w:val="center"/>
          </w:tcPr>
          <w:p w14:paraId="17FF32E8">
            <w:pPr>
              <w:pageBreakBefore w:val="0"/>
              <w:wordWrap/>
              <w:topLinePunct w:val="0"/>
              <w:bidi w:val="0"/>
              <w:spacing w:line="240" w:lineRule="auto"/>
              <w:ind w:firstLine="78" w:firstLineChars="0"/>
              <w:jc w:val="center"/>
              <w:rPr>
                <w:rFonts w:hint="eastAsia" w:eastAsia="宋体"/>
                <w:color w:val="000000" w:themeColor="text1"/>
                <w:spacing w:val="4"/>
                <w:kern w:val="0"/>
                <w:sz w:val="21"/>
                <w:szCs w:val="21"/>
                <w:highlight w:val="none"/>
                <w:lang w:eastAsia="zh-CN"/>
              </w:rPr>
            </w:pPr>
            <w:r>
              <w:rPr>
                <w:rFonts w:hint="eastAsia"/>
                <w:color w:val="000000" w:themeColor="text1"/>
                <w:spacing w:val="4"/>
                <w:kern w:val="0"/>
                <w:sz w:val="21"/>
                <w:szCs w:val="21"/>
                <w:highlight w:val="none"/>
                <w:lang w:val="en-US" w:eastAsia="zh-CN"/>
              </w:rPr>
              <w:t>朝鲜河</w:t>
            </w:r>
          </w:p>
        </w:tc>
        <w:tc>
          <w:tcPr>
            <w:tcW w:w="858" w:type="pct"/>
            <w:tcBorders>
              <w:left w:val="single" w:color="auto" w:sz="4" w:space="0"/>
            </w:tcBorders>
            <w:vAlign w:val="center"/>
          </w:tcPr>
          <w:p w14:paraId="59CD4103">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kern w:val="0"/>
                <w:sz w:val="21"/>
                <w:szCs w:val="21"/>
                <w:highlight w:val="none"/>
              </w:rPr>
              <w:t>pH、</w:t>
            </w:r>
            <w:r>
              <w:rPr>
                <w:rFonts w:hint="eastAsia"/>
                <w:color w:val="000000" w:themeColor="text1"/>
                <w:kern w:val="0"/>
                <w:sz w:val="21"/>
                <w:szCs w:val="21"/>
                <w:highlight w:val="none"/>
              </w:rPr>
              <w:t>BOD</w:t>
            </w:r>
            <w:r>
              <w:rPr>
                <w:rFonts w:hint="eastAsia"/>
                <w:color w:val="000000" w:themeColor="text1"/>
                <w:kern w:val="0"/>
                <w:sz w:val="21"/>
                <w:szCs w:val="21"/>
                <w:highlight w:val="none"/>
                <w:vertAlign w:val="subscript"/>
              </w:rPr>
              <w:t>5</w:t>
            </w:r>
            <w:r>
              <w:rPr>
                <w:color w:val="000000" w:themeColor="text1"/>
                <w:kern w:val="0"/>
                <w:sz w:val="21"/>
                <w:szCs w:val="21"/>
                <w:highlight w:val="none"/>
              </w:rPr>
              <w:t>、</w:t>
            </w:r>
            <w:r>
              <w:rPr>
                <w:rFonts w:hint="eastAsia"/>
                <w:color w:val="000000" w:themeColor="text1"/>
                <w:kern w:val="0"/>
                <w:sz w:val="21"/>
                <w:szCs w:val="21"/>
                <w:highlight w:val="none"/>
              </w:rPr>
              <w:t>COD</w:t>
            </w:r>
            <w:r>
              <w:rPr>
                <w:color w:val="000000" w:themeColor="text1"/>
                <w:kern w:val="0"/>
                <w:sz w:val="21"/>
                <w:szCs w:val="21"/>
                <w:highlight w:val="none"/>
              </w:rPr>
              <w:t>、</w:t>
            </w:r>
            <w:r>
              <w:rPr>
                <w:rFonts w:hint="eastAsia"/>
                <w:color w:val="000000" w:themeColor="text1"/>
                <w:kern w:val="0"/>
                <w:sz w:val="21"/>
                <w:szCs w:val="21"/>
                <w:highlight w:val="none"/>
              </w:rPr>
              <w:t>NH</w:t>
            </w:r>
            <w:r>
              <w:rPr>
                <w:rFonts w:hint="eastAsia"/>
                <w:color w:val="000000" w:themeColor="text1"/>
                <w:kern w:val="0"/>
                <w:sz w:val="21"/>
                <w:szCs w:val="21"/>
                <w:highlight w:val="none"/>
                <w:vertAlign w:val="subscript"/>
              </w:rPr>
              <w:t>3</w:t>
            </w:r>
            <w:r>
              <w:rPr>
                <w:rFonts w:hint="eastAsia"/>
                <w:color w:val="000000" w:themeColor="text1"/>
                <w:kern w:val="0"/>
                <w:sz w:val="21"/>
                <w:szCs w:val="21"/>
                <w:highlight w:val="none"/>
              </w:rPr>
              <w:t>-N</w:t>
            </w:r>
            <w:r>
              <w:rPr>
                <w:color w:val="000000" w:themeColor="text1"/>
                <w:kern w:val="0"/>
                <w:sz w:val="21"/>
                <w:szCs w:val="21"/>
                <w:highlight w:val="none"/>
              </w:rPr>
              <w:t>、</w:t>
            </w:r>
            <w:r>
              <w:rPr>
                <w:rFonts w:hint="eastAsia"/>
                <w:color w:val="000000" w:themeColor="text1"/>
                <w:kern w:val="0"/>
                <w:sz w:val="21"/>
                <w:szCs w:val="21"/>
                <w:highlight w:val="none"/>
              </w:rPr>
              <w:t>总磷、总氮、石油类</w:t>
            </w:r>
          </w:p>
        </w:tc>
        <w:tc>
          <w:tcPr>
            <w:tcW w:w="807" w:type="pct"/>
            <w:tcBorders>
              <w:left w:val="single" w:color="auto" w:sz="4" w:space="0"/>
            </w:tcBorders>
            <w:vAlign w:val="center"/>
          </w:tcPr>
          <w:p w14:paraId="582C031B">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2次/年</w:t>
            </w:r>
            <w:r>
              <w:rPr>
                <w:rFonts w:hint="eastAsia"/>
                <w:color w:val="000000" w:themeColor="text1"/>
                <w:spacing w:val="4"/>
                <w:kern w:val="0"/>
                <w:sz w:val="21"/>
                <w:szCs w:val="21"/>
                <w:highlight w:val="none"/>
              </w:rPr>
              <w:t>，每次连续3天</w:t>
            </w:r>
          </w:p>
        </w:tc>
        <w:tc>
          <w:tcPr>
            <w:tcW w:w="599" w:type="pct"/>
            <w:vMerge w:val="restart"/>
            <w:vAlign w:val="center"/>
          </w:tcPr>
          <w:p w14:paraId="3BFDCD28">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有</w:t>
            </w:r>
            <w:r>
              <w:rPr>
                <w:color w:val="000000" w:themeColor="text1"/>
                <w:spacing w:val="4"/>
                <w:kern w:val="0"/>
                <w:sz w:val="21"/>
                <w:szCs w:val="21"/>
                <w:highlight w:val="none"/>
              </w:rPr>
              <w:t>实施能力</w:t>
            </w:r>
            <w:r>
              <w:rPr>
                <w:rFonts w:hint="eastAsia"/>
                <w:color w:val="000000" w:themeColor="text1"/>
                <w:spacing w:val="4"/>
                <w:kern w:val="0"/>
                <w:sz w:val="21"/>
                <w:szCs w:val="21"/>
                <w:highlight w:val="none"/>
              </w:rPr>
              <w:t>相关</w:t>
            </w:r>
            <w:r>
              <w:rPr>
                <w:color w:val="000000" w:themeColor="text1"/>
                <w:spacing w:val="4"/>
                <w:kern w:val="0"/>
                <w:sz w:val="21"/>
                <w:szCs w:val="21"/>
                <w:highlight w:val="none"/>
              </w:rPr>
              <w:t>部门</w:t>
            </w:r>
          </w:p>
        </w:tc>
        <w:tc>
          <w:tcPr>
            <w:tcW w:w="575" w:type="pct"/>
            <w:vMerge w:val="restart"/>
            <w:vAlign w:val="center"/>
          </w:tcPr>
          <w:p w14:paraId="3F804313">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bCs/>
                <w:color w:val="000000" w:themeColor="text1"/>
                <w:sz w:val="21"/>
                <w:szCs w:val="21"/>
                <w:highlight w:val="none"/>
              </w:rPr>
              <w:t>环境保护主管部门</w:t>
            </w:r>
          </w:p>
        </w:tc>
      </w:tr>
      <w:tr w14:paraId="19212A2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612" w:type="pct"/>
            <w:vMerge w:val="continue"/>
            <w:vAlign w:val="center"/>
          </w:tcPr>
          <w:p w14:paraId="1EA75340">
            <w:pPr>
              <w:pageBreakBefore w:val="0"/>
              <w:wordWrap/>
              <w:topLinePunct w:val="0"/>
              <w:bidi w:val="0"/>
              <w:spacing w:line="240" w:lineRule="auto"/>
              <w:ind w:firstLine="78" w:firstLineChars="0"/>
              <w:jc w:val="center"/>
              <w:rPr>
                <w:color w:val="000000" w:themeColor="text1"/>
                <w:spacing w:val="4"/>
                <w:kern w:val="0"/>
                <w:sz w:val="21"/>
                <w:szCs w:val="21"/>
                <w:highlight w:val="none"/>
              </w:rPr>
            </w:pPr>
          </w:p>
        </w:tc>
        <w:tc>
          <w:tcPr>
            <w:tcW w:w="621" w:type="pct"/>
            <w:tcBorders>
              <w:right w:val="single" w:color="auto" w:sz="4" w:space="0"/>
            </w:tcBorders>
            <w:vAlign w:val="center"/>
          </w:tcPr>
          <w:p w14:paraId="272957A1">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运营期</w:t>
            </w:r>
          </w:p>
        </w:tc>
        <w:tc>
          <w:tcPr>
            <w:tcW w:w="923" w:type="pct"/>
            <w:tcBorders>
              <w:right w:val="single" w:color="auto" w:sz="4" w:space="0"/>
            </w:tcBorders>
            <w:vAlign w:val="center"/>
          </w:tcPr>
          <w:p w14:paraId="3324995D">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lang w:val="en-US" w:eastAsia="zh-CN"/>
              </w:rPr>
              <w:t>朝鲜河</w:t>
            </w:r>
          </w:p>
        </w:tc>
        <w:tc>
          <w:tcPr>
            <w:tcW w:w="858" w:type="pct"/>
            <w:tcBorders>
              <w:left w:val="single" w:color="auto" w:sz="4" w:space="0"/>
            </w:tcBorders>
            <w:vAlign w:val="center"/>
          </w:tcPr>
          <w:p w14:paraId="7668782F">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kern w:val="0"/>
                <w:sz w:val="21"/>
                <w:szCs w:val="21"/>
                <w:highlight w:val="none"/>
              </w:rPr>
              <w:t>pH、</w:t>
            </w:r>
            <w:r>
              <w:rPr>
                <w:rFonts w:hint="eastAsia"/>
                <w:color w:val="000000" w:themeColor="text1"/>
                <w:kern w:val="0"/>
                <w:sz w:val="21"/>
                <w:szCs w:val="21"/>
                <w:highlight w:val="none"/>
              </w:rPr>
              <w:t>BOD</w:t>
            </w:r>
            <w:r>
              <w:rPr>
                <w:rFonts w:hint="eastAsia"/>
                <w:color w:val="000000" w:themeColor="text1"/>
                <w:kern w:val="0"/>
                <w:sz w:val="21"/>
                <w:szCs w:val="21"/>
                <w:highlight w:val="none"/>
                <w:vertAlign w:val="subscript"/>
              </w:rPr>
              <w:t>5</w:t>
            </w:r>
            <w:r>
              <w:rPr>
                <w:color w:val="000000" w:themeColor="text1"/>
                <w:kern w:val="0"/>
                <w:sz w:val="21"/>
                <w:szCs w:val="21"/>
                <w:highlight w:val="none"/>
              </w:rPr>
              <w:t>、</w:t>
            </w:r>
            <w:r>
              <w:rPr>
                <w:rFonts w:hint="eastAsia"/>
                <w:color w:val="000000" w:themeColor="text1"/>
                <w:kern w:val="0"/>
                <w:sz w:val="21"/>
                <w:szCs w:val="21"/>
                <w:highlight w:val="none"/>
              </w:rPr>
              <w:t>COD</w:t>
            </w:r>
            <w:r>
              <w:rPr>
                <w:color w:val="000000" w:themeColor="text1"/>
                <w:kern w:val="0"/>
                <w:sz w:val="21"/>
                <w:szCs w:val="21"/>
                <w:highlight w:val="none"/>
              </w:rPr>
              <w:t>、</w:t>
            </w:r>
            <w:r>
              <w:rPr>
                <w:rFonts w:hint="eastAsia"/>
                <w:color w:val="000000" w:themeColor="text1"/>
                <w:kern w:val="0"/>
                <w:sz w:val="21"/>
                <w:szCs w:val="21"/>
                <w:highlight w:val="none"/>
              </w:rPr>
              <w:t>NH</w:t>
            </w:r>
            <w:r>
              <w:rPr>
                <w:rFonts w:hint="eastAsia"/>
                <w:color w:val="000000" w:themeColor="text1"/>
                <w:kern w:val="0"/>
                <w:sz w:val="21"/>
                <w:szCs w:val="21"/>
                <w:highlight w:val="none"/>
                <w:vertAlign w:val="subscript"/>
              </w:rPr>
              <w:t>3</w:t>
            </w:r>
            <w:r>
              <w:rPr>
                <w:rFonts w:hint="eastAsia"/>
                <w:color w:val="000000" w:themeColor="text1"/>
                <w:kern w:val="0"/>
                <w:sz w:val="21"/>
                <w:szCs w:val="21"/>
                <w:highlight w:val="none"/>
              </w:rPr>
              <w:t>-N</w:t>
            </w:r>
            <w:r>
              <w:rPr>
                <w:color w:val="000000" w:themeColor="text1"/>
                <w:kern w:val="0"/>
                <w:sz w:val="21"/>
                <w:szCs w:val="21"/>
                <w:highlight w:val="none"/>
              </w:rPr>
              <w:t>、</w:t>
            </w:r>
            <w:r>
              <w:rPr>
                <w:rFonts w:hint="eastAsia"/>
                <w:color w:val="000000" w:themeColor="text1"/>
                <w:kern w:val="0"/>
                <w:sz w:val="21"/>
                <w:szCs w:val="21"/>
                <w:highlight w:val="none"/>
              </w:rPr>
              <w:t>总磷、总氮、石油类</w:t>
            </w:r>
          </w:p>
        </w:tc>
        <w:tc>
          <w:tcPr>
            <w:tcW w:w="807" w:type="pct"/>
            <w:tcBorders>
              <w:left w:val="single" w:color="auto" w:sz="4" w:space="0"/>
            </w:tcBorders>
            <w:vAlign w:val="center"/>
          </w:tcPr>
          <w:p w14:paraId="4FF28DCC">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2次/年</w:t>
            </w:r>
            <w:r>
              <w:rPr>
                <w:rFonts w:hint="eastAsia"/>
                <w:color w:val="000000" w:themeColor="text1"/>
                <w:spacing w:val="4"/>
                <w:kern w:val="0"/>
                <w:sz w:val="21"/>
                <w:szCs w:val="21"/>
                <w:highlight w:val="none"/>
              </w:rPr>
              <w:t>，每次连续3天</w:t>
            </w:r>
          </w:p>
        </w:tc>
        <w:tc>
          <w:tcPr>
            <w:tcW w:w="599" w:type="pct"/>
            <w:vMerge w:val="continue"/>
            <w:vAlign w:val="center"/>
          </w:tcPr>
          <w:p w14:paraId="41AA9A16">
            <w:pPr>
              <w:pageBreakBefore w:val="0"/>
              <w:wordWrap/>
              <w:topLinePunct w:val="0"/>
              <w:bidi w:val="0"/>
              <w:spacing w:line="240" w:lineRule="auto"/>
              <w:ind w:firstLine="78" w:firstLineChars="0"/>
              <w:jc w:val="center"/>
              <w:rPr>
                <w:color w:val="000000" w:themeColor="text1"/>
                <w:spacing w:val="4"/>
                <w:kern w:val="0"/>
                <w:sz w:val="21"/>
                <w:szCs w:val="21"/>
                <w:highlight w:val="none"/>
              </w:rPr>
            </w:pPr>
          </w:p>
        </w:tc>
        <w:tc>
          <w:tcPr>
            <w:tcW w:w="575" w:type="pct"/>
            <w:vMerge w:val="continue"/>
            <w:vAlign w:val="center"/>
          </w:tcPr>
          <w:p w14:paraId="67FBB333">
            <w:pPr>
              <w:pageBreakBefore w:val="0"/>
              <w:wordWrap/>
              <w:topLinePunct w:val="0"/>
              <w:bidi w:val="0"/>
              <w:spacing w:line="240" w:lineRule="auto"/>
              <w:ind w:firstLine="78" w:firstLineChars="0"/>
              <w:jc w:val="center"/>
              <w:rPr>
                <w:bCs/>
                <w:color w:val="000000" w:themeColor="text1"/>
                <w:sz w:val="21"/>
                <w:szCs w:val="21"/>
                <w:highlight w:val="none"/>
              </w:rPr>
            </w:pPr>
          </w:p>
        </w:tc>
      </w:tr>
      <w:tr w14:paraId="15AFF13D">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612" w:type="pct"/>
            <w:vAlign w:val="center"/>
          </w:tcPr>
          <w:p w14:paraId="51E6DECF">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生态环境</w:t>
            </w:r>
          </w:p>
        </w:tc>
        <w:tc>
          <w:tcPr>
            <w:tcW w:w="621" w:type="pct"/>
            <w:tcBorders>
              <w:right w:val="single" w:color="auto" w:sz="4" w:space="0"/>
            </w:tcBorders>
            <w:vAlign w:val="center"/>
          </w:tcPr>
          <w:p w14:paraId="7758D826">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color w:val="000000" w:themeColor="text1"/>
                <w:spacing w:val="4"/>
                <w:kern w:val="0"/>
                <w:sz w:val="21"/>
                <w:szCs w:val="21"/>
                <w:highlight w:val="none"/>
              </w:rPr>
              <w:t>竣工后的3年内</w:t>
            </w:r>
          </w:p>
        </w:tc>
        <w:tc>
          <w:tcPr>
            <w:tcW w:w="923" w:type="pct"/>
            <w:tcBorders>
              <w:right w:val="single" w:color="auto" w:sz="4" w:space="0"/>
            </w:tcBorders>
            <w:vAlign w:val="center"/>
          </w:tcPr>
          <w:p w14:paraId="465416DA">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施工临时占地区</w:t>
            </w:r>
          </w:p>
        </w:tc>
        <w:tc>
          <w:tcPr>
            <w:tcW w:w="858" w:type="pct"/>
            <w:tcBorders>
              <w:left w:val="single" w:color="auto" w:sz="4" w:space="0"/>
            </w:tcBorders>
            <w:vAlign w:val="center"/>
          </w:tcPr>
          <w:p w14:paraId="17D13333">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地表植被恢复情况</w:t>
            </w:r>
          </w:p>
        </w:tc>
        <w:tc>
          <w:tcPr>
            <w:tcW w:w="807" w:type="pct"/>
            <w:tcBorders>
              <w:left w:val="single" w:color="auto" w:sz="4" w:space="0"/>
            </w:tcBorders>
            <w:vAlign w:val="center"/>
          </w:tcPr>
          <w:p w14:paraId="4841DC65">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每年</w:t>
            </w:r>
            <w:r>
              <w:rPr>
                <w:rFonts w:hint="eastAsia"/>
                <w:color w:val="000000" w:themeColor="text1"/>
                <w:spacing w:val="4"/>
                <w:kern w:val="0"/>
                <w:sz w:val="21"/>
                <w:szCs w:val="21"/>
                <w:highlight w:val="none"/>
                <w:lang w:val="en-US" w:eastAsia="zh-CN"/>
              </w:rPr>
              <w:t>春季</w:t>
            </w:r>
            <w:r>
              <w:rPr>
                <w:rFonts w:hint="eastAsia"/>
                <w:color w:val="000000" w:themeColor="text1"/>
                <w:spacing w:val="4"/>
                <w:kern w:val="0"/>
                <w:sz w:val="21"/>
                <w:szCs w:val="21"/>
                <w:highlight w:val="none"/>
              </w:rPr>
              <w:t>1次</w:t>
            </w:r>
          </w:p>
        </w:tc>
        <w:tc>
          <w:tcPr>
            <w:tcW w:w="599" w:type="pct"/>
            <w:vAlign w:val="center"/>
          </w:tcPr>
          <w:p w14:paraId="551B8CE8">
            <w:pPr>
              <w:pageBreakBefore w:val="0"/>
              <w:wordWrap/>
              <w:topLinePunct w:val="0"/>
              <w:bidi w:val="0"/>
              <w:spacing w:line="240" w:lineRule="auto"/>
              <w:ind w:firstLine="78" w:firstLineChars="0"/>
              <w:jc w:val="center"/>
              <w:rPr>
                <w:color w:val="000000" w:themeColor="text1"/>
                <w:spacing w:val="4"/>
                <w:kern w:val="0"/>
                <w:sz w:val="21"/>
                <w:szCs w:val="21"/>
                <w:highlight w:val="none"/>
              </w:rPr>
            </w:pPr>
            <w:r>
              <w:rPr>
                <w:rFonts w:hint="eastAsia"/>
                <w:color w:val="000000" w:themeColor="text1"/>
                <w:spacing w:val="4"/>
                <w:kern w:val="0"/>
                <w:sz w:val="21"/>
                <w:szCs w:val="21"/>
                <w:highlight w:val="none"/>
              </w:rPr>
              <w:t>有</w:t>
            </w:r>
            <w:r>
              <w:rPr>
                <w:color w:val="000000" w:themeColor="text1"/>
                <w:spacing w:val="4"/>
                <w:kern w:val="0"/>
                <w:sz w:val="21"/>
                <w:szCs w:val="21"/>
                <w:highlight w:val="none"/>
              </w:rPr>
              <w:t>实施能力</w:t>
            </w:r>
            <w:r>
              <w:rPr>
                <w:rFonts w:hint="eastAsia"/>
                <w:color w:val="000000" w:themeColor="text1"/>
                <w:spacing w:val="4"/>
                <w:kern w:val="0"/>
                <w:sz w:val="21"/>
                <w:szCs w:val="21"/>
                <w:highlight w:val="none"/>
              </w:rPr>
              <w:t>相关</w:t>
            </w:r>
            <w:r>
              <w:rPr>
                <w:color w:val="000000" w:themeColor="text1"/>
                <w:spacing w:val="4"/>
                <w:kern w:val="0"/>
                <w:sz w:val="21"/>
                <w:szCs w:val="21"/>
                <w:highlight w:val="none"/>
              </w:rPr>
              <w:t>部门</w:t>
            </w:r>
          </w:p>
        </w:tc>
        <w:tc>
          <w:tcPr>
            <w:tcW w:w="575" w:type="pct"/>
            <w:vAlign w:val="center"/>
          </w:tcPr>
          <w:p w14:paraId="6F1C1DBC">
            <w:pPr>
              <w:pageBreakBefore w:val="0"/>
              <w:wordWrap/>
              <w:topLinePunct w:val="0"/>
              <w:bidi w:val="0"/>
              <w:spacing w:line="240" w:lineRule="auto"/>
              <w:ind w:firstLine="78" w:firstLineChars="0"/>
              <w:jc w:val="center"/>
              <w:rPr>
                <w:bCs/>
                <w:color w:val="000000" w:themeColor="text1"/>
                <w:sz w:val="21"/>
                <w:szCs w:val="21"/>
                <w:highlight w:val="none"/>
              </w:rPr>
            </w:pPr>
            <w:r>
              <w:rPr>
                <w:bCs/>
                <w:color w:val="000000" w:themeColor="text1"/>
                <w:sz w:val="21"/>
                <w:szCs w:val="21"/>
                <w:highlight w:val="none"/>
              </w:rPr>
              <w:t>环境保护主管部门</w:t>
            </w:r>
          </w:p>
        </w:tc>
      </w:tr>
    </w:tbl>
    <w:p w14:paraId="3FF51DE3">
      <w:pPr>
        <w:pStyle w:val="3"/>
        <w:pageBreakBefore w:val="0"/>
        <w:wordWrap/>
        <w:topLinePunct w:val="0"/>
        <w:bidi w:val="0"/>
        <w:spacing w:line="360" w:lineRule="auto"/>
        <w:rPr>
          <w:color w:val="000000" w:themeColor="text1"/>
          <w:highlight w:val="none"/>
        </w:rPr>
      </w:pPr>
      <w:bookmarkStart w:id="567" w:name="_Toc18111"/>
      <w:bookmarkStart w:id="568" w:name="_Toc4617"/>
      <w:bookmarkStart w:id="569" w:name="_Toc6969"/>
      <w:bookmarkStart w:id="570" w:name="_Toc491791343"/>
      <w:bookmarkStart w:id="571" w:name="_Toc491064069"/>
      <w:bookmarkStart w:id="572" w:name="_Toc25570"/>
      <w:bookmarkStart w:id="573" w:name="_Toc4966"/>
      <w:r>
        <w:rPr>
          <w:rFonts w:hint="eastAsia"/>
          <w:color w:val="000000" w:themeColor="text1"/>
          <w:highlight w:val="none"/>
          <w:lang w:val="en-US" w:eastAsia="zh-CN"/>
        </w:rPr>
        <w:t>9</w:t>
      </w:r>
      <w:r>
        <w:rPr>
          <w:color w:val="000000" w:themeColor="text1"/>
          <w:highlight w:val="none"/>
        </w:rPr>
        <w:t>.3污染物排放清单</w:t>
      </w:r>
      <w:bookmarkEnd w:id="567"/>
      <w:bookmarkEnd w:id="568"/>
      <w:bookmarkEnd w:id="569"/>
      <w:bookmarkEnd w:id="570"/>
      <w:bookmarkEnd w:id="571"/>
      <w:bookmarkEnd w:id="572"/>
      <w:bookmarkEnd w:id="573"/>
    </w:p>
    <w:p w14:paraId="6822091B">
      <w:pPr>
        <w:pageBreakBefore w:val="0"/>
        <w:wordWrap/>
        <w:topLinePunct w:val="0"/>
        <w:bidi w:val="0"/>
        <w:spacing w:line="360" w:lineRule="auto"/>
        <w:rPr>
          <w:color w:val="000000" w:themeColor="text1"/>
          <w:highlight w:val="none"/>
        </w:rPr>
      </w:pPr>
      <w:r>
        <w:rPr>
          <w:color w:val="000000" w:themeColor="text1"/>
          <w:highlight w:val="none"/>
        </w:rPr>
        <w:t>本项目污染源排放清单见表</w:t>
      </w:r>
      <w:r>
        <w:rPr>
          <w:rFonts w:hint="eastAsia"/>
          <w:color w:val="000000" w:themeColor="text1"/>
          <w:highlight w:val="none"/>
          <w:lang w:val="en-US" w:eastAsia="zh-CN"/>
        </w:rPr>
        <w:t>9</w:t>
      </w:r>
      <w:r>
        <w:rPr>
          <w:color w:val="000000" w:themeColor="text1"/>
          <w:highlight w:val="none"/>
        </w:rPr>
        <w:t>.3-1。</w:t>
      </w:r>
    </w:p>
    <w:p w14:paraId="69798A3D">
      <w:pPr>
        <w:pageBreakBefore w:val="0"/>
        <w:wordWrap/>
        <w:topLinePunct w:val="0"/>
        <w:bidi w:val="0"/>
        <w:spacing w:line="360" w:lineRule="auto"/>
        <w:ind w:firstLine="0" w:firstLineChars="0"/>
        <w:jc w:val="center"/>
        <w:rPr>
          <w:b/>
          <w:color w:val="000000" w:themeColor="text1"/>
          <w:highlight w:val="none"/>
        </w:rPr>
        <w:sectPr>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p>
    <w:p w14:paraId="586E6209">
      <w:pPr>
        <w:pageBreakBefore w:val="0"/>
        <w:wordWrap/>
        <w:topLinePunct w:val="0"/>
        <w:bidi w:val="0"/>
        <w:spacing w:line="360" w:lineRule="auto"/>
        <w:ind w:firstLine="0" w:firstLineChars="0"/>
        <w:jc w:val="center"/>
        <w:rPr>
          <w:b/>
          <w:color w:val="000000" w:themeColor="text1"/>
          <w:highlight w:val="none"/>
        </w:rPr>
      </w:pPr>
      <w:r>
        <w:rPr>
          <w:b/>
          <w:color w:val="000000" w:themeColor="text1"/>
          <w:highlight w:val="none"/>
        </w:rPr>
        <w:t>表</w:t>
      </w:r>
      <w:r>
        <w:rPr>
          <w:rFonts w:hint="eastAsia"/>
          <w:b/>
          <w:color w:val="000000" w:themeColor="text1"/>
          <w:highlight w:val="none"/>
          <w:lang w:val="en-US" w:eastAsia="zh-CN"/>
        </w:rPr>
        <w:t>9</w:t>
      </w:r>
      <w:r>
        <w:rPr>
          <w:b/>
          <w:color w:val="000000" w:themeColor="text1"/>
          <w:highlight w:val="none"/>
        </w:rPr>
        <w:t xml:space="preserve">.3-1 </w:t>
      </w:r>
      <w:r>
        <w:rPr>
          <w:rFonts w:hint="eastAsia"/>
          <w:b/>
          <w:color w:val="000000" w:themeColor="text1"/>
          <w:highlight w:val="none"/>
          <w:lang w:val="en-US" w:eastAsia="zh-CN"/>
        </w:rPr>
        <w:t xml:space="preserve"> </w:t>
      </w:r>
      <w:r>
        <w:rPr>
          <w:b/>
          <w:color w:val="000000" w:themeColor="text1"/>
          <w:highlight w:val="none"/>
        </w:rPr>
        <w:t>主要污染源排放情况一览表</w:t>
      </w:r>
    </w:p>
    <w:tbl>
      <w:tblPr>
        <w:tblStyle w:val="33"/>
        <w:tblW w:w="14562" w:type="dxa"/>
        <w:jc w:val="center"/>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Layout w:type="fixed"/>
        <w:tblCellMar>
          <w:top w:w="0" w:type="dxa"/>
          <w:left w:w="28" w:type="dxa"/>
          <w:bottom w:w="0" w:type="dxa"/>
          <w:right w:w="28" w:type="dxa"/>
        </w:tblCellMar>
      </w:tblPr>
      <w:tblGrid>
        <w:gridCol w:w="542"/>
        <w:gridCol w:w="649"/>
        <w:gridCol w:w="1428"/>
        <w:gridCol w:w="618"/>
        <w:gridCol w:w="333"/>
        <w:gridCol w:w="649"/>
        <w:gridCol w:w="650"/>
        <w:gridCol w:w="649"/>
        <w:gridCol w:w="650"/>
        <w:gridCol w:w="653"/>
        <w:gridCol w:w="653"/>
        <w:gridCol w:w="1523"/>
        <w:gridCol w:w="652"/>
        <w:gridCol w:w="653"/>
        <w:gridCol w:w="652"/>
        <w:gridCol w:w="653"/>
        <w:gridCol w:w="615"/>
        <w:gridCol w:w="615"/>
        <w:gridCol w:w="1725"/>
      </w:tblGrid>
      <w:tr w14:paraId="45486ED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tblHeader/>
          <w:jc w:val="center"/>
        </w:trPr>
        <w:tc>
          <w:tcPr>
            <w:tcW w:w="542" w:type="dxa"/>
            <w:tcBorders>
              <w:tl2br w:val="nil"/>
              <w:tr2bl w:val="nil"/>
            </w:tcBorders>
            <w:shd w:val="clear" w:color="auto" w:fill="auto"/>
            <w:vAlign w:val="center"/>
          </w:tcPr>
          <w:p w14:paraId="0B95F9A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eastAsia="zh-CN"/>
              </w:rPr>
            </w:pPr>
            <w:r>
              <w:rPr>
                <w:rFonts w:hint="eastAsia"/>
                <w:snapToGrid w:val="0"/>
                <w:color w:val="000000" w:themeColor="text1"/>
                <w:kern w:val="0"/>
                <w:sz w:val="21"/>
                <w:szCs w:val="21"/>
                <w:highlight w:val="none"/>
                <w:lang w:eastAsia="zh-CN"/>
              </w:rPr>
              <w:t>要素</w:t>
            </w:r>
          </w:p>
        </w:tc>
        <w:tc>
          <w:tcPr>
            <w:tcW w:w="2077" w:type="dxa"/>
            <w:gridSpan w:val="2"/>
            <w:tcBorders>
              <w:tl2br w:val="nil"/>
              <w:tr2bl w:val="nil"/>
            </w:tcBorders>
            <w:shd w:val="clear" w:color="auto" w:fill="auto"/>
            <w:vAlign w:val="center"/>
          </w:tcPr>
          <w:p w14:paraId="5FEA2D2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排放源</w:t>
            </w:r>
          </w:p>
        </w:tc>
        <w:tc>
          <w:tcPr>
            <w:tcW w:w="951" w:type="dxa"/>
            <w:gridSpan w:val="2"/>
            <w:tcBorders>
              <w:tl2br w:val="nil"/>
              <w:tr2bl w:val="nil"/>
            </w:tcBorders>
            <w:shd w:val="clear" w:color="auto" w:fill="auto"/>
            <w:vAlign w:val="center"/>
          </w:tcPr>
          <w:p w14:paraId="43614D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污染物</w:t>
            </w:r>
          </w:p>
        </w:tc>
        <w:tc>
          <w:tcPr>
            <w:tcW w:w="3904" w:type="dxa"/>
            <w:gridSpan w:val="6"/>
            <w:tcBorders>
              <w:tl2br w:val="nil"/>
              <w:tr2bl w:val="nil"/>
            </w:tcBorders>
            <w:shd w:val="clear" w:color="auto" w:fill="auto"/>
            <w:vAlign w:val="center"/>
          </w:tcPr>
          <w:p w14:paraId="22AEA3E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rFonts w:hint="eastAsia"/>
                <w:snapToGrid w:val="0"/>
                <w:color w:val="000000" w:themeColor="text1"/>
                <w:kern w:val="0"/>
                <w:sz w:val="21"/>
                <w:szCs w:val="21"/>
                <w:highlight w:val="none"/>
                <w:lang w:val="en-US" w:eastAsia="zh-CN"/>
              </w:rPr>
              <w:t>产生情况</w:t>
            </w:r>
          </w:p>
        </w:tc>
        <w:tc>
          <w:tcPr>
            <w:tcW w:w="1523" w:type="dxa"/>
            <w:tcBorders>
              <w:tl2br w:val="nil"/>
              <w:tr2bl w:val="nil"/>
            </w:tcBorders>
            <w:shd w:val="clear" w:color="auto" w:fill="auto"/>
            <w:vAlign w:val="center"/>
          </w:tcPr>
          <w:p w14:paraId="451720B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环保措施</w:t>
            </w:r>
          </w:p>
        </w:tc>
        <w:tc>
          <w:tcPr>
            <w:tcW w:w="3840" w:type="dxa"/>
            <w:gridSpan w:val="6"/>
            <w:tcBorders>
              <w:tl2br w:val="nil"/>
              <w:tr2bl w:val="nil"/>
            </w:tcBorders>
            <w:shd w:val="clear" w:color="auto" w:fill="auto"/>
            <w:vAlign w:val="center"/>
          </w:tcPr>
          <w:p w14:paraId="0149E5C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排放情况</w:t>
            </w:r>
          </w:p>
        </w:tc>
        <w:tc>
          <w:tcPr>
            <w:tcW w:w="1725" w:type="dxa"/>
            <w:tcBorders>
              <w:tl2br w:val="nil"/>
              <w:tr2bl w:val="nil"/>
            </w:tcBorders>
            <w:shd w:val="clear" w:color="auto" w:fill="auto"/>
            <w:vAlign w:val="center"/>
          </w:tcPr>
          <w:p w14:paraId="24BF4E2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执行标准</w:t>
            </w:r>
          </w:p>
        </w:tc>
      </w:tr>
      <w:tr w14:paraId="1C853562">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jc w:val="center"/>
        </w:trPr>
        <w:tc>
          <w:tcPr>
            <w:tcW w:w="542" w:type="dxa"/>
            <w:vMerge w:val="restart"/>
            <w:tcBorders>
              <w:tl2br w:val="nil"/>
              <w:tr2bl w:val="nil"/>
            </w:tcBorders>
            <w:shd w:val="clear" w:color="auto" w:fill="auto"/>
            <w:vAlign w:val="center"/>
          </w:tcPr>
          <w:p w14:paraId="49FC6F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噪声</w:t>
            </w:r>
          </w:p>
        </w:tc>
        <w:tc>
          <w:tcPr>
            <w:tcW w:w="649" w:type="dxa"/>
            <w:vMerge w:val="restart"/>
            <w:tcBorders>
              <w:tl2br w:val="nil"/>
              <w:tr2bl w:val="nil"/>
            </w:tcBorders>
            <w:shd w:val="clear" w:color="auto" w:fill="auto"/>
            <w:vAlign w:val="center"/>
          </w:tcPr>
          <w:p w14:paraId="09F404C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汽车</w:t>
            </w:r>
          </w:p>
        </w:tc>
        <w:tc>
          <w:tcPr>
            <w:tcW w:w="1428" w:type="dxa"/>
            <w:vMerge w:val="restart"/>
            <w:tcBorders>
              <w:tl2br w:val="nil"/>
              <w:tr2bl w:val="nil"/>
            </w:tcBorders>
            <w:shd w:val="clear" w:color="auto" w:fill="auto"/>
            <w:vAlign w:val="center"/>
          </w:tcPr>
          <w:p w14:paraId="2E80EC8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rFonts w:hint="default" w:eastAsia="宋体"/>
                <w:color w:val="000000" w:themeColor="text1"/>
                <w:kern w:val="0"/>
                <w:sz w:val="21"/>
                <w:szCs w:val="21"/>
                <w:highlight w:val="none"/>
                <w:lang w:val="en-US" w:eastAsia="zh-CN"/>
              </w:rPr>
              <w:t>机场进场路</w:t>
            </w:r>
          </w:p>
        </w:tc>
        <w:tc>
          <w:tcPr>
            <w:tcW w:w="951" w:type="dxa"/>
            <w:gridSpan w:val="2"/>
            <w:vMerge w:val="restart"/>
            <w:tcBorders>
              <w:tl2br w:val="nil"/>
              <w:tr2bl w:val="nil"/>
            </w:tcBorders>
            <w:shd w:val="clear" w:color="auto" w:fill="auto"/>
            <w:vAlign w:val="center"/>
          </w:tcPr>
          <w:p w14:paraId="76F94C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w:t>
            </w:r>
          </w:p>
        </w:tc>
        <w:tc>
          <w:tcPr>
            <w:tcW w:w="3904" w:type="dxa"/>
            <w:gridSpan w:val="6"/>
            <w:tcBorders>
              <w:tl2br w:val="nil"/>
              <w:tr2bl w:val="nil"/>
            </w:tcBorders>
            <w:shd w:val="clear" w:color="auto" w:fill="auto"/>
            <w:vAlign w:val="center"/>
          </w:tcPr>
          <w:p w14:paraId="7CE9D54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eastAsia="zh-CN"/>
              </w:rPr>
            </w:pPr>
            <w:r>
              <w:rPr>
                <w:color w:val="000000" w:themeColor="text1"/>
                <w:sz w:val="21"/>
                <w:szCs w:val="21"/>
                <w:highlight w:val="none"/>
              </w:rPr>
              <w:t>辐射声级dB</w:t>
            </w:r>
            <w:r>
              <w:rPr>
                <w:rFonts w:hint="eastAsia"/>
                <w:color w:val="000000" w:themeColor="text1"/>
                <w:sz w:val="21"/>
                <w:szCs w:val="21"/>
                <w:highlight w:val="none"/>
                <w:lang w:eastAsia="zh-CN"/>
              </w:rPr>
              <w:t>（</w:t>
            </w:r>
            <w:r>
              <w:rPr>
                <w:color w:val="000000" w:themeColor="text1"/>
                <w:sz w:val="21"/>
                <w:szCs w:val="21"/>
                <w:highlight w:val="none"/>
              </w:rPr>
              <w:t>A</w:t>
            </w:r>
            <w:r>
              <w:rPr>
                <w:rFonts w:hint="eastAsia"/>
                <w:color w:val="000000" w:themeColor="text1"/>
                <w:sz w:val="21"/>
                <w:szCs w:val="21"/>
                <w:highlight w:val="none"/>
                <w:lang w:eastAsia="zh-CN"/>
              </w:rPr>
              <w:t>）</w:t>
            </w:r>
          </w:p>
        </w:tc>
        <w:tc>
          <w:tcPr>
            <w:tcW w:w="1523" w:type="dxa"/>
            <w:vMerge w:val="restart"/>
            <w:tcBorders>
              <w:tl2br w:val="nil"/>
              <w:tr2bl w:val="nil"/>
            </w:tcBorders>
            <w:shd w:val="clear" w:color="auto" w:fill="auto"/>
            <w:vAlign w:val="center"/>
          </w:tcPr>
          <w:p w14:paraId="1C5CF8A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snapToGrid w:val="0"/>
                <w:color w:val="000000" w:themeColor="text1"/>
                <w:kern w:val="0"/>
                <w:sz w:val="21"/>
                <w:szCs w:val="21"/>
                <w:highlight w:val="none"/>
                <w:lang w:val="en-US"/>
              </w:rPr>
            </w:pPr>
            <w:r>
              <w:rPr>
                <w:rFonts w:hint="default"/>
                <w:snapToGrid w:val="0"/>
                <w:color w:val="000000" w:themeColor="text1"/>
                <w:kern w:val="0"/>
                <w:sz w:val="21"/>
                <w:szCs w:val="21"/>
                <w:highlight w:val="none"/>
                <w:lang w:val="en-US"/>
              </w:rPr>
              <w:t>加强</w:t>
            </w:r>
            <w:r>
              <w:rPr>
                <w:rFonts w:hint="eastAsia"/>
                <w:snapToGrid w:val="0"/>
                <w:color w:val="000000" w:themeColor="text1"/>
                <w:kern w:val="0"/>
                <w:sz w:val="21"/>
                <w:szCs w:val="21"/>
                <w:highlight w:val="none"/>
                <w:lang w:val="en-US" w:eastAsia="zh-CN"/>
              </w:rPr>
              <w:t>路面养护及</w:t>
            </w:r>
            <w:r>
              <w:rPr>
                <w:rFonts w:hint="default"/>
                <w:snapToGrid w:val="0"/>
                <w:color w:val="000000" w:themeColor="text1"/>
                <w:kern w:val="0"/>
                <w:sz w:val="21"/>
                <w:szCs w:val="21"/>
                <w:highlight w:val="none"/>
                <w:lang w:val="en-US"/>
              </w:rPr>
              <w:t>道路交通管理</w:t>
            </w:r>
          </w:p>
        </w:tc>
        <w:tc>
          <w:tcPr>
            <w:tcW w:w="3840" w:type="dxa"/>
            <w:gridSpan w:val="6"/>
            <w:tcBorders>
              <w:tl2br w:val="nil"/>
              <w:tr2bl w:val="nil"/>
            </w:tcBorders>
            <w:shd w:val="clear" w:color="auto" w:fill="auto"/>
            <w:vAlign w:val="center"/>
          </w:tcPr>
          <w:p w14:paraId="4BDC6DC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color w:val="000000" w:themeColor="text1"/>
                <w:sz w:val="21"/>
                <w:szCs w:val="21"/>
                <w:highlight w:val="none"/>
              </w:rPr>
              <w:t>辐射声级dB</w:t>
            </w:r>
            <w:r>
              <w:rPr>
                <w:rFonts w:hint="eastAsia"/>
                <w:color w:val="000000" w:themeColor="text1"/>
                <w:sz w:val="21"/>
                <w:szCs w:val="21"/>
                <w:highlight w:val="none"/>
                <w:lang w:eastAsia="zh-CN"/>
              </w:rPr>
              <w:t>（</w:t>
            </w:r>
            <w:r>
              <w:rPr>
                <w:color w:val="000000" w:themeColor="text1"/>
                <w:sz w:val="21"/>
                <w:szCs w:val="21"/>
                <w:highlight w:val="none"/>
              </w:rPr>
              <w:t>A</w:t>
            </w:r>
            <w:r>
              <w:rPr>
                <w:rFonts w:hint="eastAsia"/>
                <w:color w:val="000000" w:themeColor="text1"/>
                <w:sz w:val="21"/>
                <w:szCs w:val="21"/>
                <w:highlight w:val="none"/>
                <w:lang w:eastAsia="zh-CN"/>
              </w:rPr>
              <w:t>）</w:t>
            </w:r>
          </w:p>
        </w:tc>
        <w:tc>
          <w:tcPr>
            <w:tcW w:w="1725" w:type="dxa"/>
            <w:vMerge w:val="restart"/>
            <w:tcBorders>
              <w:tl2br w:val="nil"/>
              <w:tr2bl w:val="nil"/>
            </w:tcBorders>
            <w:shd w:val="clear" w:color="auto" w:fill="auto"/>
            <w:vAlign w:val="center"/>
          </w:tcPr>
          <w:p w14:paraId="4017E9B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《声环境质量标准》（GB3096- 2008）4</w:t>
            </w:r>
            <w:r>
              <w:rPr>
                <w:rFonts w:hint="eastAsia"/>
                <w:snapToGrid w:val="0"/>
                <w:color w:val="000000" w:themeColor="text1"/>
                <w:kern w:val="0"/>
                <w:sz w:val="21"/>
                <w:szCs w:val="21"/>
                <w:highlight w:val="none"/>
                <w:lang w:val="en-US" w:eastAsia="zh-CN"/>
              </w:rPr>
              <w:t>a</w:t>
            </w:r>
            <w:r>
              <w:rPr>
                <w:snapToGrid w:val="0"/>
                <w:color w:val="000000" w:themeColor="text1"/>
                <w:kern w:val="0"/>
                <w:sz w:val="21"/>
                <w:szCs w:val="21"/>
                <w:highlight w:val="none"/>
              </w:rPr>
              <w:t>类</w:t>
            </w:r>
            <w:r>
              <w:rPr>
                <w:rFonts w:hint="eastAsia"/>
                <w:snapToGrid w:val="0"/>
                <w:color w:val="000000" w:themeColor="text1"/>
                <w:kern w:val="0"/>
                <w:sz w:val="21"/>
                <w:szCs w:val="21"/>
                <w:highlight w:val="none"/>
                <w:lang w:eastAsia="zh-CN"/>
              </w:rPr>
              <w:t>、</w:t>
            </w:r>
            <w:r>
              <w:rPr>
                <w:rFonts w:hint="eastAsia"/>
                <w:snapToGrid w:val="0"/>
                <w:color w:val="000000" w:themeColor="text1"/>
                <w:kern w:val="0"/>
                <w:sz w:val="21"/>
                <w:szCs w:val="21"/>
                <w:highlight w:val="none"/>
                <w:lang w:val="en-US" w:eastAsia="zh-CN"/>
              </w:rPr>
              <w:t>2类</w:t>
            </w:r>
            <w:r>
              <w:rPr>
                <w:snapToGrid w:val="0"/>
                <w:color w:val="000000" w:themeColor="text1"/>
                <w:kern w:val="0"/>
                <w:sz w:val="21"/>
                <w:szCs w:val="21"/>
                <w:highlight w:val="none"/>
              </w:rPr>
              <w:t>标准</w:t>
            </w:r>
          </w:p>
        </w:tc>
      </w:tr>
      <w:tr w14:paraId="002C6282">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jc w:val="center"/>
        </w:trPr>
        <w:tc>
          <w:tcPr>
            <w:tcW w:w="542" w:type="dxa"/>
            <w:vMerge w:val="continue"/>
            <w:tcBorders>
              <w:tl2br w:val="nil"/>
              <w:tr2bl w:val="nil"/>
            </w:tcBorders>
            <w:shd w:val="clear" w:color="auto" w:fill="auto"/>
            <w:vAlign w:val="center"/>
          </w:tcPr>
          <w:p w14:paraId="78E4020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49" w:type="dxa"/>
            <w:vMerge w:val="continue"/>
            <w:tcBorders>
              <w:tl2br w:val="nil"/>
              <w:tr2bl w:val="nil"/>
            </w:tcBorders>
            <w:shd w:val="clear" w:color="auto" w:fill="auto"/>
            <w:vAlign w:val="center"/>
          </w:tcPr>
          <w:p w14:paraId="5D1A8E9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428" w:type="dxa"/>
            <w:vMerge w:val="continue"/>
            <w:tcBorders>
              <w:tl2br w:val="nil"/>
              <w:tr2bl w:val="nil"/>
            </w:tcBorders>
            <w:shd w:val="clear" w:color="auto" w:fill="auto"/>
            <w:vAlign w:val="center"/>
          </w:tcPr>
          <w:p w14:paraId="469952B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p>
        </w:tc>
        <w:tc>
          <w:tcPr>
            <w:tcW w:w="951" w:type="dxa"/>
            <w:gridSpan w:val="2"/>
            <w:vMerge w:val="continue"/>
            <w:tcBorders>
              <w:tl2br w:val="nil"/>
              <w:tr2bl w:val="nil"/>
            </w:tcBorders>
            <w:shd w:val="clear" w:color="auto" w:fill="auto"/>
            <w:vAlign w:val="center"/>
          </w:tcPr>
          <w:p w14:paraId="7584F3B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299" w:type="dxa"/>
            <w:gridSpan w:val="2"/>
            <w:tcBorders>
              <w:tl2br w:val="nil"/>
              <w:tr2bl w:val="nil"/>
            </w:tcBorders>
            <w:shd w:val="clear" w:color="auto" w:fill="auto"/>
            <w:vAlign w:val="center"/>
          </w:tcPr>
          <w:p w14:paraId="722D5E7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小型车</w:t>
            </w:r>
          </w:p>
        </w:tc>
        <w:tc>
          <w:tcPr>
            <w:tcW w:w="1299" w:type="dxa"/>
            <w:gridSpan w:val="2"/>
            <w:tcBorders>
              <w:tl2br w:val="nil"/>
              <w:tr2bl w:val="nil"/>
            </w:tcBorders>
            <w:shd w:val="clear" w:color="auto" w:fill="auto"/>
            <w:vAlign w:val="center"/>
          </w:tcPr>
          <w:p w14:paraId="48BD332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中型车</w:t>
            </w:r>
          </w:p>
        </w:tc>
        <w:tc>
          <w:tcPr>
            <w:tcW w:w="1306" w:type="dxa"/>
            <w:gridSpan w:val="2"/>
            <w:tcBorders>
              <w:tl2br w:val="nil"/>
              <w:tr2bl w:val="nil"/>
            </w:tcBorders>
            <w:shd w:val="clear" w:color="auto" w:fill="auto"/>
            <w:vAlign w:val="center"/>
          </w:tcPr>
          <w:p w14:paraId="77B5788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大型车</w:t>
            </w:r>
          </w:p>
        </w:tc>
        <w:tc>
          <w:tcPr>
            <w:tcW w:w="1523" w:type="dxa"/>
            <w:vMerge w:val="continue"/>
            <w:tcBorders>
              <w:tl2br w:val="nil"/>
              <w:tr2bl w:val="nil"/>
            </w:tcBorders>
            <w:shd w:val="clear" w:color="auto" w:fill="auto"/>
            <w:vAlign w:val="center"/>
          </w:tcPr>
          <w:p w14:paraId="7F7DE52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305" w:type="dxa"/>
            <w:gridSpan w:val="2"/>
            <w:tcBorders>
              <w:tl2br w:val="nil"/>
              <w:tr2bl w:val="nil"/>
            </w:tcBorders>
            <w:shd w:val="clear" w:color="auto" w:fill="auto"/>
            <w:vAlign w:val="center"/>
          </w:tcPr>
          <w:p w14:paraId="2A27C79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小型车</w:t>
            </w:r>
          </w:p>
        </w:tc>
        <w:tc>
          <w:tcPr>
            <w:tcW w:w="1305" w:type="dxa"/>
            <w:gridSpan w:val="2"/>
            <w:tcBorders>
              <w:tl2br w:val="nil"/>
              <w:tr2bl w:val="nil"/>
            </w:tcBorders>
            <w:shd w:val="clear" w:color="auto" w:fill="auto"/>
            <w:vAlign w:val="center"/>
          </w:tcPr>
          <w:p w14:paraId="0242991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中型车</w:t>
            </w:r>
          </w:p>
        </w:tc>
        <w:tc>
          <w:tcPr>
            <w:tcW w:w="1230" w:type="dxa"/>
            <w:gridSpan w:val="2"/>
            <w:tcBorders>
              <w:tl2br w:val="nil"/>
              <w:tr2bl w:val="nil"/>
            </w:tcBorders>
            <w:shd w:val="clear" w:color="auto" w:fill="auto"/>
            <w:vAlign w:val="center"/>
          </w:tcPr>
          <w:p w14:paraId="17E7797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eastAsia"/>
                <w:snapToGrid w:val="0"/>
                <w:color w:val="000000" w:themeColor="text1"/>
                <w:kern w:val="0"/>
                <w:sz w:val="21"/>
                <w:szCs w:val="21"/>
                <w:highlight w:val="none"/>
                <w:lang w:val="en-US" w:eastAsia="zh-CN"/>
              </w:rPr>
              <w:t>大型车</w:t>
            </w:r>
          </w:p>
        </w:tc>
        <w:tc>
          <w:tcPr>
            <w:tcW w:w="1725" w:type="dxa"/>
            <w:vMerge w:val="continue"/>
            <w:tcBorders>
              <w:tl2br w:val="nil"/>
              <w:tr2bl w:val="nil"/>
            </w:tcBorders>
            <w:shd w:val="clear" w:color="auto" w:fill="auto"/>
            <w:vAlign w:val="center"/>
          </w:tcPr>
          <w:p w14:paraId="2A2B025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r>
      <w:tr w14:paraId="002D2BC7">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jc w:val="center"/>
        </w:trPr>
        <w:tc>
          <w:tcPr>
            <w:tcW w:w="542" w:type="dxa"/>
            <w:vMerge w:val="continue"/>
            <w:tcBorders>
              <w:tl2br w:val="nil"/>
              <w:tr2bl w:val="nil"/>
            </w:tcBorders>
            <w:shd w:val="clear" w:color="auto" w:fill="auto"/>
            <w:vAlign w:val="center"/>
          </w:tcPr>
          <w:p w14:paraId="4B59012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49" w:type="dxa"/>
            <w:vMerge w:val="continue"/>
            <w:tcBorders>
              <w:tl2br w:val="nil"/>
              <w:tr2bl w:val="nil"/>
            </w:tcBorders>
            <w:shd w:val="clear" w:color="auto" w:fill="auto"/>
            <w:vAlign w:val="center"/>
          </w:tcPr>
          <w:p w14:paraId="4420A0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428" w:type="dxa"/>
            <w:vMerge w:val="continue"/>
            <w:tcBorders>
              <w:tl2br w:val="nil"/>
              <w:tr2bl w:val="nil"/>
            </w:tcBorders>
            <w:shd w:val="clear" w:color="auto" w:fill="auto"/>
            <w:vAlign w:val="center"/>
          </w:tcPr>
          <w:p w14:paraId="6626A8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p>
        </w:tc>
        <w:tc>
          <w:tcPr>
            <w:tcW w:w="951" w:type="dxa"/>
            <w:gridSpan w:val="2"/>
            <w:vMerge w:val="continue"/>
            <w:tcBorders>
              <w:tl2br w:val="nil"/>
              <w:tr2bl w:val="nil"/>
            </w:tcBorders>
            <w:shd w:val="clear" w:color="auto" w:fill="auto"/>
            <w:vAlign w:val="center"/>
          </w:tcPr>
          <w:p w14:paraId="505FE64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49" w:type="dxa"/>
            <w:tcBorders>
              <w:tl2br w:val="nil"/>
              <w:tr2bl w:val="nil"/>
            </w:tcBorders>
            <w:shd w:val="clear" w:color="auto" w:fill="auto"/>
            <w:vAlign w:val="center"/>
          </w:tcPr>
          <w:p w14:paraId="03ED31A6">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650" w:type="dxa"/>
            <w:tcBorders>
              <w:tl2br w:val="nil"/>
              <w:tr2bl w:val="nil"/>
            </w:tcBorders>
            <w:shd w:val="clear" w:color="auto" w:fill="auto"/>
            <w:vAlign w:val="center"/>
          </w:tcPr>
          <w:p w14:paraId="5EEC4909">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649" w:type="dxa"/>
            <w:tcBorders>
              <w:tl2br w:val="nil"/>
              <w:tr2bl w:val="nil"/>
            </w:tcBorders>
            <w:shd w:val="clear" w:color="auto" w:fill="auto"/>
            <w:vAlign w:val="center"/>
          </w:tcPr>
          <w:p w14:paraId="7737BE9E">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650" w:type="dxa"/>
            <w:tcBorders>
              <w:tl2br w:val="nil"/>
              <w:tr2bl w:val="nil"/>
            </w:tcBorders>
            <w:shd w:val="clear" w:color="auto" w:fill="auto"/>
            <w:vAlign w:val="center"/>
          </w:tcPr>
          <w:p w14:paraId="2BCC92C7">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653" w:type="dxa"/>
            <w:tcBorders>
              <w:tl2br w:val="nil"/>
              <w:tr2bl w:val="nil"/>
            </w:tcBorders>
            <w:shd w:val="clear" w:color="auto" w:fill="auto"/>
            <w:vAlign w:val="center"/>
          </w:tcPr>
          <w:p w14:paraId="10FA57E9">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653" w:type="dxa"/>
            <w:tcBorders>
              <w:tl2br w:val="nil"/>
              <w:tr2bl w:val="nil"/>
            </w:tcBorders>
            <w:shd w:val="clear" w:color="auto" w:fill="auto"/>
            <w:vAlign w:val="center"/>
          </w:tcPr>
          <w:p w14:paraId="3B41E3EB">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1523" w:type="dxa"/>
            <w:vMerge w:val="continue"/>
            <w:tcBorders>
              <w:tl2br w:val="nil"/>
              <w:tr2bl w:val="nil"/>
            </w:tcBorders>
            <w:shd w:val="clear" w:color="auto" w:fill="auto"/>
            <w:vAlign w:val="center"/>
          </w:tcPr>
          <w:p w14:paraId="4DE2A36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52" w:type="dxa"/>
            <w:tcBorders>
              <w:tl2br w:val="nil"/>
              <w:tr2bl w:val="nil"/>
            </w:tcBorders>
            <w:shd w:val="clear" w:color="auto" w:fill="auto"/>
            <w:vAlign w:val="center"/>
          </w:tcPr>
          <w:p w14:paraId="22EFD250">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653" w:type="dxa"/>
            <w:tcBorders>
              <w:tl2br w:val="nil"/>
              <w:tr2bl w:val="nil"/>
            </w:tcBorders>
            <w:shd w:val="clear" w:color="auto" w:fill="auto"/>
            <w:vAlign w:val="center"/>
          </w:tcPr>
          <w:p w14:paraId="5040E6D4">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652" w:type="dxa"/>
            <w:tcBorders>
              <w:tl2br w:val="nil"/>
              <w:tr2bl w:val="nil"/>
            </w:tcBorders>
            <w:shd w:val="clear" w:color="auto" w:fill="auto"/>
            <w:vAlign w:val="center"/>
          </w:tcPr>
          <w:p w14:paraId="607F49EF">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653" w:type="dxa"/>
            <w:tcBorders>
              <w:tl2br w:val="nil"/>
              <w:tr2bl w:val="nil"/>
            </w:tcBorders>
            <w:shd w:val="clear" w:color="auto" w:fill="auto"/>
            <w:vAlign w:val="center"/>
          </w:tcPr>
          <w:p w14:paraId="16B6F7F5">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615" w:type="dxa"/>
            <w:tcBorders>
              <w:tl2br w:val="nil"/>
              <w:tr2bl w:val="nil"/>
            </w:tcBorders>
            <w:shd w:val="clear" w:color="auto" w:fill="auto"/>
            <w:vAlign w:val="center"/>
          </w:tcPr>
          <w:p w14:paraId="5830462B">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昼间</w:t>
            </w:r>
          </w:p>
        </w:tc>
        <w:tc>
          <w:tcPr>
            <w:tcW w:w="615" w:type="dxa"/>
            <w:tcBorders>
              <w:tl2br w:val="nil"/>
              <w:tr2bl w:val="nil"/>
            </w:tcBorders>
            <w:shd w:val="clear" w:color="auto" w:fill="auto"/>
            <w:vAlign w:val="center"/>
          </w:tcPr>
          <w:p w14:paraId="3D9A6770">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夜间</w:t>
            </w:r>
          </w:p>
        </w:tc>
        <w:tc>
          <w:tcPr>
            <w:tcW w:w="1725" w:type="dxa"/>
            <w:vMerge w:val="continue"/>
            <w:tcBorders>
              <w:tl2br w:val="nil"/>
              <w:tr2bl w:val="nil"/>
            </w:tcBorders>
            <w:shd w:val="clear" w:color="auto" w:fill="auto"/>
            <w:vAlign w:val="center"/>
          </w:tcPr>
          <w:p w14:paraId="36039F4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r>
      <w:tr w14:paraId="40EACC4A">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jc w:val="center"/>
        </w:trPr>
        <w:tc>
          <w:tcPr>
            <w:tcW w:w="542" w:type="dxa"/>
            <w:vMerge w:val="continue"/>
            <w:tcBorders>
              <w:tl2br w:val="nil"/>
              <w:tr2bl w:val="nil"/>
            </w:tcBorders>
            <w:shd w:val="clear" w:color="auto" w:fill="auto"/>
            <w:vAlign w:val="center"/>
          </w:tcPr>
          <w:p w14:paraId="62C5F53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49" w:type="dxa"/>
            <w:vMerge w:val="continue"/>
            <w:tcBorders>
              <w:tl2br w:val="nil"/>
              <w:tr2bl w:val="nil"/>
            </w:tcBorders>
            <w:shd w:val="clear" w:color="auto" w:fill="auto"/>
            <w:vAlign w:val="center"/>
          </w:tcPr>
          <w:p w14:paraId="358242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428" w:type="dxa"/>
            <w:vMerge w:val="continue"/>
            <w:tcBorders>
              <w:tl2br w:val="nil"/>
              <w:tr2bl w:val="nil"/>
            </w:tcBorders>
            <w:shd w:val="clear" w:color="auto" w:fill="auto"/>
            <w:vAlign w:val="center"/>
          </w:tcPr>
          <w:p w14:paraId="7C1883C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p>
        </w:tc>
        <w:tc>
          <w:tcPr>
            <w:tcW w:w="618" w:type="dxa"/>
            <w:vMerge w:val="restart"/>
            <w:tcBorders>
              <w:tl2br w:val="nil"/>
              <w:tr2bl w:val="nil"/>
            </w:tcBorders>
            <w:shd w:val="clear" w:color="auto" w:fill="auto"/>
            <w:vAlign w:val="center"/>
          </w:tcPr>
          <w:p w14:paraId="27A18F1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r>
              <w:rPr>
                <w:snapToGrid w:val="0"/>
                <w:color w:val="000000" w:themeColor="text1"/>
                <w:kern w:val="0"/>
                <w:sz w:val="21"/>
                <w:szCs w:val="21"/>
                <w:highlight w:val="none"/>
              </w:rPr>
              <w:t>LAeq</w:t>
            </w:r>
          </w:p>
        </w:tc>
        <w:tc>
          <w:tcPr>
            <w:tcW w:w="333" w:type="dxa"/>
            <w:tcBorders>
              <w:tl2br w:val="nil"/>
              <w:tr2bl w:val="nil"/>
            </w:tcBorders>
            <w:shd w:val="clear" w:color="auto" w:fill="auto"/>
            <w:vAlign w:val="center"/>
          </w:tcPr>
          <w:p w14:paraId="16DC696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近</w:t>
            </w:r>
          </w:p>
        </w:tc>
        <w:tc>
          <w:tcPr>
            <w:tcW w:w="649" w:type="dxa"/>
            <w:tcBorders>
              <w:tl2br w:val="nil"/>
              <w:tr2bl w:val="nil"/>
            </w:tcBorders>
            <w:shd w:val="clear" w:color="auto" w:fill="auto"/>
            <w:vAlign w:val="center"/>
          </w:tcPr>
          <w:p w14:paraId="1C9B9D65">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650" w:type="dxa"/>
            <w:tcBorders>
              <w:tl2br w:val="nil"/>
              <w:tr2bl w:val="nil"/>
            </w:tcBorders>
            <w:shd w:val="clear" w:color="auto" w:fill="auto"/>
            <w:vAlign w:val="center"/>
          </w:tcPr>
          <w:p w14:paraId="006AE200">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649" w:type="dxa"/>
            <w:tcBorders>
              <w:tl2br w:val="nil"/>
              <w:tr2bl w:val="nil"/>
            </w:tcBorders>
            <w:shd w:val="clear" w:color="auto" w:fill="auto"/>
            <w:vAlign w:val="center"/>
          </w:tcPr>
          <w:p w14:paraId="609B1A00">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80.78</w:t>
            </w:r>
          </w:p>
        </w:tc>
        <w:tc>
          <w:tcPr>
            <w:tcW w:w="650" w:type="dxa"/>
            <w:tcBorders>
              <w:tl2br w:val="nil"/>
              <w:tr2bl w:val="nil"/>
            </w:tcBorders>
            <w:shd w:val="clear" w:color="auto" w:fill="auto"/>
            <w:vAlign w:val="center"/>
          </w:tcPr>
          <w:p w14:paraId="1E103E43">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80.78</w:t>
            </w:r>
          </w:p>
        </w:tc>
        <w:tc>
          <w:tcPr>
            <w:tcW w:w="653" w:type="dxa"/>
            <w:tcBorders>
              <w:tl2br w:val="nil"/>
              <w:tr2bl w:val="nil"/>
            </w:tcBorders>
            <w:shd w:val="clear" w:color="auto" w:fill="auto"/>
            <w:vAlign w:val="center"/>
          </w:tcPr>
          <w:p w14:paraId="1AF204DF">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86.58</w:t>
            </w:r>
          </w:p>
        </w:tc>
        <w:tc>
          <w:tcPr>
            <w:tcW w:w="653" w:type="dxa"/>
            <w:tcBorders>
              <w:tl2br w:val="nil"/>
              <w:tr2bl w:val="nil"/>
            </w:tcBorders>
            <w:shd w:val="clear" w:color="auto" w:fill="auto"/>
            <w:vAlign w:val="center"/>
          </w:tcPr>
          <w:p w14:paraId="7A1CB04D">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86.58</w:t>
            </w:r>
          </w:p>
        </w:tc>
        <w:tc>
          <w:tcPr>
            <w:tcW w:w="1523" w:type="dxa"/>
            <w:vMerge w:val="continue"/>
            <w:tcBorders>
              <w:tl2br w:val="nil"/>
              <w:tr2bl w:val="nil"/>
            </w:tcBorders>
            <w:shd w:val="clear" w:color="auto" w:fill="auto"/>
            <w:vAlign w:val="center"/>
          </w:tcPr>
          <w:p w14:paraId="4DBE2B7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52" w:type="dxa"/>
            <w:tcBorders>
              <w:tl2br w:val="nil"/>
              <w:tr2bl w:val="nil"/>
            </w:tcBorders>
            <w:shd w:val="clear" w:color="auto" w:fill="auto"/>
            <w:vAlign w:val="center"/>
          </w:tcPr>
          <w:p w14:paraId="40F77D1C">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653" w:type="dxa"/>
            <w:tcBorders>
              <w:tl2br w:val="nil"/>
              <w:tr2bl w:val="nil"/>
            </w:tcBorders>
            <w:shd w:val="clear" w:color="auto" w:fill="auto"/>
            <w:vAlign w:val="center"/>
          </w:tcPr>
          <w:p w14:paraId="3133EE8A">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652" w:type="dxa"/>
            <w:tcBorders>
              <w:tl2br w:val="nil"/>
              <w:tr2bl w:val="nil"/>
            </w:tcBorders>
            <w:shd w:val="clear" w:color="auto" w:fill="auto"/>
            <w:vAlign w:val="center"/>
          </w:tcPr>
          <w:p w14:paraId="4A1B2907">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653" w:type="dxa"/>
            <w:tcBorders>
              <w:tl2br w:val="nil"/>
              <w:tr2bl w:val="nil"/>
            </w:tcBorders>
            <w:shd w:val="clear" w:color="auto" w:fill="auto"/>
            <w:vAlign w:val="center"/>
          </w:tcPr>
          <w:p w14:paraId="042594CC">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615" w:type="dxa"/>
            <w:tcBorders>
              <w:tl2br w:val="nil"/>
              <w:tr2bl w:val="nil"/>
            </w:tcBorders>
            <w:shd w:val="clear" w:color="auto" w:fill="auto"/>
            <w:vAlign w:val="center"/>
          </w:tcPr>
          <w:p w14:paraId="38B9167A">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615" w:type="dxa"/>
            <w:tcBorders>
              <w:tl2br w:val="nil"/>
              <w:tr2bl w:val="nil"/>
            </w:tcBorders>
            <w:shd w:val="clear" w:color="auto" w:fill="auto"/>
            <w:vAlign w:val="center"/>
          </w:tcPr>
          <w:p w14:paraId="222BF922">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1725" w:type="dxa"/>
            <w:vMerge w:val="continue"/>
            <w:tcBorders>
              <w:tl2br w:val="nil"/>
              <w:tr2bl w:val="nil"/>
            </w:tcBorders>
            <w:shd w:val="clear" w:color="auto" w:fill="auto"/>
            <w:vAlign w:val="center"/>
          </w:tcPr>
          <w:p w14:paraId="2CB0428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r>
      <w:tr w14:paraId="52D1938F">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jc w:val="center"/>
        </w:trPr>
        <w:tc>
          <w:tcPr>
            <w:tcW w:w="542" w:type="dxa"/>
            <w:vMerge w:val="continue"/>
            <w:tcBorders>
              <w:tl2br w:val="nil"/>
              <w:tr2bl w:val="nil"/>
            </w:tcBorders>
            <w:shd w:val="clear" w:color="auto" w:fill="auto"/>
            <w:vAlign w:val="center"/>
          </w:tcPr>
          <w:p w14:paraId="66EA976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49" w:type="dxa"/>
            <w:vMerge w:val="continue"/>
            <w:tcBorders>
              <w:tl2br w:val="nil"/>
              <w:tr2bl w:val="nil"/>
            </w:tcBorders>
            <w:shd w:val="clear" w:color="auto" w:fill="auto"/>
            <w:vAlign w:val="center"/>
          </w:tcPr>
          <w:p w14:paraId="0BB9A9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428" w:type="dxa"/>
            <w:vMerge w:val="continue"/>
            <w:tcBorders>
              <w:tl2br w:val="nil"/>
              <w:tr2bl w:val="nil"/>
            </w:tcBorders>
            <w:shd w:val="clear" w:color="auto" w:fill="auto"/>
            <w:vAlign w:val="center"/>
          </w:tcPr>
          <w:p w14:paraId="7F686DE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p>
        </w:tc>
        <w:tc>
          <w:tcPr>
            <w:tcW w:w="618" w:type="dxa"/>
            <w:vMerge w:val="continue"/>
            <w:tcBorders>
              <w:tl2br w:val="nil"/>
              <w:tr2bl w:val="nil"/>
            </w:tcBorders>
            <w:shd w:val="clear" w:color="auto" w:fill="auto"/>
            <w:vAlign w:val="center"/>
          </w:tcPr>
          <w:p w14:paraId="153A4DC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333" w:type="dxa"/>
            <w:tcBorders>
              <w:tl2br w:val="nil"/>
              <w:tr2bl w:val="nil"/>
            </w:tcBorders>
            <w:shd w:val="clear" w:color="auto" w:fill="auto"/>
            <w:vAlign w:val="center"/>
          </w:tcPr>
          <w:p w14:paraId="10422F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中</w:t>
            </w:r>
          </w:p>
        </w:tc>
        <w:tc>
          <w:tcPr>
            <w:tcW w:w="649" w:type="dxa"/>
            <w:tcBorders>
              <w:tl2br w:val="nil"/>
              <w:tr2bl w:val="nil"/>
            </w:tcBorders>
            <w:shd w:val="clear" w:color="auto" w:fill="auto"/>
            <w:vAlign w:val="center"/>
          </w:tcPr>
          <w:p w14:paraId="2B7CDCDA">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650" w:type="dxa"/>
            <w:tcBorders>
              <w:tl2br w:val="nil"/>
              <w:tr2bl w:val="nil"/>
            </w:tcBorders>
            <w:shd w:val="clear" w:color="auto" w:fill="auto"/>
            <w:vAlign w:val="center"/>
          </w:tcPr>
          <w:p w14:paraId="6A5042C6">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649" w:type="dxa"/>
            <w:tcBorders>
              <w:tl2br w:val="nil"/>
              <w:tr2bl w:val="nil"/>
            </w:tcBorders>
            <w:shd w:val="clear" w:color="auto" w:fill="auto"/>
            <w:vAlign w:val="center"/>
          </w:tcPr>
          <w:p w14:paraId="490C3077">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80.78</w:t>
            </w:r>
          </w:p>
        </w:tc>
        <w:tc>
          <w:tcPr>
            <w:tcW w:w="650" w:type="dxa"/>
            <w:tcBorders>
              <w:tl2br w:val="nil"/>
              <w:tr2bl w:val="nil"/>
            </w:tcBorders>
            <w:shd w:val="clear" w:color="auto" w:fill="auto"/>
            <w:vAlign w:val="center"/>
          </w:tcPr>
          <w:p w14:paraId="1C51D274">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80.78</w:t>
            </w:r>
          </w:p>
        </w:tc>
        <w:tc>
          <w:tcPr>
            <w:tcW w:w="653" w:type="dxa"/>
            <w:tcBorders>
              <w:tl2br w:val="nil"/>
              <w:tr2bl w:val="nil"/>
            </w:tcBorders>
            <w:shd w:val="clear" w:color="auto" w:fill="auto"/>
            <w:vAlign w:val="center"/>
          </w:tcPr>
          <w:p w14:paraId="5518CAA3">
            <w:pPr>
              <w:pageBreakBefore w:val="0"/>
              <w:wordWrap/>
              <w:topLinePunct w:val="0"/>
              <w:bidi w:val="0"/>
              <w:spacing w:line="240" w:lineRule="auto"/>
              <w:ind w:firstLine="0" w:firstLineChars="0"/>
              <w:jc w:val="center"/>
              <w:rPr>
                <w:rFonts w:hint="default"/>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86.58</w:t>
            </w:r>
          </w:p>
        </w:tc>
        <w:tc>
          <w:tcPr>
            <w:tcW w:w="653" w:type="dxa"/>
            <w:tcBorders>
              <w:tl2br w:val="nil"/>
              <w:tr2bl w:val="nil"/>
            </w:tcBorders>
            <w:shd w:val="clear" w:color="auto" w:fill="auto"/>
            <w:vAlign w:val="center"/>
          </w:tcPr>
          <w:p w14:paraId="091A5A4C">
            <w:pPr>
              <w:pageBreakBefore w:val="0"/>
              <w:wordWrap/>
              <w:topLinePunct w:val="0"/>
              <w:bidi w:val="0"/>
              <w:spacing w:line="240" w:lineRule="auto"/>
              <w:ind w:firstLine="0" w:firstLineChars="0"/>
              <w:jc w:val="center"/>
              <w:rPr>
                <w:rFonts w:hint="eastAsia"/>
                <w:snapToGrid w:val="0"/>
                <w:color w:val="000000" w:themeColor="text1"/>
                <w:kern w:val="0"/>
                <w:sz w:val="21"/>
                <w:szCs w:val="21"/>
                <w:highlight w:val="none"/>
                <w:lang w:val="en-US" w:eastAsia="zh-CN"/>
              </w:rPr>
            </w:pPr>
            <w:r>
              <w:rPr>
                <w:rFonts w:hint="default" w:cs="Times New Roman"/>
                <w:color w:val="000000" w:themeColor="text1"/>
                <w:sz w:val="21"/>
                <w:szCs w:val="21"/>
                <w:highlight w:val="none"/>
                <w:lang w:val="en-US" w:eastAsia="zh-CN"/>
              </w:rPr>
              <w:t>86.58</w:t>
            </w:r>
          </w:p>
        </w:tc>
        <w:tc>
          <w:tcPr>
            <w:tcW w:w="1523" w:type="dxa"/>
            <w:vMerge w:val="continue"/>
            <w:tcBorders>
              <w:tl2br w:val="nil"/>
              <w:tr2bl w:val="nil"/>
            </w:tcBorders>
            <w:shd w:val="clear" w:color="auto" w:fill="auto"/>
            <w:vAlign w:val="center"/>
          </w:tcPr>
          <w:p w14:paraId="2D46776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52" w:type="dxa"/>
            <w:tcBorders>
              <w:tl2br w:val="nil"/>
              <w:tr2bl w:val="nil"/>
            </w:tcBorders>
            <w:shd w:val="clear" w:color="auto" w:fill="auto"/>
            <w:vAlign w:val="center"/>
          </w:tcPr>
          <w:p w14:paraId="5471D674">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653" w:type="dxa"/>
            <w:tcBorders>
              <w:tl2br w:val="nil"/>
              <w:tr2bl w:val="nil"/>
            </w:tcBorders>
            <w:shd w:val="clear" w:color="auto" w:fill="auto"/>
            <w:vAlign w:val="center"/>
          </w:tcPr>
          <w:p w14:paraId="490A340E">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652" w:type="dxa"/>
            <w:tcBorders>
              <w:tl2br w:val="nil"/>
              <w:tr2bl w:val="nil"/>
            </w:tcBorders>
            <w:shd w:val="clear" w:color="auto" w:fill="auto"/>
            <w:vAlign w:val="center"/>
          </w:tcPr>
          <w:p w14:paraId="570AA5A0">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653" w:type="dxa"/>
            <w:tcBorders>
              <w:tl2br w:val="nil"/>
              <w:tr2bl w:val="nil"/>
            </w:tcBorders>
            <w:shd w:val="clear" w:color="auto" w:fill="auto"/>
            <w:vAlign w:val="center"/>
          </w:tcPr>
          <w:p w14:paraId="2F3CA6F9">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615" w:type="dxa"/>
            <w:tcBorders>
              <w:tl2br w:val="nil"/>
              <w:tr2bl w:val="nil"/>
            </w:tcBorders>
            <w:shd w:val="clear" w:color="auto" w:fill="auto"/>
            <w:vAlign w:val="center"/>
          </w:tcPr>
          <w:p w14:paraId="48C96D77">
            <w:pPr>
              <w:pageBreakBefore w:val="0"/>
              <w:wordWrap/>
              <w:topLinePunct w:val="0"/>
              <w:bidi w:val="0"/>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615" w:type="dxa"/>
            <w:tcBorders>
              <w:tl2br w:val="nil"/>
              <w:tr2bl w:val="nil"/>
            </w:tcBorders>
            <w:shd w:val="clear" w:color="auto" w:fill="auto"/>
            <w:vAlign w:val="center"/>
          </w:tcPr>
          <w:p w14:paraId="228350BF">
            <w:pPr>
              <w:pageBreakBefore w:val="0"/>
              <w:wordWrap/>
              <w:topLinePunct w:val="0"/>
              <w:bidi w:val="0"/>
              <w:spacing w:line="240" w:lineRule="auto"/>
              <w:ind w:firstLine="0" w:firstLineChars="0"/>
              <w:jc w:val="center"/>
              <w:rPr>
                <w:rFonts w:hint="eastAsia" w:ascii="Times New Roman" w:hAnsi="Times New Roman" w:eastAsia="宋体" w:cs="Times New Roman"/>
                <w:snapToGrid w:val="0"/>
                <w:color w:val="000000" w:themeColor="text1"/>
                <w:kern w:val="0"/>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1725" w:type="dxa"/>
            <w:vMerge w:val="continue"/>
            <w:tcBorders>
              <w:tl2br w:val="nil"/>
              <w:tr2bl w:val="nil"/>
            </w:tcBorders>
            <w:shd w:val="clear" w:color="auto" w:fill="auto"/>
            <w:vAlign w:val="center"/>
          </w:tcPr>
          <w:p w14:paraId="5B5626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r>
      <w:tr w14:paraId="5644C9B6">
        <w:tblPrEx>
          <w:tblBorders>
            <w:top w:val="single" w:color="auto" w:sz="12" w:space="0"/>
            <w:left w:val="dotted" w:color="auto" w:sz="4" w:space="0"/>
            <w:bottom w:val="single" w:color="auto" w:sz="12" w:space="0"/>
            <w:right w:val="dotted" w:color="auto" w:sz="4" w:space="0"/>
            <w:insideH w:val="single" w:color="auto" w:sz="2" w:space="0"/>
            <w:insideV w:val="single" w:color="auto" w:sz="2" w:space="0"/>
          </w:tblBorders>
          <w:shd w:val="clear" w:color="auto" w:fill="auto"/>
          <w:tblCellMar>
            <w:top w:w="0" w:type="dxa"/>
            <w:left w:w="28" w:type="dxa"/>
            <w:bottom w:w="0" w:type="dxa"/>
            <w:right w:w="28" w:type="dxa"/>
          </w:tblCellMar>
        </w:tblPrEx>
        <w:trPr>
          <w:trHeight w:val="340" w:hRule="atLeast"/>
          <w:jc w:val="center"/>
        </w:trPr>
        <w:tc>
          <w:tcPr>
            <w:tcW w:w="542" w:type="dxa"/>
            <w:vMerge w:val="continue"/>
            <w:tcBorders>
              <w:tl2br w:val="nil"/>
              <w:tr2bl w:val="nil"/>
            </w:tcBorders>
            <w:shd w:val="clear" w:color="auto" w:fill="auto"/>
            <w:vAlign w:val="center"/>
          </w:tcPr>
          <w:p w14:paraId="123684A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49" w:type="dxa"/>
            <w:vMerge w:val="continue"/>
            <w:tcBorders>
              <w:tl2br w:val="nil"/>
              <w:tr2bl w:val="nil"/>
            </w:tcBorders>
            <w:shd w:val="clear" w:color="auto" w:fill="auto"/>
            <w:vAlign w:val="center"/>
          </w:tcPr>
          <w:p w14:paraId="659DBFB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1428" w:type="dxa"/>
            <w:vMerge w:val="continue"/>
            <w:tcBorders>
              <w:tl2br w:val="nil"/>
              <w:tr2bl w:val="nil"/>
            </w:tcBorders>
            <w:shd w:val="clear" w:color="auto" w:fill="auto"/>
            <w:vAlign w:val="center"/>
          </w:tcPr>
          <w:p w14:paraId="4619867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000000" w:themeColor="text1"/>
                <w:sz w:val="21"/>
                <w:szCs w:val="21"/>
                <w:highlight w:val="none"/>
              </w:rPr>
            </w:pPr>
          </w:p>
        </w:tc>
        <w:tc>
          <w:tcPr>
            <w:tcW w:w="618" w:type="dxa"/>
            <w:vMerge w:val="continue"/>
            <w:tcBorders>
              <w:tl2br w:val="nil"/>
              <w:tr2bl w:val="nil"/>
            </w:tcBorders>
            <w:shd w:val="clear" w:color="auto" w:fill="auto"/>
            <w:vAlign w:val="center"/>
          </w:tcPr>
          <w:p w14:paraId="7390AC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333" w:type="dxa"/>
            <w:tcBorders>
              <w:tl2br w:val="nil"/>
              <w:tr2bl w:val="nil"/>
            </w:tcBorders>
            <w:shd w:val="clear" w:color="auto" w:fill="auto"/>
            <w:vAlign w:val="center"/>
          </w:tcPr>
          <w:p w14:paraId="472858E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snapToGrid w:val="0"/>
                <w:color w:val="000000" w:themeColor="text1"/>
                <w:kern w:val="0"/>
                <w:sz w:val="21"/>
                <w:szCs w:val="21"/>
                <w:highlight w:val="none"/>
                <w:lang w:val="en-US" w:eastAsia="zh-CN"/>
              </w:rPr>
            </w:pPr>
            <w:r>
              <w:rPr>
                <w:rFonts w:hint="eastAsia"/>
                <w:snapToGrid w:val="0"/>
                <w:color w:val="000000" w:themeColor="text1"/>
                <w:kern w:val="0"/>
                <w:sz w:val="21"/>
                <w:szCs w:val="21"/>
                <w:highlight w:val="none"/>
                <w:lang w:val="en-US" w:eastAsia="zh-CN"/>
              </w:rPr>
              <w:t>远</w:t>
            </w:r>
          </w:p>
        </w:tc>
        <w:tc>
          <w:tcPr>
            <w:tcW w:w="649" w:type="dxa"/>
            <w:tcBorders>
              <w:tl2br w:val="nil"/>
              <w:tr2bl w:val="nil"/>
            </w:tcBorders>
            <w:shd w:val="clear" w:color="auto" w:fill="auto"/>
            <w:vAlign w:val="center"/>
          </w:tcPr>
          <w:p w14:paraId="09230996">
            <w:pPr>
              <w:pageBreakBefore w:val="0"/>
              <w:wordWrap/>
              <w:topLinePunct w:val="0"/>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650" w:type="dxa"/>
            <w:tcBorders>
              <w:tl2br w:val="nil"/>
              <w:tr2bl w:val="nil"/>
            </w:tcBorders>
            <w:shd w:val="clear" w:color="auto" w:fill="auto"/>
            <w:vAlign w:val="center"/>
          </w:tcPr>
          <w:p w14:paraId="24644706">
            <w:pPr>
              <w:pageBreakBefore w:val="0"/>
              <w:wordWrap/>
              <w:topLinePunct w:val="0"/>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73.01</w:t>
            </w:r>
          </w:p>
        </w:tc>
        <w:tc>
          <w:tcPr>
            <w:tcW w:w="649" w:type="dxa"/>
            <w:tcBorders>
              <w:tl2br w:val="nil"/>
              <w:tr2bl w:val="nil"/>
            </w:tcBorders>
            <w:shd w:val="clear" w:color="auto" w:fill="auto"/>
            <w:vAlign w:val="center"/>
          </w:tcPr>
          <w:p w14:paraId="61A3C2F0">
            <w:pPr>
              <w:pageBreakBefore w:val="0"/>
              <w:wordWrap/>
              <w:topLinePunct w:val="0"/>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80.78</w:t>
            </w:r>
          </w:p>
        </w:tc>
        <w:tc>
          <w:tcPr>
            <w:tcW w:w="650" w:type="dxa"/>
            <w:tcBorders>
              <w:tl2br w:val="nil"/>
              <w:tr2bl w:val="nil"/>
            </w:tcBorders>
            <w:shd w:val="clear" w:color="auto" w:fill="auto"/>
            <w:vAlign w:val="center"/>
          </w:tcPr>
          <w:p w14:paraId="664C26F5">
            <w:pPr>
              <w:pageBreakBefore w:val="0"/>
              <w:wordWrap/>
              <w:topLinePunct w:val="0"/>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80.78</w:t>
            </w:r>
          </w:p>
        </w:tc>
        <w:tc>
          <w:tcPr>
            <w:tcW w:w="653" w:type="dxa"/>
            <w:tcBorders>
              <w:tl2br w:val="nil"/>
              <w:tr2bl w:val="nil"/>
            </w:tcBorders>
            <w:shd w:val="clear" w:color="auto" w:fill="auto"/>
            <w:vAlign w:val="center"/>
          </w:tcPr>
          <w:p w14:paraId="1A8947E7">
            <w:pPr>
              <w:pageBreakBefore w:val="0"/>
              <w:wordWrap/>
              <w:topLinePunct w:val="0"/>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86.58</w:t>
            </w:r>
          </w:p>
        </w:tc>
        <w:tc>
          <w:tcPr>
            <w:tcW w:w="653" w:type="dxa"/>
            <w:tcBorders>
              <w:tl2br w:val="nil"/>
              <w:tr2bl w:val="nil"/>
            </w:tcBorders>
            <w:shd w:val="clear" w:color="auto" w:fill="auto"/>
            <w:vAlign w:val="center"/>
          </w:tcPr>
          <w:p w14:paraId="517DF633">
            <w:pPr>
              <w:pageBreakBefore w:val="0"/>
              <w:wordWrap/>
              <w:topLinePunct w:val="0"/>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rPr>
            </w:pPr>
            <w:r>
              <w:rPr>
                <w:rFonts w:hint="default" w:cs="Times New Roman"/>
                <w:color w:val="000000" w:themeColor="text1"/>
                <w:sz w:val="21"/>
                <w:szCs w:val="21"/>
                <w:highlight w:val="none"/>
                <w:lang w:val="en-US" w:eastAsia="zh-CN"/>
              </w:rPr>
              <w:t>86.58</w:t>
            </w:r>
          </w:p>
        </w:tc>
        <w:tc>
          <w:tcPr>
            <w:tcW w:w="1523" w:type="dxa"/>
            <w:vMerge w:val="continue"/>
            <w:tcBorders>
              <w:tl2br w:val="nil"/>
              <w:tr2bl w:val="nil"/>
            </w:tcBorders>
            <w:shd w:val="clear" w:color="auto" w:fill="auto"/>
            <w:vAlign w:val="center"/>
          </w:tcPr>
          <w:p w14:paraId="1F5BED4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c>
          <w:tcPr>
            <w:tcW w:w="652" w:type="dxa"/>
            <w:tcBorders>
              <w:tl2br w:val="nil"/>
              <w:tr2bl w:val="nil"/>
            </w:tcBorders>
            <w:shd w:val="clear" w:color="auto" w:fill="auto"/>
            <w:vAlign w:val="center"/>
          </w:tcPr>
          <w:p w14:paraId="1B92EA77">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653" w:type="dxa"/>
            <w:tcBorders>
              <w:tl2br w:val="nil"/>
              <w:tr2bl w:val="nil"/>
            </w:tcBorders>
            <w:shd w:val="clear" w:color="auto" w:fill="auto"/>
            <w:vAlign w:val="center"/>
          </w:tcPr>
          <w:p w14:paraId="6274FB5A">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73.01</w:t>
            </w:r>
          </w:p>
        </w:tc>
        <w:tc>
          <w:tcPr>
            <w:tcW w:w="652" w:type="dxa"/>
            <w:tcBorders>
              <w:tl2br w:val="nil"/>
              <w:tr2bl w:val="nil"/>
            </w:tcBorders>
            <w:shd w:val="clear" w:color="auto" w:fill="auto"/>
            <w:vAlign w:val="center"/>
          </w:tcPr>
          <w:p w14:paraId="027EC680">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653" w:type="dxa"/>
            <w:tcBorders>
              <w:tl2br w:val="nil"/>
              <w:tr2bl w:val="nil"/>
            </w:tcBorders>
            <w:shd w:val="clear" w:color="auto" w:fill="auto"/>
            <w:vAlign w:val="center"/>
          </w:tcPr>
          <w:p w14:paraId="2BDC00D0">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80.78</w:t>
            </w:r>
          </w:p>
        </w:tc>
        <w:tc>
          <w:tcPr>
            <w:tcW w:w="615" w:type="dxa"/>
            <w:tcBorders>
              <w:tl2br w:val="nil"/>
              <w:tr2bl w:val="nil"/>
            </w:tcBorders>
            <w:shd w:val="clear" w:color="auto" w:fill="auto"/>
            <w:vAlign w:val="center"/>
          </w:tcPr>
          <w:p w14:paraId="2BB907B8">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615" w:type="dxa"/>
            <w:tcBorders>
              <w:tl2br w:val="nil"/>
              <w:tr2bl w:val="nil"/>
            </w:tcBorders>
            <w:shd w:val="clear" w:color="auto" w:fill="auto"/>
            <w:vAlign w:val="center"/>
          </w:tcPr>
          <w:p w14:paraId="5C58B5BF">
            <w:pPr>
              <w:pageBreakBefore w:val="0"/>
              <w:wordWrap/>
              <w:topLinePunct w:val="0"/>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rPr>
            </w:pPr>
            <w:r>
              <w:rPr>
                <w:rFonts w:hint="default" w:cs="Times New Roman"/>
                <w:color w:val="000000" w:themeColor="text1"/>
                <w:sz w:val="21"/>
                <w:szCs w:val="21"/>
                <w:highlight w:val="none"/>
                <w:lang w:val="en-US" w:eastAsia="zh-CN"/>
              </w:rPr>
              <w:t>86.58</w:t>
            </w:r>
          </w:p>
        </w:tc>
        <w:tc>
          <w:tcPr>
            <w:tcW w:w="1725" w:type="dxa"/>
            <w:vMerge w:val="continue"/>
            <w:tcBorders>
              <w:tl2br w:val="nil"/>
              <w:tr2bl w:val="nil"/>
            </w:tcBorders>
            <w:shd w:val="clear" w:color="auto" w:fill="auto"/>
            <w:vAlign w:val="center"/>
          </w:tcPr>
          <w:p w14:paraId="00E8D17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snapToGrid w:val="0"/>
                <w:color w:val="000000" w:themeColor="text1"/>
                <w:kern w:val="0"/>
                <w:sz w:val="21"/>
                <w:szCs w:val="21"/>
                <w:highlight w:val="none"/>
              </w:rPr>
            </w:pPr>
          </w:p>
        </w:tc>
      </w:tr>
    </w:tbl>
    <w:p w14:paraId="5A32AAD5">
      <w:pPr>
        <w:pageBreakBefore w:val="0"/>
        <w:wordWrap/>
        <w:topLinePunct w:val="0"/>
        <w:bidi w:val="0"/>
        <w:spacing w:line="360" w:lineRule="auto"/>
        <w:ind w:firstLine="0" w:firstLineChars="0"/>
        <w:jc w:val="center"/>
        <w:rPr>
          <w:b/>
          <w:color w:val="000000" w:themeColor="text1"/>
          <w:highlight w:val="none"/>
        </w:rPr>
        <w:sectPr>
          <w:pgSz w:w="16838" w:h="11906" w:orient="landscape"/>
          <w:pgMar w:top="1797" w:right="1440" w:bottom="1797" w:left="1440" w:header="907" w:footer="1021" w:gutter="0"/>
          <w:pgBorders>
            <w:top w:val="none" w:sz="0" w:space="0"/>
            <w:left w:val="none" w:sz="0" w:space="0"/>
            <w:bottom w:val="none" w:sz="0" w:space="0"/>
            <w:right w:val="none" w:sz="0" w:space="0"/>
          </w:pgBorders>
          <w:pgNumType w:fmt="decimal"/>
          <w:cols w:space="720" w:num="1"/>
          <w:docGrid w:linePitch="326" w:charSpace="0"/>
        </w:sectPr>
      </w:pPr>
    </w:p>
    <w:p w14:paraId="3B2C49A3">
      <w:pPr>
        <w:pStyle w:val="3"/>
        <w:pageBreakBefore w:val="0"/>
        <w:wordWrap/>
        <w:topLinePunct w:val="0"/>
        <w:bidi w:val="0"/>
        <w:spacing w:line="360" w:lineRule="auto"/>
        <w:rPr>
          <w:color w:val="000000" w:themeColor="text1"/>
          <w:highlight w:val="none"/>
        </w:rPr>
      </w:pPr>
      <w:bookmarkStart w:id="574" w:name="_Toc8819"/>
      <w:bookmarkStart w:id="575" w:name="_Toc8013"/>
      <w:bookmarkStart w:id="576" w:name="_Toc14712"/>
      <w:bookmarkStart w:id="577" w:name="_Toc24756"/>
      <w:bookmarkStart w:id="578" w:name="_Toc17163"/>
      <w:r>
        <w:rPr>
          <w:rFonts w:hint="eastAsia"/>
          <w:color w:val="000000" w:themeColor="text1"/>
          <w:highlight w:val="none"/>
          <w:lang w:val="en-US" w:eastAsia="zh-CN"/>
        </w:rPr>
        <w:t>9</w:t>
      </w:r>
      <w:r>
        <w:rPr>
          <w:color w:val="000000" w:themeColor="text1"/>
          <w:highlight w:val="none"/>
        </w:rPr>
        <w:t>.4环保设施竣工验收计划</w:t>
      </w:r>
      <w:bookmarkEnd w:id="574"/>
      <w:bookmarkEnd w:id="575"/>
      <w:bookmarkEnd w:id="576"/>
      <w:bookmarkEnd w:id="577"/>
      <w:bookmarkEnd w:id="578"/>
    </w:p>
    <w:p w14:paraId="051D1988">
      <w:pPr>
        <w:pageBreakBefore w:val="0"/>
        <w:wordWrap/>
        <w:topLinePunct w:val="0"/>
        <w:bidi w:val="0"/>
        <w:spacing w:line="360" w:lineRule="auto"/>
        <w:rPr>
          <w:color w:val="000000" w:themeColor="text1"/>
          <w:highlight w:val="none"/>
        </w:rPr>
      </w:pPr>
      <w:r>
        <w:rPr>
          <w:color w:val="000000" w:themeColor="text1"/>
          <w:highlight w:val="none"/>
        </w:rPr>
        <w:t>本项目完成后，根据中华人民共和国国务院令第682号（2017年10月1日）《国务院关于修改〈建设项目环境保护管理条例〉的决定》及原环保部《关于发布&lt;建设项目竣工环境保护验收暂行办法&gt;的公告》（国环规环评〔2017〕4号）规定，本项目由建设单位进行建设项目竣工环境保护验收。其验收主要内容见表</w:t>
      </w:r>
      <w:r>
        <w:rPr>
          <w:rFonts w:hint="eastAsia"/>
          <w:color w:val="000000" w:themeColor="text1"/>
          <w:highlight w:val="none"/>
          <w:lang w:val="en-US" w:eastAsia="zh-CN"/>
        </w:rPr>
        <w:t>9</w:t>
      </w:r>
      <w:r>
        <w:rPr>
          <w:color w:val="000000" w:themeColor="text1"/>
          <w:highlight w:val="none"/>
        </w:rPr>
        <w:t>.4-1。</w:t>
      </w:r>
    </w:p>
    <w:p w14:paraId="00048E2E">
      <w:pPr>
        <w:pageBreakBefore w:val="0"/>
        <w:wordWrap/>
        <w:topLinePunct w:val="0"/>
        <w:bidi w:val="0"/>
        <w:spacing w:line="360" w:lineRule="auto"/>
        <w:rPr>
          <w:color w:val="000000" w:themeColor="text1"/>
          <w:highlight w:val="none"/>
        </w:rPr>
        <w:sectPr>
          <w:pgSz w:w="11906" w:h="16838"/>
          <w:pgMar w:top="1440" w:right="1797" w:bottom="1440" w:left="1797" w:header="907" w:footer="1021" w:gutter="0"/>
          <w:pgBorders>
            <w:top w:val="none" w:sz="0" w:space="0"/>
            <w:left w:val="none" w:sz="0" w:space="0"/>
            <w:bottom w:val="none" w:sz="0" w:space="0"/>
            <w:right w:val="none" w:sz="0" w:space="0"/>
          </w:pgBorders>
          <w:pgNumType w:fmt="decimal"/>
          <w:cols w:space="720" w:num="1"/>
          <w:docGrid w:linePitch="326" w:charSpace="0"/>
        </w:sectPr>
      </w:pPr>
    </w:p>
    <w:p w14:paraId="3345C292">
      <w:pPr>
        <w:pStyle w:val="14"/>
        <w:pageBreakBefore w:val="0"/>
        <w:wordWrap/>
        <w:topLinePunct w:val="0"/>
        <w:bidi w:val="0"/>
        <w:spacing w:after="0" w:line="360" w:lineRule="auto"/>
        <w:ind w:left="480" w:firstLine="459"/>
        <w:jc w:val="center"/>
        <w:rPr>
          <w:b/>
          <w:color w:val="000000" w:themeColor="text1"/>
          <w:sz w:val="24"/>
          <w:highlight w:val="none"/>
        </w:rPr>
      </w:pPr>
      <w:r>
        <w:rPr>
          <w:b/>
          <w:color w:val="000000" w:themeColor="text1"/>
          <w:sz w:val="24"/>
          <w:highlight w:val="none"/>
        </w:rPr>
        <w:t>表</w:t>
      </w:r>
      <w:r>
        <w:rPr>
          <w:rFonts w:hint="eastAsia"/>
          <w:b/>
          <w:color w:val="000000" w:themeColor="text1"/>
          <w:sz w:val="24"/>
          <w:highlight w:val="none"/>
          <w:lang w:val="en-US" w:eastAsia="zh-CN"/>
        </w:rPr>
        <w:t>9</w:t>
      </w:r>
      <w:r>
        <w:rPr>
          <w:b/>
          <w:color w:val="000000" w:themeColor="text1"/>
          <w:sz w:val="24"/>
          <w:highlight w:val="none"/>
        </w:rPr>
        <w:t xml:space="preserve">.4-1 </w:t>
      </w:r>
      <w:r>
        <w:rPr>
          <w:rFonts w:hint="eastAsia"/>
          <w:b/>
          <w:color w:val="000000" w:themeColor="text1"/>
          <w:sz w:val="24"/>
          <w:highlight w:val="none"/>
          <w:lang w:val="en-US" w:eastAsia="zh-CN"/>
        </w:rPr>
        <w:t xml:space="preserve"> </w:t>
      </w:r>
      <w:r>
        <w:rPr>
          <w:b/>
          <w:color w:val="000000" w:themeColor="text1"/>
          <w:sz w:val="24"/>
          <w:highlight w:val="none"/>
        </w:rPr>
        <w:t>环境保护</w:t>
      </w:r>
      <w:r>
        <w:rPr>
          <w:rFonts w:hint="eastAsia"/>
          <w:b/>
          <w:color w:val="000000" w:themeColor="text1"/>
          <w:sz w:val="24"/>
          <w:highlight w:val="none"/>
          <w:lang w:eastAsia="zh-CN"/>
        </w:rPr>
        <w:t>“</w:t>
      </w:r>
      <w:r>
        <w:rPr>
          <w:b/>
          <w:color w:val="000000" w:themeColor="text1"/>
          <w:sz w:val="24"/>
          <w:highlight w:val="none"/>
        </w:rPr>
        <w:t>三同时</w:t>
      </w:r>
      <w:r>
        <w:rPr>
          <w:rFonts w:hint="eastAsia"/>
          <w:b/>
          <w:color w:val="000000" w:themeColor="text1"/>
          <w:sz w:val="24"/>
          <w:highlight w:val="none"/>
          <w:lang w:eastAsia="zh-CN"/>
        </w:rPr>
        <w:t>”</w:t>
      </w:r>
      <w:r>
        <w:rPr>
          <w:b/>
          <w:color w:val="000000" w:themeColor="text1"/>
          <w:sz w:val="24"/>
          <w:highlight w:val="none"/>
        </w:rPr>
        <w:t>工程项目验收一览表</w:t>
      </w:r>
    </w:p>
    <w:tbl>
      <w:tblPr>
        <w:tblStyle w:val="33"/>
        <w:tblW w:w="1429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33"/>
        <w:gridCol w:w="873"/>
        <w:gridCol w:w="1500"/>
        <w:gridCol w:w="8238"/>
        <w:gridCol w:w="3055"/>
      </w:tblGrid>
      <w:tr w14:paraId="7AB8A1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restart"/>
            <w:vAlign w:val="center"/>
          </w:tcPr>
          <w:p w14:paraId="6EF77452">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类别</w:t>
            </w:r>
          </w:p>
        </w:tc>
        <w:tc>
          <w:tcPr>
            <w:tcW w:w="873" w:type="dxa"/>
            <w:vMerge w:val="restart"/>
            <w:vAlign w:val="center"/>
          </w:tcPr>
          <w:p w14:paraId="22087170">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对象</w:t>
            </w:r>
          </w:p>
        </w:tc>
        <w:tc>
          <w:tcPr>
            <w:tcW w:w="9738" w:type="dxa"/>
            <w:gridSpan w:val="2"/>
            <w:vAlign w:val="center"/>
          </w:tcPr>
          <w:p w14:paraId="58FDF70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验收清单</w:t>
            </w:r>
          </w:p>
        </w:tc>
        <w:tc>
          <w:tcPr>
            <w:tcW w:w="3055" w:type="dxa"/>
            <w:vMerge w:val="restart"/>
            <w:vAlign w:val="center"/>
          </w:tcPr>
          <w:p w14:paraId="249511FA">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验收标准</w:t>
            </w:r>
          </w:p>
        </w:tc>
      </w:tr>
      <w:tr w14:paraId="6FDF32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continue"/>
            <w:vAlign w:val="center"/>
          </w:tcPr>
          <w:p w14:paraId="222D0AC4">
            <w:pPr>
              <w:pageBreakBefore w:val="0"/>
              <w:wordWrap/>
              <w:topLinePunct w:val="0"/>
              <w:bidi w:val="0"/>
              <w:spacing w:line="240" w:lineRule="auto"/>
              <w:ind w:firstLine="0" w:firstLineChars="0"/>
              <w:rPr>
                <w:snapToGrid w:val="0"/>
                <w:color w:val="000000" w:themeColor="text1"/>
                <w:sz w:val="21"/>
                <w:szCs w:val="21"/>
                <w:highlight w:val="none"/>
              </w:rPr>
            </w:pPr>
          </w:p>
        </w:tc>
        <w:tc>
          <w:tcPr>
            <w:tcW w:w="873" w:type="dxa"/>
            <w:vMerge w:val="continue"/>
            <w:vAlign w:val="center"/>
          </w:tcPr>
          <w:p w14:paraId="7D3EB2D1">
            <w:pPr>
              <w:pageBreakBefore w:val="0"/>
              <w:wordWrap/>
              <w:topLinePunct w:val="0"/>
              <w:bidi w:val="0"/>
              <w:spacing w:line="240" w:lineRule="auto"/>
              <w:ind w:firstLine="0" w:firstLineChars="0"/>
              <w:jc w:val="center"/>
              <w:rPr>
                <w:snapToGrid w:val="0"/>
                <w:color w:val="000000" w:themeColor="text1"/>
                <w:sz w:val="21"/>
                <w:szCs w:val="21"/>
                <w:highlight w:val="none"/>
              </w:rPr>
            </w:pPr>
          </w:p>
        </w:tc>
        <w:tc>
          <w:tcPr>
            <w:tcW w:w="1500" w:type="dxa"/>
            <w:vAlign w:val="center"/>
          </w:tcPr>
          <w:p w14:paraId="282D4DA7">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环保设施</w:t>
            </w:r>
          </w:p>
        </w:tc>
        <w:tc>
          <w:tcPr>
            <w:tcW w:w="8238" w:type="dxa"/>
            <w:vAlign w:val="center"/>
          </w:tcPr>
          <w:p w14:paraId="45CF41C9">
            <w:pPr>
              <w:pStyle w:val="116"/>
              <w:pageBreakBefore w:val="0"/>
              <w:wordWrap/>
              <w:topLinePunct w:val="0"/>
              <w:bidi w:val="0"/>
              <w:spacing w:line="240" w:lineRule="auto"/>
              <w:ind w:firstLine="420"/>
              <w:rPr>
                <w:color w:val="000000" w:themeColor="text1"/>
                <w:sz w:val="21"/>
                <w:szCs w:val="21"/>
                <w:highlight w:val="none"/>
              </w:rPr>
            </w:pPr>
            <w:r>
              <w:rPr>
                <w:color w:val="000000" w:themeColor="text1"/>
                <w:sz w:val="21"/>
                <w:szCs w:val="21"/>
                <w:highlight w:val="none"/>
              </w:rPr>
              <w:t>位置及要求</w:t>
            </w:r>
          </w:p>
        </w:tc>
        <w:tc>
          <w:tcPr>
            <w:tcW w:w="3055" w:type="dxa"/>
            <w:vMerge w:val="continue"/>
            <w:vAlign w:val="center"/>
          </w:tcPr>
          <w:p w14:paraId="4B7FE468">
            <w:pPr>
              <w:pageBreakBefore w:val="0"/>
              <w:wordWrap/>
              <w:topLinePunct w:val="0"/>
              <w:bidi w:val="0"/>
              <w:spacing w:line="240" w:lineRule="auto"/>
              <w:ind w:firstLine="0" w:firstLineChars="0"/>
              <w:jc w:val="center"/>
              <w:rPr>
                <w:snapToGrid w:val="0"/>
                <w:color w:val="000000" w:themeColor="text1"/>
                <w:sz w:val="21"/>
                <w:szCs w:val="21"/>
                <w:highlight w:val="none"/>
              </w:rPr>
            </w:pPr>
          </w:p>
        </w:tc>
      </w:tr>
      <w:tr w14:paraId="4FDE94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Align w:val="center"/>
          </w:tcPr>
          <w:p w14:paraId="6B5C6FB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声环</w:t>
            </w:r>
          </w:p>
          <w:p w14:paraId="00FF9D42">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境</w:t>
            </w:r>
          </w:p>
        </w:tc>
        <w:tc>
          <w:tcPr>
            <w:tcW w:w="873" w:type="dxa"/>
            <w:vAlign w:val="center"/>
          </w:tcPr>
          <w:p w14:paraId="6AC1F17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沿线</w:t>
            </w:r>
          </w:p>
        </w:tc>
        <w:tc>
          <w:tcPr>
            <w:tcW w:w="9738" w:type="dxa"/>
            <w:gridSpan w:val="2"/>
            <w:vAlign w:val="center"/>
          </w:tcPr>
          <w:p w14:paraId="5D9BA589">
            <w:pPr>
              <w:pageBreakBefore w:val="0"/>
              <w:wordWrap/>
              <w:topLinePunct w:val="0"/>
              <w:bidi w:val="0"/>
              <w:spacing w:line="240" w:lineRule="auto"/>
              <w:ind w:firstLine="420"/>
              <w:jc w:val="center"/>
              <w:rPr>
                <w:rFonts w:hint="eastAsia" w:eastAsia="宋体"/>
                <w:snapToGrid w:val="0"/>
                <w:color w:val="000000" w:themeColor="text1"/>
                <w:sz w:val="21"/>
                <w:szCs w:val="21"/>
                <w:highlight w:val="none"/>
                <w:lang w:eastAsia="zh-CN"/>
              </w:rPr>
            </w:pPr>
            <w:r>
              <w:rPr>
                <w:rFonts w:hint="default"/>
                <w:snapToGrid w:val="0"/>
                <w:color w:val="000000" w:themeColor="text1"/>
                <w:kern w:val="0"/>
                <w:sz w:val="21"/>
                <w:szCs w:val="21"/>
                <w:highlight w:val="none"/>
                <w:lang w:val="en-US"/>
              </w:rPr>
              <w:t>加强</w:t>
            </w:r>
            <w:r>
              <w:rPr>
                <w:rFonts w:hint="eastAsia"/>
                <w:snapToGrid w:val="0"/>
                <w:color w:val="000000" w:themeColor="text1"/>
                <w:kern w:val="0"/>
                <w:sz w:val="21"/>
                <w:szCs w:val="21"/>
                <w:highlight w:val="none"/>
                <w:lang w:val="en-US" w:eastAsia="zh-CN"/>
              </w:rPr>
              <w:t>路面养护及</w:t>
            </w:r>
            <w:r>
              <w:rPr>
                <w:rFonts w:hint="default"/>
                <w:snapToGrid w:val="0"/>
                <w:color w:val="000000" w:themeColor="text1"/>
                <w:kern w:val="0"/>
                <w:sz w:val="21"/>
                <w:szCs w:val="21"/>
                <w:highlight w:val="none"/>
                <w:lang w:val="en-US"/>
              </w:rPr>
              <w:t>道路交通管理</w:t>
            </w:r>
            <w:r>
              <w:rPr>
                <w:rFonts w:hint="eastAsia"/>
                <w:snapToGrid w:val="0"/>
                <w:color w:val="000000" w:themeColor="text1"/>
                <w:kern w:val="0"/>
                <w:sz w:val="21"/>
                <w:szCs w:val="21"/>
                <w:highlight w:val="none"/>
                <w:lang w:val="en-US" w:eastAsia="zh-CN"/>
              </w:rPr>
              <w:t>，预留环保资金、跟踪监测</w:t>
            </w:r>
          </w:p>
        </w:tc>
        <w:tc>
          <w:tcPr>
            <w:tcW w:w="3055" w:type="dxa"/>
            <w:vAlign w:val="center"/>
          </w:tcPr>
          <w:p w14:paraId="6B195116">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《声环境质量标准》（GB3096-2008）4a类、</w:t>
            </w:r>
            <w:r>
              <w:rPr>
                <w:rFonts w:hint="eastAsia"/>
                <w:snapToGrid w:val="0"/>
                <w:color w:val="000000" w:themeColor="text1"/>
                <w:sz w:val="21"/>
                <w:szCs w:val="21"/>
                <w:highlight w:val="none"/>
                <w:lang w:val="en-US" w:eastAsia="zh-CN"/>
              </w:rPr>
              <w:t>2</w:t>
            </w:r>
            <w:r>
              <w:rPr>
                <w:snapToGrid w:val="0"/>
                <w:color w:val="000000" w:themeColor="text1"/>
                <w:sz w:val="21"/>
                <w:szCs w:val="21"/>
                <w:highlight w:val="none"/>
              </w:rPr>
              <w:t>类标准</w:t>
            </w:r>
          </w:p>
        </w:tc>
      </w:tr>
      <w:tr w14:paraId="5380BA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restart"/>
            <w:tcBorders>
              <w:bottom w:val="single" w:color="auto" w:sz="4" w:space="0"/>
            </w:tcBorders>
            <w:vAlign w:val="center"/>
          </w:tcPr>
          <w:p w14:paraId="1C1A067B">
            <w:pPr>
              <w:pStyle w:val="116"/>
              <w:pageBreakBefore w:val="0"/>
              <w:wordWrap/>
              <w:topLinePunct w:val="0"/>
              <w:bidi w:val="0"/>
              <w:spacing w:line="240" w:lineRule="auto"/>
              <w:jc w:val="center"/>
              <w:rPr>
                <w:snapToGrid w:val="0"/>
                <w:color w:val="000000" w:themeColor="text1"/>
                <w:sz w:val="21"/>
                <w:szCs w:val="21"/>
                <w:highlight w:val="none"/>
              </w:rPr>
            </w:pPr>
            <w:r>
              <w:rPr>
                <w:snapToGrid w:val="0"/>
                <w:color w:val="000000" w:themeColor="text1"/>
                <w:sz w:val="21"/>
                <w:szCs w:val="21"/>
                <w:highlight w:val="none"/>
              </w:rPr>
              <w:t>环境</w:t>
            </w:r>
          </w:p>
          <w:p w14:paraId="779B7EBB">
            <w:pPr>
              <w:pStyle w:val="116"/>
              <w:pageBreakBefore w:val="0"/>
              <w:wordWrap/>
              <w:topLinePunct w:val="0"/>
              <w:bidi w:val="0"/>
              <w:spacing w:line="240" w:lineRule="auto"/>
              <w:jc w:val="center"/>
              <w:rPr>
                <w:color w:val="000000" w:themeColor="text1"/>
                <w:sz w:val="21"/>
                <w:szCs w:val="21"/>
                <w:highlight w:val="none"/>
              </w:rPr>
            </w:pPr>
            <w:r>
              <w:rPr>
                <w:snapToGrid w:val="0"/>
                <w:color w:val="000000" w:themeColor="text1"/>
                <w:sz w:val="21"/>
                <w:szCs w:val="21"/>
                <w:highlight w:val="none"/>
              </w:rPr>
              <w:t>风险</w:t>
            </w:r>
          </w:p>
        </w:tc>
        <w:tc>
          <w:tcPr>
            <w:tcW w:w="2373" w:type="dxa"/>
            <w:gridSpan w:val="2"/>
            <w:tcBorders>
              <w:bottom w:val="single" w:color="000000" w:sz="2" w:space="0"/>
            </w:tcBorders>
            <w:shd w:val="clear" w:color="auto" w:fill="auto"/>
            <w:vAlign w:val="center"/>
          </w:tcPr>
          <w:p w14:paraId="40D7E6BC">
            <w:pPr>
              <w:pStyle w:val="116"/>
              <w:pageBreakBefore w:val="0"/>
              <w:wordWrap/>
              <w:topLinePunct w:val="0"/>
              <w:bidi w:val="0"/>
              <w:spacing w:line="240" w:lineRule="auto"/>
              <w:ind w:firstLine="0" w:firstLineChars="0"/>
              <w:rPr>
                <w:rFonts w:ascii="Times New Roman" w:hAnsi="Times New Roman" w:eastAsia="宋体" w:cs="Times New Roman"/>
                <w:color w:val="000000" w:themeColor="text1"/>
                <w:kern w:val="2"/>
                <w:sz w:val="21"/>
                <w:szCs w:val="21"/>
                <w:highlight w:val="none"/>
                <w:lang w:val="en-US" w:eastAsia="zh-CN" w:bidi="ar-SA"/>
              </w:rPr>
            </w:pPr>
            <w:r>
              <w:rPr>
                <w:rFonts w:hint="default" w:ascii="Times New Roman" w:hAnsi="Times New Roman" w:eastAsia="宋体" w:cs="Times New Roman"/>
                <w:color w:val="000000" w:themeColor="text1"/>
                <w:spacing w:val="0"/>
                <w:sz w:val="21"/>
                <w:szCs w:val="21"/>
                <w:highlight w:val="none"/>
              </w:rPr>
              <w:t>防撞护栏</w:t>
            </w:r>
            <w:r>
              <w:rPr>
                <w:rFonts w:hint="eastAsia" w:ascii="Times New Roman" w:hAnsi="Times New Roman" w:eastAsia="宋体" w:cs="Times New Roman"/>
                <w:color w:val="000000" w:themeColor="text1"/>
                <w:spacing w:val="0"/>
                <w:sz w:val="21"/>
                <w:szCs w:val="21"/>
                <w:highlight w:val="none"/>
                <w:lang w:val="en-US" w:eastAsia="zh-CN"/>
              </w:rPr>
              <w:t>和警示牌</w:t>
            </w:r>
          </w:p>
        </w:tc>
        <w:tc>
          <w:tcPr>
            <w:tcW w:w="8238" w:type="dxa"/>
            <w:tcBorders>
              <w:bottom w:val="single" w:color="auto" w:sz="4" w:space="0"/>
            </w:tcBorders>
            <w:shd w:val="clear" w:color="auto" w:fill="auto"/>
            <w:vAlign w:val="center"/>
          </w:tcPr>
          <w:p w14:paraId="04510E42">
            <w:pPr>
              <w:pStyle w:val="116"/>
              <w:pageBreakBefore w:val="0"/>
              <w:wordWrap/>
              <w:topLinePunct w:val="0"/>
              <w:bidi w:val="0"/>
              <w:spacing w:line="240" w:lineRule="auto"/>
              <w:ind w:firstLine="420" w:firstLineChars="0"/>
              <w:rPr>
                <w:rFonts w:ascii="Times New Roman" w:hAnsi="Times New Roman" w:eastAsia="宋体" w:cs="Times New Roman"/>
                <w:color w:val="000000" w:themeColor="text1"/>
                <w:kern w:val="2"/>
                <w:sz w:val="21"/>
                <w:szCs w:val="21"/>
                <w:highlight w:val="none"/>
                <w:lang w:val="en-US" w:eastAsia="zh-CN" w:bidi="ar-SA"/>
              </w:rPr>
            </w:pPr>
            <w:r>
              <w:rPr>
                <w:rFonts w:hint="eastAsia" w:cs="Times New Roman"/>
                <w:b w:val="0"/>
                <w:bCs w:val="0"/>
                <w:color w:val="000000" w:themeColor="text1"/>
                <w:sz w:val="21"/>
                <w:szCs w:val="21"/>
                <w:highlight w:val="none"/>
                <w:vertAlign w:val="baseline"/>
                <w:lang w:val="en-US" w:eastAsia="zh-CN"/>
              </w:rPr>
              <w:t>跨越水体的桥梁及跨越铁路桥梁采用钢筋混凝土防撞护栏（护栏高度不低于1.5m），防止车辆翻落；在跨河桥梁路段设置“减速行驶、安全驾驶”的警示牌</w:t>
            </w:r>
          </w:p>
        </w:tc>
        <w:tc>
          <w:tcPr>
            <w:tcW w:w="3055" w:type="dxa"/>
            <w:tcBorders>
              <w:bottom w:val="single" w:color="auto" w:sz="4" w:space="0"/>
            </w:tcBorders>
            <w:vAlign w:val="center"/>
          </w:tcPr>
          <w:p w14:paraId="409832EB">
            <w:pPr>
              <w:pageBreakBefore w:val="0"/>
              <w:wordWrap/>
              <w:topLinePunct w:val="0"/>
              <w:bidi w:val="0"/>
              <w:spacing w:line="240" w:lineRule="auto"/>
              <w:ind w:firstLine="0" w:firstLineChars="0"/>
              <w:jc w:val="center"/>
              <w:rPr>
                <w:color w:val="000000" w:themeColor="text1"/>
                <w:sz w:val="21"/>
                <w:szCs w:val="21"/>
                <w:highlight w:val="none"/>
              </w:rPr>
            </w:pPr>
            <w:r>
              <w:rPr>
                <w:rFonts w:hint="eastAsia"/>
                <w:color w:val="000000" w:themeColor="text1"/>
                <w:sz w:val="21"/>
                <w:szCs w:val="21"/>
                <w:highlight w:val="none"/>
              </w:rPr>
              <w:t>措施落实到位</w:t>
            </w:r>
          </w:p>
        </w:tc>
      </w:tr>
      <w:tr w14:paraId="62C76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continue"/>
            <w:vAlign w:val="center"/>
          </w:tcPr>
          <w:p w14:paraId="0959DE06">
            <w:pPr>
              <w:pStyle w:val="116"/>
              <w:pageBreakBefore w:val="0"/>
              <w:wordWrap/>
              <w:topLinePunct w:val="0"/>
              <w:bidi w:val="0"/>
              <w:spacing w:line="240" w:lineRule="auto"/>
              <w:jc w:val="both"/>
              <w:rPr>
                <w:snapToGrid w:val="0"/>
                <w:color w:val="000000" w:themeColor="text1"/>
                <w:sz w:val="21"/>
                <w:szCs w:val="21"/>
                <w:highlight w:val="none"/>
              </w:rPr>
            </w:pPr>
          </w:p>
        </w:tc>
        <w:tc>
          <w:tcPr>
            <w:tcW w:w="2373" w:type="dxa"/>
            <w:gridSpan w:val="2"/>
            <w:tcBorders>
              <w:top w:val="single" w:color="000000" w:sz="2" w:space="0"/>
            </w:tcBorders>
            <w:shd w:val="clear" w:color="auto" w:fill="auto"/>
            <w:vAlign w:val="center"/>
          </w:tcPr>
          <w:p w14:paraId="00D0A73A">
            <w:pPr>
              <w:pStyle w:val="116"/>
              <w:pageBreakBefore w:val="0"/>
              <w:wordWrap/>
              <w:topLinePunct w:val="0"/>
              <w:bidi w:val="0"/>
              <w:spacing w:line="240" w:lineRule="auto"/>
              <w:ind w:firstLine="0" w:firstLineChars="0"/>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风险应急预案</w:t>
            </w:r>
          </w:p>
        </w:tc>
        <w:tc>
          <w:tcPr>
            <w:tcW w:w="8238" w:type="dxa"/>
            <w:shd w:val="clear" w:color="auto" w:fill="auto"/>
            <w:vAlign w:val="center"/>
          </w:tcPr>
          <w:p w14:paraId="7BD72B41">
            <w:pPr>
              <w:pStyle w:val="116"/>
              <w:pageBreakBefore w:val="0"/>
              <w:wordWrap/>
              <w:topLinePunct w:val="0"/>
              <w:bidi w:val="0"/>
              <w:spacing w:line="240" w:lineRule="auto"/>
              <w:ind w:firstLine="420" w:firstLineChars="0"/>
              <w:rPr>
                <w:rFonts w:ascii="Times New Roman" w:hAnsi="Times New Roman" w:eastAsia="宋体" w:cs="Times New Roman"/>
                <w:color w:val="000000" w:themeColor="text1"/>
                <w:kern w:val="2"/>
                <w:sz w:val="21"/>
                <w:szCs w:val="21"/>
                <w:highlight w:val="none"/>
                <w:lang w:val="en-US" w:eastAsia="zh-CN" w:bidi="ar-SA"/>
              </w:rPr>
            </w:pPr>
            <w:r>
              <w:rPr>
                <w:color w:val="000000" w:themeColor="text1"/>
                <w:sz w:val="21"/>
                <w:szCs w:val="21"/>
                <w:highlight w:val="none"/>
              </w:rPr>
              <w:t>建设单位编制突发环境事件应急预案，并与管理部门建立应急联动机制</w:t>
            </w:r>
          </w:p>
        </w:tc>
        <w:tc>
          <w:tcPr>
            <w:tcW w:w="3055" w:type="dxa"/>
            <w:vAlign w:val="center"/>
          </w:tcPr>
          <w:p w14:paraId="5B48F5E4">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需满足风险要求</w:t>
            </w:r>
          </w:p>
        </w:tc>
      </w:tr>
      <w:tr w14:paraId="1B0AFD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restart"/>
            <w:vAlign w:val="center"/>
          </w:tcPr>
          <w:p w14:paraId="75CC3677">
            <w:pPr>
              <w:pStyle w:val="116"/>
              <w:pageBreakBefore w:val="0"/>
              <w:wordWrap/>
              <w:topLinePunct w:val="0"/>
              <w:bidi w:val="0"/>
              <w:spacing w:line="240" w:lineRule="auto"/>
              <w:jc w:val="center"/>
              <w:rPr>
                <w:rFonts w:hint="eastAsia" w:eastAsia="宋体"/>
                <w:snapToGrid w:val="0"/>
                <w:color w:val="000000" w:themeColor="text1"/>
                <w:sz w:val="21"/>
                <w:szCs w:val="21"/>
                <w:highlight w:val="none"/>
                <w:lang w:val="en-US" w:eastAsia="zh-CN"/>
              </w:rPr>
            </w:pPr>
            <w:r>
              <w:rPr>
                <w:snapToGrid w:val="0"/>
                <w:color w:val="000000" w:themeColor="text1"/>
                <w:sz w:val="21"/>
                <w:szCs w:val="21"/>
                <w:highlight w:val="none"/>
              </w:rPr>
              <w:t>生态</w:t>
            </w:r>
            <w:r>
              <w:rPr>
                <w:rFonts w:hint="eastAsia"/>
                <w:snapToGrid w:val="0"/>
                <w:color w:val="000000" w:themeColor="text1"/>
                <w:sz w:val="21"/>
                <w:szCs w:val="21"/>
                <w:highlight w:val="none"/>
                <w:lang w:val="en-US" w:eastAsia="zh-CN"/>
              </w:rPr>
              <w:t>环境</w:t>
            </w:r>
          </w:p>
        </w:tc>
        <w:tc>
          <w:tcPr>
            <w:tcW w:w="873" w:type="dxa"/>
            <w:vAlign w:val="center"/>
          </w:tcPr>
          <w:p w14:paraId="5D309BEF">
            <w:pPr>
              <w:pStyle w:val="116"/>
              <w:pageBreakBefore w:val="0"/>
              <w:wordWrap/>
              <w:topLinePunct w:val="0"/>
              <w:bidi w:val="0"/>
              <w:spacing w:line="240" w:lineRule="auto"/>
              <w:jc w:val="both"/>
              <w:rPr>
                <w:snapToGrid w:val="0"/>
                <w:color w:val="000000" w:themeColor="text1"/>
                <w:sz w:val="21"/>
                <w:szCs w:val="21"/>
                <w:highlight w:val="none"/>
              </w:rPr>
            </w:pPr>
            <w:r>
              <w:rPr>
                <w:snapToGrid w:val="0"/>
                <w:color w:val="000000" w:themeColor="text1"/>
                <w:sz w:val="21"/>
                <w:szCs w:val="21"/>
                <w:highlight w:val="none"/>
              </w:rPr>
              <w:t>临时占地</w:t>
            </w:r>
          </w:p>
        </w:tc>
        <w:tc>
          <w:tcPr>
            <w:tcW w:w="1500" w:type="dxa"/>
            <w:vAlign w:val="center"/>
          </w:tcPr>
          <w:p w14:paraId="37BF39C8">
            <w:pPr>
              <w:pageBreakBefore w:val="0"/>
              <w:wordWrap/>
              <w:topLinePunct w:val="0"/>
              <w:bidi w:val="0"/>
              <w:spacing w:line="240" w:lineRule="auto"/>
              <w:ind w:firstLine="0" w:firstLineChars="0"/>
              <w:jc w:val="center"/>
              <w:rPr>
                <w:snapToGrid w:val="0"/>
                <w:color w:val="000000" w:themeColor="text1"/>
                <w:sz w:val="21"/>
                <w:szCs w:val="21"/>
                <w:highlight w:val="none"/>
              </w:rPr>
            </w:pPr>
            <w:r>
              <w:rPr>
                <w:color w:val="000000" w:themeColor="text1"/>
                <w:sz w:val="21"/>
                <w:szCs w:val="21"/>
                <w:highlight w:val="none"/>
              </w:rPr>
              <w:t>植被恢复</w:t>
            </w:r>
          </w:p>
        </w:tc>
        <w:tc>
          <w:tcPr>
            <w:tcW w:w="8238" w:type="dxa"/>
            <w:vAlign w:val="center"/>
          </w:tcPr>
          <w:p w14:paraId="745BE16B">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color w:val="000000" w:themeColor="text1"/>
                <w:sz w:val="21"/>
                <w:szCs w:val="21"/>
                <w:highlight w:val="none"/>
                <w:lang w:val="en-US" w:eastAsia="zh-CN"/>
              </w:rPr>
              <w:t>按要求恢复</w:t>
            </w:r>
            <w:r>
              <w:rPr>
                <w:color w:val="000000" w:themeColor="text1"/>
                <w:sz w:val="21"/>
                <w:szCs w:val="21"/>
                <w:highlight w:val="none"/>
              </w:rPr>
              <w:t>；</w:t>
            </w:r>
          </w:p>
        </w:tc>
        <w:tc>
          <w:tcPr>
            <w:tcW w:w="3055" w:type="dxa"/>
            <w:vAlign w:val="center"/>
          </w:tcPr>
          <w:p w14:paraId="515E419C">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临时占地已恢复</w:t>
            </w:r>
          </w:p>
        </w:tc>
      </w:tr>
      <w:tr w14:paraId="0D2374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continue"/>
            <w:vAlign w:val="center"/>
          </w:tcPr>
          <w:p w14:paraId="62F76260">
            <w:pPr>
              <w:pStyle w:val="116"/>
              <w:pageBreakBefore w:val="0"/>
              <w:wordWrap/>
              <w:topLinePunct w:val="0"/>
              <w:bidi w:val="0"/>
              <w:spacing w:line="240" w:lineRule="auto"/>
              <w:jc w:val="both"/>
              <w:rPr>
                <w:snapToGrid w:val="0"/>
                <w:color w:val="000000" w:themeColor="text1"/>
                <w:sz w:val="21"/>
                <w:szCs w:val="21"/>
                <w:highlight w:val="none"/>
              </w:rPr>
            </w:pPr>
          </w:p>
        </w:tc>
        <w:tc>
          <w:tcPr>
            <w:tcW w:w="873" w:type="dxa"/>
            <w:vAlign w:val="center"/>
          </w:tcPr>
          <w:p w14:paraId="28699A57">
            <w:pPr>
              <w:pStyle w:val="116"/>
              <w:pageBreakBefore w:val="0"/>
              <w:wordWrap/>
              <w:topLinePunct w:val="0"/>
              <w:bidi w:val="0"/>
              <w:spacing w:line="240" w:lineRule="auto"/>
              <w:jc w:val="center"/>
              <w:rPr>
                <w:snapToGrid w:val="0"/>
                <w:color w:val="000000" w:themeColor="text1"/>
                <w:sz w:val="21"/>
                <w:szCs w:val="21"/>
                <w:highlight w:val="none"/>
              </w:rPr>
            </w:pPr>
            <w:r>
              <w:rPr>
                <w:snapToGrid w:val="0"/>
                <w:color w:val="000000" w:themeColor="text1"/>
                <w:sz w:val="21"/>
                <w:szCs w:val="21"/>
                <w:highlight w:val="none"/>
              </w:rPr>
              <w:t>公路绿化</w:t>
            </w:r>
          </w:p>
        </w:tc>
        <w:tc>
          <w:tcPr>
            <w:tcW w:w="1500" w:type="dxa"/>
            <w:vAlign w:val="center"/>
          </w:tcPr>
          <w:p w14:paraId="094F6440">
            <w:pPr>
              <w:pStyle w:val="116"/>
              <w:pageBreakBefore w:val="0"/>
              <w:wordWrap/>
              <w:topLinePunct w:val="0"/>
              <w:bidi w:val="0"/>
              <w:spacing w:line="240" w:lineRule="auto"/>
              <w:rPr>
                <w:color w:val="000000" w:themeColor="text1"/>
                <w:sz w:val="21"/>
                <w:szCs w:val="21"/>
                <w:highlight w:val="none"/>
              </w:rPr>
            </w:pPr>
            <w:r>
              <w:rPr>
                <w:color w:val="000000" w:themeColor="text1"/>
                <w:sz w:val="21"/>
                <w:szCs w:val="21"/>
                <w:highlight w:val="none"/>
              </w:rPr>
              <w:t>绿化</w:t>
            </w:r>
          </w:p>
        </w:tc>
        <w:tc>
          <w:tcPr>
            <w:tcW w:w="8238" w:type="dxa"/>
            <w:vAlign w:val="center"/>
          </w:tcPr>
          <w:p w14:paraId="3AC9424F">
            <w:pPr>
              <w:pStyle w:val="116"/>
              <w:pageBreakBefore w:val="0"/>
              <w:wordWrap/>
              <w:topLinePunct w:val="0"/>
              <w:bidi w:val="0"/>
              <w:spacing w:line="240" w:lineRule="auto"/>
              <w:ind w:firstLine="420"/>
              <w:rPr>
                <w:color w:val="000000" w:themeColor="text1"/>
                <w:sz w:val="21"/>
                <w:szCs w:val="21"/>
                <w:highlight w:val="none"/>
              </w:rPr>
            </w:pPr>
            <w:r>
              <w:rPr>
                <w:color w:val="000000" w:themeColor="text1"/>
                <w:sz w:val="21"/>
                <w:szCs w:val="21"/>
                <w:highlight w:val="none"/>
              </w:rPr>
              <w:t>本项目主线设置路基边坡植物防护</w:t>
            </w:r>
            <w:r>
              <w:rPr>
                <w:rFonts w:hint="eastAsia"/>
                <w:color w:val="000000" w:themeColor="text1"/>
                <w:sz w:val="21"/>
                <w:szCs w:val="21"/>
                <w:highlight w:val="none"/>
              </w:rPr>
              <w:t>，种植早熟禾苗</w:t>
            </w:r>
          </w:p>
        </w:tc>
        <w:tc>
          <w:tcPr>
            <w:tcW w:w="3055" w:type="dxa"/>
            <w:vAlign w:val="center"/>
          </w:tcPr>
          <w:p w14:paraId="1B915093">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绿化环境</w:t>
            </w:r>
          </w:p>
        </w:tc>
      </w:tr>
      <w:tr w14:paraId="5CFE07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Merge w:val="continue"/>
            <w:vAlign w:val="center"/>
          </w:tcPr>
          <w:p w14:paraId="02D2CBF2">
            <w:pPr>
              <w:pStyle w:val="116"/>
              <w:pageBreakBefore w:val="0"/>
              <w:wordWrap/>
              <w:topLinePunct w:val="0"/>
              <w:bidi w:val="0"/>
              <w:spacing w:line="240" w:lineRule="auto"/>
              <w:jc w:val="both"/>
              <w:rPr>
                <w:snapToGrid w:val="0"/>
                <w:color w:val="000000" w:themeColor="text1"/>
                <w:sz w:val="21"/>
                <w:szCs w:val="21"/>
                <w:highlight w:val="none"/>
              </w:rPr>
            </w:pPr>
          </w:p>
        </w:tc>
        <w:tc>
          <w:tcPr>
            <w:tcW w:w="873" w:type="dxa"/>
            <w:vAlign w:val="center"/>
          </w:tcPr>
          <w:p w14:paraId="299DDA4A">
            <w:pPr>
              <w:pStyle w:val="116"/>
              <w:pageBreakBefore w:val="0"/>
              <w:wordWrap/>
              <w:topLinePunct w:val="0"/>
              <w:bidi w:val="0"/>
              <w:spacing w:line="240" w:lineRule="auto"/>
              <w:jc w:val="center"/>
              <w:rPr>
                <w:snapToGrid w:val="0"/>
                <w:color w:val="000000" w:themeColor="text1"/>
                <w:sz w:val="21"/>
                <w:szCs w:val="21"/>
                <w:highlight w:val="none"/>
              </w:rPr>
            </w:pPr>
            <w:r>
              <w:rPr>
                <w:snapToGrid w:val="0"/>
                <w:color w:val="000000" w:themeColor="text1"/>
                <w:sz w:val="21"/>
                <w:szCs w:val="21"/>
                <w:highlight w:val="none"/>
              </w:rPr>
              <w:t>公路</w:t>
            </w:r>
            <w:r>
              <w:rPr>
                <w:rFonts w:hint="eastAsia"/>
                <w:snapToGrid w:val="0"/>
                <w:color w:val="000000" w:themeColor="text1"/>
                <w:sz w:val="21"/>
                <w:szCs w:val="21"/>
                <w:highlight w:val="none"/>
              </w:rPr>
              <w:t>水土保持</w:t>
            </w:r>
          </w:p>
        </w:tc>
        <w:tc>
          <w:tcPr>
            <w:tcW w:w="1500" w:type="dxa"/>
            <w:vAlign w:val="center"/>
          </w:tcPr>
          <w:p w14:paraId="74918F66">
            <w:pPr>
              <w:pStyle w:val="116"/>
              <w:pageBreakBefore w:val="0"/>
              <w:wordWrap/>
              <w:topLinePunct w:val="0"/>
              <w:bidi w:val="0"/>
              <w:spacing w:line="240" w:lineRule="auto"/>
              <w:rPr>
                <w:color w:val="000000" w:themeColor="text1"/>
                <w:sz w:val="21"/>
                <w:szCs w:val="21"/>
                <w:highlight w:val="none"/>
              </w:rPr>
            </w:pPr>
            <w:r>
              <w:rPr>
                <w:rFonts w:hint="eastAsia"/>
                <w:color w:val="000000" w:themeColor="text1"/>
                <w:sz w:val="21"/>
                <w:szCs w:val="21"/>
                <w:highlight w:val="none"/>
              </w:rPr>
              <w:t>水土保持措施</w:t>
            </w:r>
          </w:p>
        </w:tc>
        <w:tc>
          <w:tcPr>
            <w:tcW w:w="8238" w:type="dxa"/>
            <w:vAlign w:val="center"/>
          </w:tcPr>
          <w:p w14:paraId="03B9926B">
            <w:pPr>
              <w:pStyle w:val="116"/>
              <w:pageBreakBefore w:val="0"/>
              <w:wordWrap/>
              <w:topLinePunct w:val="0"/>
              <w:bidi w:val="0"/>
              <w:spacing w:line="240" w:lineRule="auto"/>
              <w:ind w:firstLine="420"/>
              <w:rPr>
                <w:color w:val="000000" w:themeColor="text1"/>
                <w:sz w:val="21"/>
                <w:szCs w:val="21"/>
                <w:highlight w:val="none"/>
              </w:rPr>
            </w:pPr>
            <w:r>
              <w:rPr>
                <w:rFonts w:hint="eastAsia"/>
                <w:color w:val="000000" w:themeColor="text1"/>
                <w:sz w:val="21"/>
                <w:szCs w:val="21"/>
                <w:highlight w:val="none"/>
              </w:rPr>
              <w:t>公路永久占及临时占地范围内水土保持措施</w:t>
            </w:r>
          </w:p>
        </w:tc>
        <w:tc>
          <w:tcPr>
            <w:tcW w:w="3055" w:type="dxa"/>
            <w:vAlign w:val="center"/>
          </w:tcPr>
          <w:p w14:paraId="204284B1">
            <w:pPr>
              <w:pageBreakBefore w:val="0"/>
              <w:wordWrap/>
              <w:topLinePunct w:val="0"/>
              <w:bidi w:val="0"/>
              <w:spacing w:line="240" w:lineRule="auto"/>
              <w:ind w:firstLine="0" w:firstLineChars="0"/>
              <w:jc w:val="center"/>
              <w:rPr>
                <w:snapToGrid w:val="0"/>
                <w:color w:val="000000" w:themeColor="text1"/>
                <w:sz w:val="21"/>
                <w:szCs w:val="21"/>
                <w:highlight w:val="none"/>
              </w:rPr>
            </w:pPr>
            <w:r>
              <w:rPr>
                <w:snapToGrid w:val="0"/>
                <w:color w:val="000000" w:themeColor="text1"/>
                <w:sz w:val="21"/>
                <w:szCs w:val="21"/>
                <w:highlight w:val="none"/>
              </w:rPr>
              <w:t>水土保持措施已落实</w:t>
            </w:r>
          </w:p>
        </w:tc>
      </w:tr>
      <w:tr w14:paraId="386C1E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33" w:type="dxa"/>
            <w:vAlign w:val="center"/>
          </w:tcPr>
          <w:p w14:paraId="00357D02">
            <w:pPr>
              <w:pStyle w:val="116"/>
              <w:pageBreakBefore w:val="0"/>
              <w:wordWrap/>
              <w:topLinePunct w:val="0"/>
              <w:bidi w:val="0"/>
              <w:spacing w:line="240" w:lineRule="auto"/>
              <w:jc w:val="center"/>
              <w:rPr>
                <w:snapToGrid w:val="0"/>
                <w:color w:val="000000" w:themeColor="text1"/>
                <w:sz w:val="21"/>
                <w:szCs w:val="21"/>
                <w:highlight w:val="none"/>
              </w:rPr>
            </w:pPr>
            <w:r>
              <w:rPr>
                <w:snapToGrid w:val="0"/>
                <w:color w:val="000000" w:themeColor="text1"/>
                <w:kern w:val="0"/>
                <w:sz w:val="21"/>
                <w:szCs w:val="21"/>
                <w:highlight w:val="none"/>
              </w:rPr>
              <w:t>管理</w:t>
            </w:r>
          </w:p>
        </w:tc>
        <w:tc>
          <w:tcPr>
            <w:tcW w:w="10611" w:type="dxa"/>
            <w:gridSpan w:val="3"/>
            <w:vAlign w:val="center"/>
          </w:tcPr>
          <w:p w14:paraId="73AF8D33">
            <w:pPr>
              <w:pStyle w:val="116"/>
              <w:pageBreakBefore w:val="0"/>
              <w:wordWrap/>
              <w:topLinePunct w:val="0"/>
              <w:bidi w:val="0"/>
              <w:spacing w:line="240" w:lineRule="auto"/>
              <w:ind w:firstLine="420"/>
              <w:rPr>
                <w:rFonts w:hint="eastAsia"/>
                <w:color w:val="000000" w:themeColor="text1"/>
                <w:sz w:val="21"/>
                <w:szCs w:val="21"/>
                <w:highlight w:val="none"/>
              </w:rPr>
            </w:pPr>
            <w:r>
              <w:rPr>
                <w:snapToGrid w:val="0"/>
                <w:color w:val="000000" w:themeColor="text1"/>
                <w:kern w:val="0"/>
                <w:sz w:val="21"/>
                <w:szCs w:val="21"/>
                <w:highlight w:val="none"/>
              </w:rPr>
              <w:t>要求进行环境监理，同时要求项目建设单位对施工期采取的污染物防治措施进行拍照留档</w:t>
            </w:r>
          </w:p>
        </w:tc>
        <w:tc>
          <w:tcPr>
            <w:tcW w:w="3055" w:type="dxa"/>
            <w:vAlign w:val="center"/>
          </w:tcPr>
          <w:p w14:paraId="66576DE9">
            <w:pPr>
              <w:pageBreakBefore w:val="0"/>
              <w:wordWrap/>
              <w:topLinePunct w:val="0"/>
              <w:bidi w:val="0"/>
              <w:spacing w:line="240" w:lineRule="auto"/>
              <w:ind w:firstLine="0" w:firstLineChars="0"/>
              <w:jc w:val="center"/>
              <w:rPr>
                <w:snapToGrid w:val="0"/>
                <w:color w:val="000000" w:themeColor="text1"/>
                <w:sz w:val="21"/>
                <w:szCs w:val="21"/>
                <w:highlight w:val="none"/>
              </w:rPr>
            </w:pPr>
            <w:r>
              <w:rPr>
                <w:rFonts w:hint="eastAsia"/>
                <w:snapToGrid w:val="0"/>
                <w:color w:val="000000" w:themeColor="text1"/>
                <w:kern w:val="0"/>
                <w:sz w:val="21"/>
                <w:szCs w:val="21"/>
                <w:highlight w:val="none"/>
                <w:lang w:val="en-US" w:eastAsia="zh-CN"/>
              </w:rPr>
              <w:t>进行</w:t>
            </w:r>
            <w:r>
              <w:rPr>
                <w:snapToGrid w:val="0"/>
                <w:color w:val="000000" w:themeColor="text1"/>
                <w:kern w:val="0"/>
                <w:sz w:val="21"/>
                <w:szCs w:val="21"/>
                <w:highlight w:val="none"/>
              </w:rPr>
              <w:t>环境监理</w:t>
            </w:r>
          </w:p>
        </w:tc>
      </w:tr>
    </w:tbl>
    <w:p w14:paraId="2DD575CF">
      <w:pPr>
        <w:pageBreakBefore w:val="0"/>
        <w:wordWrap/>
        <w:topLinePunct w:val="0"/>
        <w:bidi w:val="0"/>
        <w:spacing w:line="360" w:lineRule="auto"/>
        <w:rPr>
          <w:color w:val="000000" w:themeColor="text1"/>
          <w:highlight w:val="none"/>
        </w:rPr>
        <w:sectPr>
          <w:pgSz w:w="16838" w:h="11906" w:orient="landscape"/>
          <w:pgMar w:top="1797" w:right="1440" w:bottom="1797" w:left="1440" w:header="1021" w:footer="1021" w:gutter="0"/>
          <w:pgBorders>
            <w:top w:val="none" w:sz="0" w:space="0"/>
            <w:left w:val="none" w:sz="0" w:space="0"/>
            <w:bottom w:val="none" w:sz="0" w:space="0"/>
            <w:right w:val="none" w:sz="0" w:space="0"/>
          </w:pgBorders>
          <w:pgNumType w:fmt="decimal"/>
          <w:cols w:space="720" w:num="1"/>
          <w:docGrid w:linePitch="312" w:charSpace="0"/>
        </w:sectPr>
      </w:pPr>
    </w:p>
    <w:p w14:paraId="6051D764">
      <w:pPr>
        <w:pStyle w:val="42"/>
        <w:pageBreakBefore w:val="0"/>
        <w:wordWrap/>
        <w:topLinePunct w:val="0"/>
        <w:bidi w:val="0"/>
        <w:spacing w:line="360" w:lineRule="auto"/>
        <w:rPr>
          <w:rFonts w:ascii="Times New Roman" w:eastAsia="宋体"/>
          <w:color w:val="000000" w:themeColor="text1"/>
          <w:szCs w:val="32"/>
          <w:highlight w:val="none"/>
        </w:rPr>
      </w:pPr>
    </w:p>
    <w:p w14:paraId="4D50364E">
      <w:pPr>
        <w:pStyle w:val="2"/>
        <w:pageBreakBefore w:val="0"/>
        <w:numPr>
          <w:ilvl w:val="0"/>
          <w:numId w:val="1"/>
        </w:numPr>
        <w:wordWrap/>
        <w:topLinePunct w:val="0"/>
        <w:bidi w:val="0"/>
        <w:spacing w:line="360" w:lineRule="auto"/>
        <w:rPr>
          <w:color w:val="000000" w:themeColor="text1"/>
          <w:highlight w:val="none"/>
        </w:rPr>
        <w:sectPr>
          <w:type w:val="continuous"/>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linePitch="312" w:charSpace="0"/>
        </w:sectPr>
      </w:pPr>
    </w:p>
    <w:p w14:paraId="4BC8A8BC">
      <w:pPr>
        <w:pStyle w:val="2"/>
        <w:pageBreakBefore w:val="0"/>
        <w:wordWrap/>
        <w:topLinePunct w:val="0"/>
        <w:bidi w:val="0"/>
        <w:spacing w:line="360" w:lineRule="auto"/>
        <w:ind w:left="431" w:hanging="431"/>
        <w:jc w:val="center"/>
        <w:rPr>
          <w:color w:val="000000" w:themeColor="text1"/>
          <w:highlight w:val="none"/>
        </w:rPr>
      </w:pPr>
      <w:bookmarkStart w:id="579" w:name="_Toc24597"/>
      <w:r>
        <w:rPr>
          <w:rFonts w:hint="eastAsia"/>
          <w:color w:val="000000" w:themeColor="text1"/>
          <w:highlight w:val="none"/>
        </w:rPr>
        <w:t>1</w:t>
      </w:r>
      <w:r>
        <w:rPr>
          <w:rFonts w:hint="eastAsia"/>
          <w:color w:val="000000" w:themeColor="text1"/>
          <w:highlight w:val="none"/>
          <w:lang w:val="en-US" w:eastAsia="zh-CN"/>
        </w:rPr>
        <w:t>0</w:t>
      </w:r>
      <w:r>
        <w:rPr>
          <w:rFonts w:hint="eastAsia"/>
          <w:color w:val="000000" w:themeColor="text1"/>
          <w:highlight w:val="none"/>
        </w:rPr>
        <w:t xml:space="preserve"> </w:t>
      </w:r>
      <w:r>
        <w:rPr>
          <w:color w:val="000000" w:themeColor="text1"/>
          <w:highlight w:val="none"/>
        </w:rPr>
        <w:t>评价结论</w:t>
      </w:r>
      <w:bookmarkEnd w:id="579"/>
    </w:p>
    <w:p w14:paraId="19ADA0DA">
      <w:pPr>
        <w:pStyle w:val="3"/>
        <w:pageBreakBefore w:val="0"/>
        <w:wordWrap/>
        <w:topLinePunct w:val="0"/>
        <w:bidi w:val="0"/>
        <w:spacing w:line="360" w:lineRule="auto"/>
        <w:rPr>
          <w:color w:val="000000" w:themeColor="text1"/>
          <w:highlight w:val="none"/>
        </w:rPr>
      </w:pPr>
      <w:bookmarkStart w:id="580" w:name="_Toc14308"/>
      <w:bookmarkStart w:id="581" w:name="_Toc5644"/>
      <w:bookmarkStart w:id="582" w:name="_Toc29955"/>
      <w:bookmarkStart w:id="583" w:name="_Toc28496"/>
      <w:bookmarkStart w:id="584" w:name="_Toc1687"/>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.1工程概况</w:t>
      </w:r>
      <w:bookmarkEnd w:id="580"/>
      <w:bookmarkEnd w:id="581"/>
      <w:bookmarkEnd w:id="582"/>
      <w:bookmarkEnd w:id="583"/>
      <w:bookmarkEnd w:id="584"/>
    </w:p>
    <w:p w14:paraId="754B8B73">
      <w:pPr>
        <w:pageBreakBefore w:val="0"/>
        <w:wordWrap/>
        <w:topLinePunct w:val="0"/>
        <w:bidi w:val="0"/>
        <w:spacing w:line="360" w:lineRule="auto"/>
        <w:rPr>
          <w:color w:val="000000" w:themeColor="text1"/>
          <w:highlight w:val="none"/>
        </w:rPr>
      </w:pPr>
      <w:r>
        <w:rPr>
          <w:color w:val="000000" w:themeColor="text1"/>
          <w:highlight w:val="none"/>
        </w:rPr>
        <w:t>本项</w:t>
      </w:r>
      <w:r>
        <w:rPr>
          <w:rFonts w:hint="eastAsia"/>
          <w:color w:val="000000" w:themeColor="text1"/>
          <w:highlight w:val="none"/>
        </w:rPr>
        <w:t>目</w:t>
      </w:r>
      <w:r>
        <w:rPr>
          <w:rFonts w:hint="eastAsia"/>
          <w:color w:val="000000" w:themeColor="text1"/>
          <w:highlight w:val="none"/>
          <w:lang w:val="en-US" w:eastAsia="zh-CN"/>
        </w:rPr>
        <w:t>为</w:t>
      </w:r>
      <w:r>
        <w:rPr>
          <w:rFonts w:hint="eastAsia" w:ascii="Times New Roman" w:hAnsi="宋体"/>
          <w:color w:val="000000" w:themeColor="text1"/>
          <w:sz w:val="24"/>
          <w:szCs w:val="24"/>
          <w:highlight w:val="none"/>
          <w:lang w:val="en-US" w:eastAsia="zh-CN"/>
        </w:rPr>
        <w:t>新建机场</w:t>
      </w:r>
      <w:r>
        <w:rPr>
          <w:rFonts w:hint="eastAsia" w:ascii="Times New Roman" w:hAnsi="Times New Roman" w:eastAsia="宋体"/>
          <w:snapToGrid/>
          <w:color w:val="000000" w:themeColor="text1"/>
          <w:spacing w:val="0"/>
          <w:kern w:val="2"/>
          <w:highlight w:val="none"/>
        </w:rPr>
        <w:t>进场路</w:t>
      </w:r>
      <w:r>
        <w:rPr>
          <w:rFonts w:hint="eastAsia"/>
          <w:color w:val="000000" w:themeColor="text1"/>
          <w:highlight w:val="none"/>
          <w:lang w:val="en-US" w:eastAsia="zh-CN"/>
        </w:rPr>
        <w:t>道路长度约6.541km，其中新建机场</w:t>
      </w:r>
      <w:r>
        <w:rPr>
          <w:rFonts w:hint="eastAsia" w:ascii="Times New Roman" w:hAnsi="Times New Roman" w:eastAsia="宋体"/>
          <w:snapToGrid/>
          <w:color w:val="000000" w:themeColor="text1"/>
          <w:spacing w:val="0"/>
          <w:kern w:val="2"/>
          <w:highlight w:val="none"/>
        </w:rPr>
        <w:t>进场路</w:t>
      </w:r>
      <w:r>
        <w:rPr>
          <w:rFonts w:hint="eastAsia"/>
          <w:color w:val="000000" w:themeColor="text1"/>
          <w:highlight w:val="none"/>
          <w:lang w:val="en-US" w:eastAsia="zh-CN"/>
        </w:rPr>
        <w:t>主线长度6.323km，新建连接线0.218km，为二级公路标准。</w:t>
      </w:r>
    </w:p>
    <w:p w14:paraId="28CABA3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本项目起点位于G332国道鹤名公路（桩号K87+167）与现状土路交口处，沿现有土路路线向北布线至K2+523.5与现状路北一支渠相交，新建一座跨沟渠桥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2×13m矮T梁桥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，过河后至K3+768路线与鹤北铁路相交，新建一座跨铁路大桥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7×30m小箱梁桥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，过铁路后向北行进至K3+971与朝鲜河相交，新建一座跨朝鲜河桥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3×20m小箱梁桥</w:t>
      </w:r>
      <w:r>
        <w:rPr>
          <w:rFonts w:hint="eastAsia" w:ascii="Times New Roman" w:hAnsi="宋体"/>
          <w:color w:val="000000" w:themeColor="text1"/>
          <w:sz w:val="24"/>
          <w:szCs w:val="24"/>
          <w:highlight w:val="none"/>
          <w:lang w:val="en-US" w:eastAsia="zh-CN"/>
        </w:rPr>
        <w:t>）</w:t>
      </w:r>
      <w:r>
        <w:rPr>
          <w:rFonts w:hint="eastAsia"/>
          <w:color w:val="000000" w:themeColor="text1"/>
          <w:highlight w:val="none"/>
          <w:lang w:val="en-US" w:eastAsia="zh-CN"/>
        </w:rPr>
        <w:t>，终点接至机场主入口，路线全长6.323km。</w:t>
      </w:r>
    </w:p>
    <w:p w14:paraId="3A1F2F22">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设置连接线一条，起点位于进场路K6+220.802处，终点与机场规划消防建筑场坪入口相接，全长0.218km。</w:t>
      </w:r>
    </w:p>
    <w:p w14:paraId="1659123F">
      <w:pPr>
        <w:pageBreakBefore w:val="0"/>
        <w:wordWrap/>
        <w:topLinePunct w:val="0"/>
        <w:bidi w:val="0"/>
        <w:spacing w:line="360" w:lineRule="auto"/>
        <w:rPr>
          <w:color w:val="000000" w:themeColor="text1"/>
          <w:highlight w:val="none"/>
        </w:rPr>
      </w:pPr>
      <w:r>
        <w:rPr>
          <w:color w:val="000000" w:themeColor="text1"/>
          <w:highlight w:val="none"/>
        </w:rPr>
        <w:t>本项目总投资</w:t>
      </w:r>
      <w:r>
        <w:rPr>
          <w:rFonts w:hint="eastAsia"/>
          <w:color w:val="000000" w:themeColor="text1"/>
          <w:highlight w:val="none"/>
          <w:lang w:val="en-US" w:eastAsia="zh-CN"/>
        </w:rPr>
        <w:t>12509.47</w:t>
      </w:r>
      <w:r>
        <w:rPr>
          <w:rFonts w:hint="eastAsia"/>
          <w:color w:val="000000" w:themeColor="text1"/>
          <w:highlight w:val="none"/>
        </w:rPr>
        <w:t>万</w:t>
      </w:r>
      <w:r>
        <w:rPr>
          <w:color w:val="000000" w:themeColor="text1"/>
          <w:highlight w:val="none"/>
        </w:rPr>
        <w:t>元，建设期为20</w:t>
      </w:r>
      <w:r>
        <w:rPr>
          <w:rFonts w:hint="eastAsia"/>
          <w:color w:val="000000" w:themeColor="text1"/>
          <w:highlight w:val="none"/>
        </w:rPr>
        <w:t>2</w:t>
      </w:r>
      <w:r>
        <w:rPr>
          <w:rFonts w:hint="eastAsia"/>
          <w:color w:val="000000" w:themeColor="text1"/>
          <w:highlight w:val="none"/>
          <w:lang w:val="en-US" w:eastAsia="zh-CN"/>
        </w:rPr>
        <w:t>5</w:t>
      </w:r>
      <w:r>
        <w:rPr>
          <w:color w:val="000000" w:themeColor="text1"/>
          <w:highlight w:val="none"/>
        </w:rPr>
        <w:t>年</w:t>
      </w:r>
      <w:r>
        <w:rPr>
          <w:rFonts w:hint="eastAsia"/>
          <w:color w:val="000000" w:themeColor="text1"/>
          <w:highlight w:val="none"/>
          <w:lang w:val="en-US" w:eastAsia="zh-CN"/>
        </w:rPr>
        <w:t>11</w:t>
      </w:r>
      <w:r>
        <w:rPr>
          <w:color w:val="000000" w:themeColor="text1"/>
          <w:highlight w:val="none"/>
        </w:rPr>
        <w:t>月至202</w:t>
      </w:r>
      <w:r>
        <w:rPr>
          <w:rFonts w:hint="eastAsia"/>
          <w:color w:val="000000" w:themeColor="text1"/>
          <w:highlight w:val="none"/>
          <w:lang w:val="en-US" w:eastAsia="zh-CN"/>
        </w:rPr>
        <w:t>6</w:t>
      </w:r>
      <w:r>
        <w:rPr>
          <w:color w:val="000000" w:themeColor="text1"/>
          <w:highlight w:val="none"/>
        </w:rPr>
        <w:t>年</w:t>
      </w:r>
      <w:r>
        <w:rPr>
          <w:rFonts w:hint="eastAsia"/>
          <w:color w:val="000000" w:themeColor="text1"/>
          <w:highlight w:val="none"/>
          <w:lang w:val="en-US" w:eastAsia="zh-CN"/>
        </w:rPr>
        <w:t>10</w:t>
      </w:r>
      <w:r>
        <w:rPr>
          <w:color w:val="000000" w:themeColor="text1"/>
          <w:highlight w:val="none"/>
        </w:rPr>
        <w:t>月，工期</w:t>
      </w:r>
      <w:r>
        <w:rPr>
          <w:rFonts w:hint="eastAsia"/>
          <w:color w:val="000000" w:themeColor="text1"/>
          <w:highlight w:val="none"/>
          <w:lang w:val="en-US" w:eastAsia="zh-CN"/>
        </w:rPr>
        <w:t>1</w:t>
      </w:r>
      <w:r>
        <w:rPr>
          <w:color w:val="000000" w:themeColor="text1"/>
          <w:highlight w:val="none"/>
        </w:rPr>
        <w:t>年。</w:t>
      </w:r>
    </w:p>
    <w:p w14:paraId="30A53829">
      <w:pPr>
        <w:pStyle w:val="3"/>
        <w:pageBreakBefore w:val="0"/>
        <w:wordWrap/>
        <w:topLinePunct w:val="0"/>
        <w:bidi w:val="0"/>
        <w:spacing w:line="360" w:lineRule="auto"/>
        <w:rPr>
          <w:color w:val="000000" w:themeColor="text1"/>
          <w:highlight w:val="none"/>
        </w:rPr>
      </w:pPr>
      <w:bookmarkStart w:id="585" w:name="_Toc6904"/>
      <w:bookmarkStart w:id="586" w:name="_Toc16030"/>
      <w:bookmarkStart w:id="587" w:name="_Toc5542"/>
      <w:bookmarkStart w:id="588" w:name="_Toc25313"/>
      <w:bookmarkStart w:id="589" w:name="_Toc5031"/>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.2产业政策</w:t>
      </w:r>
      <w:bookmarkEnd w:id="585"/>
      <w:bookmarkEnd w:id="586"/>
      <w:bookmarkEnd w:id="587"/>
      <w:bookmarkEnd w:id="588"/>
      <w:bookmarkEnd w:id="589"/>
    </w:p>
    <w:p w14:paraId="51BEB290">
      <w:pPr>
        <w:pageBreakBefore w:val="0"/>
        <w:wordWrap/>
        <w:topLinePunct w:val="0"/>
        <w:bidi w:val="0"/>
        <w:spacing w:line="360" w:lineRule="auto"/>
        <w:rPr>
          <w:color w:val="000000" w:themeColor="text1"/>
          <w:highlight w:val="none"/>
        </w:rPr>
      </w:pPr>
      <w:bookmarkStart w:id="590" w:name="_Toc16055"/>
      <w:bookmarkStart w:id="591" w:name="_Toc17370"/>
      <w:bookmarkStart w:id="592" w:name="_Toc21948"/>
      <w:bookmarkStart w:id="593" w:name="_Toc10264"/>
      <w:bookmarkStart w:id="594" w:name="_Toc19722"/>
      <w:r>
        <w:rPr>
          <w:rFonts w:hint="eastAsia"/>
          <w:color w:val="000000" w:themeColor="text1"/>
          <w:highlight w:val="none"/>
        </w:rPr>
        <w:t>本项目属于《产业结构调整指导目录（</w:t>
      </w:r>
      <w:r>
        <w:rPr>
          <w:rFonts w:hint="eastAsia"/>
          <w:color w:val="000000" w:themeColor="text1"/>
          <w:highlight w:val="none"/>
          <w:lang w:val="en-US" w:eastAsia="zh-CN"/>
        </w:rPr>
        <w:t>2024</w:t>
      </w:r>
      <w:r>
        <w:rPr>
          <w:rFonts w:hint="eastAsia"/>
          <w:color w:val="000000" w:themeColor="text1"/>
          <w:highlight w:val="none"/>
        </w:rPr>
        <w:t>年）》中“二十四、公路及道路运输</w:t>
      </w:r>
      <w:r>
        <w:rPr>
          <w:rFonts w:hint="eastAsia"/>
          <w:color w:val="000000" w:themeColor="text1"/>
          <w:highlight w:val="none"/>
          <w:lang w:val="en-US" w:eastAsia="zh-CN"/>
        </w:rPr>
        <w:t>-</w:t>
      </w:r>
      <w:r>
        <w:rPr>
          <w:rFonts w:hint="eastAsia"/>
          <w:color w:val="000000" w:themeColor="text1"/>
          <w:highlight w:val="none"/>
        </w:rPr>
        <w:t>1．公路交通网络建设”</w:t>
      </w:r>
      <w:r>
        <w:rPr>
          <w:rFonts w:hint="eastAsia"/>
          <w:color w:val="000000" w:themeColor="text1"/>
          <w:highlight w:val="none"/>
          <w:lang w:val="en-US" w:eastAsia="zh-CN"/>
        </w:rPr>
        <w:t>和</w:t>
      </w:r>
      <w:r>
        <w:rPr>
          <w:rFonts w:hint="eastAsia"/>
          <w:color w:val="000000" w:themeColor="text1"/>
          <w:highlight w:val="none"/>
          <w:lang w:eastAsia="zh-CN"/>
        </w:rPr>
        <w:t>“</w:t>
      </w:r>
      <w:r>
        <w:rPr>
          <w:rFonts w:hint="eastAsia"/>
          <w:color w:val="000000" w:themeColor="text1"/>
          <w:highlight w:val="none"/>
          <w:lang w:val="en-US" w:eastAsia="zh-CN"/>
        </w:rPr>
        <w:t>二十六、航空运输</w:t>
      </w:r>
      <w:r>
        <w:rPr>
          <w:rFonts w:hint="eastAsia"/>
          <w:color w:val="000000" w:themeColor="text1"/>
          <w:highlight w:val="none"/>
        </w:rPr>
        <w:t>-1、</w:t>
      </w:r>
      <w:r>
        <w:rPr>
          <w:rFonts w:hint="eastAsia"/>
          <w:color w:val="000000" w:themeColor="text1"/>
          <w:highlight w:val="none"/>
          <w:lang w:val="en-US" w:eastAsia="zh-CN"/>
        </w:rPr>
        <w:t>机场及配套设施建设与运营</w:t>
      </w:r>
      <w:r>
        <w:rPr>
          <w:rFonts w:hint="eastAsia"/>
          <w:color w:val="000000" w:themeColor="text1"/>
          <w:highlight w:val="none"/>
          <w:lang w:eastAsia="zh-CN"/>
        </w:rPr>
        <w:t>”</w:t>
      </w:r>
      <w:r>
        <w:rPr>
          <w:rFonts w:hint="eastAsia"/>
          <w:color w:val="000000" w:themeColor="text1"/>
          <w:highlight w:val="none"/>
        </w:rPr>
        <w:t>，是国家鼓励类项目，符合国家产业政策。</w:t>
      </w:r>
    </w:p>
    <w:p w14:paraId="55DE02A0">
      <w:pPr>
        <w:pStyle w:val="3"/>
        <w:pageBreakBefore w:val="0"/>
        <w:wordWrap/>
        <w:topLinePunct w:val="0"/>
        <w:bidi w:val="0"/>
        <w:spacing w:line="360" w:lineRule="auto"/>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.3环境质量现状</w:t>
      </w:r>
      <w:bookmarkEnd w:id="590"/>
      <w:bookmarkEnd w:id="591"/>
      <w:bookmarkEnd w:id="592"/>
      <w:bookmarkEnd w:id="593"/>
      <w:bookmarkEnd w:id="594"/>
    </w:p>
    <w:p w14:paraId="675BBE1A">
      <w:pPr>
        <w:pStyle w:val="4"/>
        <w:pageBreakBefore w:val="0"/>
        <w:wordWrap/>
        <w:topLinePunct w:val="0"/>
        <w:bidi w:val="0"/>
        <w:spacing w:beforeLines="0" w:line="360" w:lineRule="auto"/>
        <w:ind w:left="851" w:hanging="851"/>
        <w:rPr>
          <w:color w:val="000000" w:themeColor="text1"/>
          <w:highlight w:val="none"/>
        </w:rPr>
      </w:pPr>
      <w:bookmarkStart w:id="595" w:name="_Toc26565"/>
      <w:bookmarkStart w:id="596" w:name="_Toc4525"/>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.3.1生态环境</w:t>
      </w:r>
      <w:bookmarkEnd w:id="595"/>
      <w:bookmarkEnd w:id="596"/>
    </w:p>
    <w:p w14:paraId="36D320D0">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受农田开垦及人类经济活动影响，</w:t>
      </w:r>
      <w:r>
        <w:rPr>
          <w:rFonts w:hint="eastAsia"/>
          <w:color w:val="000000" w:themeColor="text1"/>
          <w:kern w:val="0"/>
          <w:highlight w:val="none"/>
          <w:lang w:val="en-US" w:eastAsia="zh-CN"/>
        </w:rPr>
        <w:t>区域内植被以农田植被为主，</w:t>
      </w:r>
      <w:r>
        <w:rPr>
          <w:rFonts w:hint="eastAsia"/>
          <w:color w:val="000000" w:themeColor="text1"/>
          <w:highlight w:val="none"/>
          <w:lang w:val="en-US" w:eastAsia="zh-CN"/>
        </w:rPr>
        <w:t>线路沿线两侧主要分布的动物为鸟类、小型哺乳动物等。区域评价区域内群落结构简单，物种数量较少，丰富度不高，总体生态环境质量一般。本项目属于东北漫川漫岗省级水土流失重点治理区和鹤岗市水土流失重点预防区。该区域的主要生态环境问题是水土流失。</w:t>
      </w:r>
    </w:p>
    <w:p w14:paraId="584FC196">
      <w:pPr>
        <w:pageBreakBefore w:val="0"/>
        <w:wordWrap/>
        <w:topLinePunct w:val="0"/>
        <w:bidi w:val="0"/>
        <w:spacing w:line="360" w:lineRule="auto"/>
        <w:rPr>
          <w:color w:val="000000" w:themeColor="text1"/>
          <w:highlight w:val="none"/>
        </w:rPr>
      </w:pPr>
      <w:r>
        <w:rPr>
          <w:rFonts w:hint="eastAsia"/>
          <w:color w:val="000000" w:themeColor="text1"/>
          <w:kern w:val="0"/>
          <w:highlight w:val="none"/>
          <w:lang w:val="en-US" w:eastAsia="zh-CN"/>
        </w:rPr>
        <w:t>沿线区域未发现国家级重点保护珍稀濒危物种、黑龙江省重点保护物种和古树名木，未发现国家级重点保护野生动物栖息和繁殖，</w:t>
      </w:r>
      <w:r>
        <w:rPr>
          <w:rFonts w:hint="eastAsia" w:cs="Arial"/>
          <w:color w:val="000000" w:themeColor="text1"/>
          <w:highlight w:val="none"/>
        </w:rPr>
        <w:t>调查范围内河流不存在国家级及省级野生保护鱼类</w:t>
      </w:r>
      <w:r>
        <w:rPr>
          <w:rFonts w:hint="eastAsia"/>
          <w:color w:val="000000" w:themeColor="text1"/>
          <w:highlight w:val="none"/>
        </w:rPr>
        <w:t>。</w:t>
      </w:r>
    </w:p>
    <w:p w14:paraId="791022BA">
      <w:pPr>
        <w:pageBreakBefore w:val="0"/>
        <w:wordWrap/>
        <w:topLinePunct w:val="0"/>
        <w:bidi w:val="0"/>
        <w:spacing w:line="360" w:lineRule="auto"/>
        <w:ind w:firstLine="0" w:firstLineChars="0"/>
        <w:jc w:val="left"/>
        <w:outlineLvl w:val="2"/>
        <w:rPr>
          <w:b/>
          <w:color w:val="000000" w:themeColor="text1"/>
          <w:sz w:val="28"/>
          <w:highlight w:val="none"/>
        </w:rPr>
      </w:pPr>
      <w:bookmarkStart w:id="597" w:name="_Toc19173"/>
      <w:bookmarkStart w:id="598" w:name="_Toc17546"/>
      <w:r>
        <w:rPr>
          <w:b/>
          <w:color w:val="000000" w:themeColor="text1"/>
          <w:sz w:val="28"/>
          <w:highlight w:val="none"/>
        </w:rPr>
        <w:t>1</w:t>
      </w:r>
      <w:r>
        <w:rPr>
          <w:rFonts w:hint="eastAsia"/>
          <w:b/>
          <w:color w:val="000000" w:themeColor="text1"/>
          <w:sz w:val="28"/>
          <w:highlight w:val="none"/>
          <w:lang w:val="en-US" w:eastAsia="zh-CN"/>
        </w:rPr>
        <w:t>0</w:t>
      </w:r>
      <w:r>
        <w:rPr>
          <w:b/>
          <w:color w:val="000000" w:themeColor="text1"/>
          <w:sz w:val="28"/>
          <w:highlight w:val="none"/>
        </w:rPr>
        <w:t>.3.2地表水</w:t>
      </w:r>
      <w:bookmarkEnd w:id="597"/>
      <w:bookmarkEnd w:id="598"/>
    </w:p>
    <w:p w14:paraId="52FA9BC2">
      <w:pPr>
        <w:pStyle w:val="9"/>
        <w:pageBreakBefore w:val="0"/>
        <w:wordWrap/>
        <w:topLinePunct w:val="0"/>
        <w:bidi w:val="0"/>
        <w:spacing w:line="360" w:lineRule="auto"/>
        <w:ind w:left="0" w:leftChars="0"/>
        <w:rPr>
          <w:color w:val="000000" w:themeColor="text1"/>
          <w:highlight w:val="none"/>
        </w:rPr>
      </w:pPr>
      <w:r>
        <w:rPr>
          <w:rFonts w:hint="eastAsia" w:ascii="Times New Roman" w:eastAsia="宋体"/>
          <w:color w:val="000000" w:themeColor="text1"/>
          <w:kern w:val="2"/>
          <w:highlight w:val="none"/>
        </w:rPr>
        <w:t>本项目调查范围内地表水体主要为</w:t>
      </w:r>
      <w:r>
        <w:rPr>
          <w:rFonts w:hint="eastAsia" w:ascii="Times New Roman" w:eastAsia="宋体"/>
          <w:color w:val="000000" w:themeColor="text1"/>
          <w:kern w:val="2"/>
          <w:highlight w:val="none"/>
          <w:lang w:val="en-US" w:eastAsia="zh-CN"/>
        </w:rPr>
        <w:t>路北一支干渠和朝鲜河</w:t>
      </w:r>
      <w:r>
        <w:rPr>
          <w:rFonts w:hint="eastAsia" w:ascii="Times New Roman" w:eastAsia="宋体"/>
          <w:color w:val="000000" w:themeColor="text1"/>
          <w:kern w:val="2"/>
          <w:highlight w:val="none"/>
          <w:lang w:eastAsia="zh-CN"/>
        </w:rPr>
        <w:t>，</w:t>
      </w:r>
      <w:r>
        <w:rPr>
          <w:rFonts w:hint="eastAsia"/>
          <w:color w:val="000000" w:themeColor="text1"/>
          <w:highlight w:val="none"/>
          <w:lang w:val="en-US" w:eastAsia="zh-CN"/>
        </w:rPr>
        <w:t>路北一支干渠和朝鲜河均无</w:t>
      </w:r>
      <w:r>
        <w:rPr>
          <w:color w:val="000000" w:themeColor="text1"/>
          <w:highlight w:val="none"/>
        </w:rPr>
        <w:t>规划水体类别</w:t>
      </w:r>
      <w:r>
        <w:rPr>
          <w:rFonts w:hint="eastAsia"/>
          <w:color w:val="000000" w:themeColor="text1"/>
          <w:highlight w:val="none"/>
        </w:rPr>
        <w:t>，</w:t>
      </w:r>
      <w:r>
        <w:rPr>
          <w:rFonts w:hint="eastAsia"/>
          <w:color w:val="000000" w:themeColor="text1"/>
          <w:highlight w:val="none"/>
          <w:lang w:val="en-US" w:eastAsia="zh-CN"/>
        </w:rPr>
        <w:t>其</w:t>
      </w:r>
      <w:r>
        <w:rPr>
          <w:color w:val="000000" w:themeColor="text1"/>
          <w:szCs w:val="20"/>
          <w:highlight w:val="none"/>
        </w:rPr>
        <w:t>最终均汇入</w:t>
      </w:r>
      <w:r>
        <w:rPr>
          <w:rFonts w:hint="eastAsia"/>
          <w:color w:val="000000" w:themeColor="text1"/>
          <w:szCs w:val="20"/>
          <w:highlight w:val="none"/>
          <w:lang w:val="en-US" w:eastAsia="zh-CN"/>
        </w:rPr>
        <w:t>梧桐河</w:t>
      </w:r>
      <w:r>
        <w:rPr>
          <w:rFonts w:hint="eastAsia"/>
          <w:color w:val="000000" w:themeColor="text1"/>
          <w:szCs w:val="20"/>
          <w:highlight w:val="none"/>
        </w:rPr>
        <w:t>。</w:t>
      </w:r>
      <w:r>
        <w:rPr>
          <w:rFonts w:hint="eastAsia"/>
          <w:color w:val="000000" w:themeColor="text1"/>
          <w:kern w:val="0"/>
          <w:szCs w:val="20"/>
          <w:highlight w:val="none"/>
          <w:lang w:val="en-US" w:eastAsia="zh-CN" w:bidi="ar"/>
        </w:rPr>
        <w:t>根据《全国重要江河湖泊水功能区划（2011-2030年）（黑龙江省）》，</w:t>
      </w:r>
      <w:r>
        <w:rPr>
          <w:rFonts w:hint="eastAsia"/>
          <w:color w:val="000000" w:themeColor="text1"/>
          <w:highlight w:val="none"/>
          <w:lang w:val="en-US" w:eastAsia="zh-CN"/>
        </w:rPr>
        <w:t>梧桐河（向阳林场至入松花江河口段）地表水体功能区划</w:t>
      </w:r>
      <w:r>
        <w:rPr>
          <w:rFonts w:hint="default" w:ascii="Times New Roman" w:hAnsi="Times New Roman" w:cs="Times New Roman"/>
          <w:color w:val="000000" w:themeColor="text1"/>
          <w:highlight w:val="none"/>
          <w:lang w:val="en-US" w:eastAsia="zh-CN"/>
        </w:rPr>
        <w:t>为</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类水体，</w:t>
      </w:r>
      <w:r>
        <w:rPr>
          <w:rFonts w:hint="eastAsia" w:cs="Times New Roman"/>
          <w:color w:val="000000" w:themeColor="text1"/>
          <w:highlight w:val="none"/>
          <w:lang w:val="en-US" w:eastAsia="zh-CN"/>
        </w:rPr>
        <w:t>因此本项目地表水体参照执行</w:t>
      </w:r>
      <w:r>
        <w:rPr>
          <w:color w:val="000000" w:themeColor="text1"/>
          <w:szCs w:val="20"/>
          <w:highlight w:val="none"/>
        </w:rPr>
        <w:t>《地表水环境质量标准》（GB3838-2002）中</w:t>
      </w:r>
      <w:r>
        <w:rPr>
          <w:rFonts w:hint="default" w:ascii="Times New Roman" w:hAnsi="Times New Roman" w:eastAsia="宋体" w:cs="Times New Roman"/>
          <w:color w:val="000000" w:themeColor="text1"/>
          <w:highlight w:val="none"/>
          <w:lang w:val="en-US" w:eastAsia="zh-CN"/>
        </w:rPr>
        <w:t>Ⅳ</w:t>
      </w:r>
      <w:r>
        <w:rPr>
          <w:rFonts w:hint="default" w:ascii="Times New Roman" w:hAnsi="Times New Roman" w:cs="Times New Roman"/>
          <w:color w:val="000000" w:themeColor="text1"/>
          <w:highlight w:val="none"/>
          <w:lang w:val="en-US" w:eastAsia="zh-CN"/>
        </w:rPr>
        <w:t>类</w:t>
      </w:r>
      <w:r>
        <w:rPr>
          <w:rFonts w:hint="eastAsia" w:ascii="Times New Roman" w:hAnsi="Times New Roman" w:cs="Times New Roman"/>
          <w:color w:val="000000" w:themeColor="text1"/>
          <w:highlight w:val="none"/>
          <w:lang w:val="en-US" w:eastAsia="zh-CN"/>
        </w:rPr>
        <w:t>标准。</w:t>
      </w:r>
    </w:p>
    <w:p w14:paraId="1855CAC6">
      <w:pPr>
        <w:pageBreakBefore w:val="0"/>
        <w:wordWrap/>
        <w:topLinePunct w:val="0"/>
        <w:bidi w:val="0"/>
        <w:spacing w:line="360" w:lineRule="auto"/>
        <w:rPr>
          <w:color w:val="000000" w:themeColor="text1"/>
          <w:highlight w:val="none"/>
        </w:rPr>
      </w:pPr>
      <w:r>
        <w:rPr>
          <w:rFonts w:hint="eastAsia"/>
          <w:color w:val="000000" w:themeColor="text1"/>
          <w:highlight w:val="none"/>
        </w:rPr>
        <w:t>根据《2024年黑龙江省生态环境质量状况》可知，</w:t>
      </w:r>
      <w:r>
        <w:rPr>
          <w:rFonts w:hint="default" w:ascii="Times New Roman" w:hAnsi="Times New Roman" w:cs="Times New Roman"/>
          <w:color w:val="000000" w:themeColor="text1"/>
          <w:highlight w:val="none"/>
          <w:lang w:val="en-US" w:eastAsia="zh-CN"/>
        </w:rPr>
        <w:t>梧桐河</w:t>
      </w:r>
      <w:r>
        <w:rPr>
          <w:rFonts w:hint="default" w:ascii="Times New Roman" w:hAnsi="Times New Roman" w:cs="Times New Roman"/>
          <w:color w:val="000000" w:themeColor="text1"/>
          <w:highlight w:val="none"/>
        </w:rPr>
        <w:t>水质为Ⅲ类</w:t>
      </w:r>
      <w:r>
        <w:rPr>
          <w:rFonts w:hint="eastAsia"/>
          <w:color w:val="000000" w:themeColor="text1"/>
          <w:highlight w:val="none"/>
        </w:rPr>
        <w:t>，满足《全国重要江河湖泊水功能区划</w:t>
      </w:r>
      <w:r>
        <w:rPr>
          <w:rFonts w:hint="eastAsia"/>
          <w:color w:val="000000" w:themeColor="text1"/>
          <w:highlight w:val="none"/>
          <w:lang w:eastAsia="zh-CN"/>
        </w:rPr>
        <w:t>（</w:t>
      </w:r>
      <w:r>
        <w:rPr>
          <w:rFonts w:hint="eastAsia"/>
          <w:color w:val="000000" w:themeColor="text1"/>
          <w:highlight w:val="none"/>
        </w:rPr>
        <w:t>2011~2030</w:t>
      </w:r>
      <w:r>
        <w:rPr>
          <w:rFonts w:hint="eastAsia"/>
          <w:color w:val="000000" w:themeColor="text1"/>
          <w:highlight w:val="none"/>
          <w:lang w:eastAsia="zh-CN"/>
        </w:rPr>
        <w:t>）</w:t>
      </w:r>
      <w:r>
        <w:rPr>
          <w:rFonts w:hint="eastAsia"/>
          <w:color w:val="000000" w:themeColor="text1"/>
          <w:highlight w:val="none"/>
        </w:rPr>
        <w:t>》</w:t>
      </w:r>
      <w:r>
        <w:rPr>
          <w:rFonts w:hint="eastAsia"/>
          <w:color w:val="000000" w:themeColor="text1"/>
          <w:highlight w:val="none"/>
          <w:lang w:eastAsia="zh-CN"/>
        </w:rPr>
        <w:t>（</w:t>
      </w:r>
      <w:r>
        <w:rPr>
          <w:rFonts w:hint="eastAsia"/>
          <w:color w:val="000000" w:themeColor="text1"/>
          <w:highlight w:val="none"/>
        </w:rPr>
        <w:t>水资源[2012]131号</w:t>
      </w:r>
      <w:r>
        <w:rPr>
          <w:rFonts w:hint="eastAsia"/>
          <w:color w:val="000000" w:themeColor="text1"/>
          <w:highlight w:val="none"/>
          <w:lang w:eastAsia="zh-CN"/>
        </w:rPr>
        <w:t>）</w:t>
      </w:r>
      <w:r>
        <w:rPr>
          <w:rFonts w:hint="eastAsia"/>
          <w:color w:val="000000" w:themeColor="text1"/>
          <w:highlight w:val="none"/>
        </w:rPr>
        <w:t>规定的水体功能区划要求。</w:t>
      </w:r>
    </w:p>
    <w:p w14:paraId="21DFDE12">
      <w:pPr>
        <w:pStyle w:val="4"/>
        <w:pageBreakBefore w:val="0"/>
        <w:wordWrap/>
        <w:topLinePunct w:val="0"/>
        <w:bidi w:val="0"/>
        <w:spacing w:beforeLines="0" w:line="360" w:lineRule="auto"/>
        <w:ind w:left="851" w:hanging="851"/>
        <w:rPr>
          <w:color w:val="000000" w:themeColor="text1"/>
          <w:highlight w:val="none"/>
        </w:rPr>
      </w:pPr>
      <w:bookmarkStart w:id="599" w:name="_Toc208218334"/>
      <w:bookmarkStart w:id="600" w:name="_Toc267919741"/>
      <w:bookmarkStart w:id="601" w:name="_Toc29980"/>
      <w:bookmarkStart w:id="602" w:name="_Toc121999819"/>
      <w:bookmarkStart w:id="603" w:name="_Toc30752"/>
      <w:bookmarkStart w:id="604" w:name="_Toc118981113"/>
      <w:bookmarkStart w:id="605" w:name="_Toc110042428"/>
      <w:bookmarkStart w:id="606" w:name="_Toc109991438"/>
      <w:bookmarkStart w:id="607" w:name="_Toc139700896"/>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.3.3声环境</w:t>
      </w:r>
      <w:bookmarkEnd w:id="599"/>
      <w:bookmarkEnd w:id="600"/>
      <w:bookmarkEnd w:id="601"/>
      <w:bookmarkEnd w:id="602"/>
      <w:bookmarkEnd w:id="603"/>
    </w:p>
    <w:bookmarkEnd w:id="604"/>
    <w:bookmarkEnd w:id="605"/>
    <w:bookmarkEnd w:id="606"/>
    <w:p w14:paraId="7D296AB7">
      <w:pPr>
        <w:pageBreakBefore w:val="0"/>
        <w:wordWrap/>
        <w:topLinePunct w:val="0"/>
        <w:bidi w:val="0"/>
        <w:spacing w:line="360" w:lineRule="auto"/>
        <w:ind w:left="0" w:leftChars="0" w:firstLine="480" w:firstLineChars="200"/>
        <w:rPr>
          <w:color w:val="000000" w:themeColor="text1"/>
          <w:highlight w:val="none"/>
        </w:rPr>
      </w:pPr>
      <w:bookmarkStart w:id="608" w:name="_Toc267919742"/>
      <w:bookmarkStart w:id="609" w:name="_Toc21835"/>
      <w:bookmarkStart w:id="610" w:name="_Toc28772"/>
      <w:bookmarkStart w:id="611" w:name="_Toc208218335"/>
      <w:r>
        <w:rPr>
          <w:color w:val="000000" w:themeColor="text1"/>
          <w:highlight w:val="none"/>
        </w:rPr>
        <w:t>监测结果表明，本项目</w:t>
      </w:r>
      <w:r>
        <w:rPr>
          <w:rFonts w:hint="eastAsia"/>
          <w:color w:val="000000" w:themeColor="text1"/>
          <w:highlight w:val="none"/>
          <w:lang w:val="en-US" w:eastAsia="zh-CN"/>
        </w:rPr>
        <w:t>区域</w:t>
      </w:r>
      <w:r>
        <w:rPr>
          <w:color w:val="000000" w:themeColor="text1"/>
          <w:highlight w:val="none"/>
        </w:rPr>
        <w:t>声环境质量均满足《声环境质量标准》（GB3096-2008）</w:t>
      </w:r>
      <w:r>
        <w:rPr>
          <w:rFonts w:hint="eastAsia"/>
          <w:color w:val="000000" w:themeColor="text1"/>
          <w:highlight w:val="none"/>
          <w:lang w:val="en-US" w:eastAsia="zh-CN"/>
        </w:rPr>
        <w:t>2</w:t>
      </w:r>
      <w:r>
        <w:rPr>
          <w:color w:val="000000" w:themeColor="text1"/>
          <w:highlight w:val="none"/>
        </w:rPr>
        <w:t>类标准</w:t>
      </w:r>
      <w:r>
        <w:rPr>
          <w:rFonts w:hint="eastAsia"/>
          <w:color w:val="000000" w:themeColor="text1"/>
          <w:highlight w:val="none"/>
          <w:lang w:eastAsia="zh-CN"/>
        </w:rPr>
        <w:t>，</w:t>
      </w:r>
      <w:r>
        <w:rPr>
          <w:rFonts w:hint="eastAsia"/>
          <w:color w:val="000000" w:themeColor="text1"/>
          <w:highlight w:val="none"/>
          <w:lang w:val="en-US" w:eastAsia="zh-CN"/>
        </w:rPr>
        <w:t>即昼间60dB（A），夜间50dB（A）的标准要求</w:t>
      </w:r>
      <w:r>
        <w:rPr>
          <w:color w:val="000000" w:themeColor="text1"/>
          <w:highlight w:val="none"/>
        </w:rPr>
        <w:t>。</w:t>
      </w:r>
    </w:p>
    <w:p w14:paraId="311E81C9">
      <w:pPr>
        <w:pStyle w:val="4"/>
        <w:pageBreakBefore w:val="0"/>
        <w:wordWrap/>
        <w:topLinePunct w:val="0"/>
        <w:bidi w:val="0"/>
        <w:spacing w:beforeLines="0" w:line="360" w:lineRule="auto"/>
        <w:ind w:left="851" w:hanging="851"/>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3.4环境空气</w:t>
      </w:r>
      <w:bookmarkEnd w:id="607"/>
      <w:bookmarkEnd w:id="608"/>
      <w:bookmarkEnd w:id="609"/>
      <w:bookmarkEnd w:id="610"/>
      <w:bookmarkEnd w:id="611"/>
    </w:p>
    <w:p w14:paraId="770DF174">
      <w:pPr>
        <w:pStyle w:val="119"/>
        <w:pageBreakBefore w:val="0"/>
        <w:wordWrap/>
        <w:topLinePunct w:val="0"/>
        <w:bidi w:val="0"/>
        <w:spacing w:line="360" w:lineRule="auto"/>
        <w:rPr>
          <w:color w:val="000000" w:themeColor="text1"/>
          <w:highlight w:val="none"/>
        </w:rPr>
      </w:pPr>
      <w:bookmarkStart w:id="612" w:name="_Toc29357"/>
      <w:bookmarkStart w:id="613" w:name="_Toc185"/>
      <w:bookmarkStart w:id="614" w:name="_Toc7713"/>
      <w:r>
        <w:rPr>
          <w:rFonts w:hint="eastAsia"/>
          <w:bCs/>
          <w:color w:val="000000" w:themeColor="text1"/>
          <w:highlight w:val="none"/>
        </w:rPr>
        <w:t>根据《202</w:t>
      </w:r>
      <w:r>
        <w:rPr>
          <w:rFonts w:hint="eastAsia"/>
          <w:bCs/>
          <w:color w:val="000000" w:themeColor="text1"/>
          <w:highlight w:val="none"/>
          <w:lang w:val="en-US" w:eastAsia="zh-CN"/>
        </w:rPr>
        <w:t>4</w:t>
      </w:r>
      <w:r>
        <w:rPr>
          <w:rFonts w:hint="eastAsia"/>
          <w:bCs/>
          <w:color w:val="000000" w:themeColor="text1"/>
          <w:highlight w:val="none"/>
        </w:rPr>
        <w:t>年黑龙江省生态环境质量状况》中数据</w:t>
      </w:r>
      <w:r>
        <w:rPr>
          <w:color w:val="000000" w:themeColor="text1"/>
          <w:highlight w:val="none"/>
        </w:rPr>
        <w:t>，</w:t>
      </w:r>
      <w:r>
        <w:rPr>
          <w:bCs/>
          <w:color w:val="000000" w:themeColor="text1"/>
          <w:highlight w:val="none"/>
        </w:rPr>
        <w:t>本项目</w:t>
      </w:r>
      <w:r>
        <w:rPr>
          <w:rFonts w:hint="eastAsia"/>
          <w:bCs/>
          <w:color w:val="000000" w:themeColor="text1"/>
          <w:highlight w:val="none"/>
          <w:lang w:val="en-US" w:eastAsia="zh-CN"/>
        </w:rPr>
        <w:t>所在</w:t>
      </w:r>
      <w:r>
        <w:rPr>
          <w:rFonts w:hint="eastAsia"/>
          <w:color w:val="000000" w:themeColor="text1"/>
          <w:highlight w:val="none"/>
        </w:rPr>
        <w:t>区域</w:t>
      </w:r>
      <w:r>
        <w:rPr>
          <w:rFonts w:hint="eastAsia"/>
          <w:color w:val="000000" w:themeColor="text1"/>
          <w:highlight w:val="none"/>
          <w:lang w:val="en-US" w:eastAsia="zh-CN"/>
        </w:rPr>
        <w:t>鹤岗市</w:t>
      </w:r>
      <w:r>
        <w:rPr>
          <w:rFonts w:hint="eastAsia"/>
          <w:bCs/>
          <w:color w:val="000000" w:themeColor="text1"/>
          <w:highlight w:val="none"/>
        </w:rPr>
        <w:t>2</w:t>
      </w:r>
      <w:r>
        <w:rPr>
          <w:bCs/>
          <w:color w:val="000000" w:themeColor="text1"/>
          <w:highlight w:val="none"/>
        </w:rPr>
        <w:t>0</w:t>
      </w:r>
      <w:r>
        <w:rPr>
          <w:rFonts w:hint="eastAsia"/>
          <w:bCs/>
          <w:color w:val="000000" w:themeColor="text1"/>
          <w:highlight w:val="none"/>
        </w:rPr>
        <w:t>2</w:t>
      </w:r>
      <w:r>
        <w:rPr>
          <w:rFonts w:hint="eastAsia"/>
          <w:bCs/>
          <w:color w:val="000000" w:themeColor="text1"/>
          <w:highlight w:val="none"/>
          <w:lang w:val="en-US" w:eastAsia="zh-CN"/>
        </w:rPr>
        <w:t>4</w:t>
      </w:r>
      <w:r>
        <w:rPr>
          <w:bCs/>
          <w:color w:val="000000" w:themeColor="text1"/>
          <w:highlight w:val="none"/>
        </w:rPr>
        <w:t>年</w:t>
      </w:r>
      <w:r>
        <w:rPr>
          <w:color w:val="000000" w:themeColor="text1"/>
          <w:highlight w:val="none"/>
        </w:rPr>
        <w:t>属于环境空气质量达标区</w:t>
      </w:r>
      <w:r>
        <w:rPr>
          <w:rFonts w:hint="eastAsia"/>
          <w:color w:val="000000" w:themeColor="text1"/>
          <w:highlight w:val="none"/>
        </w:rPr>
        <w:t>。</w:t>
      </w:r>
    </w:p>
    <w:p w14:paraId="44EDFBA4">
      <w:pPr>
        <w:pageBreakBefore w:val="0"/>
        <w:wordWrap/>
        <w:topLinePunct w:val="0"/>
        <w:bidi w:val="0"/>
        <w:spacing w:line="360" w:lineRule="auto"/>
        <w:rPr>
          <w:color w:val="000000" w:themeColor="text1"/>
          <w:highlight w:val="none"/>
        </w:rPr>
      </w:pPr>
      <w:r>
        <w:rPr>
          <w:color w:val="000000" w:themeColor="text1"/>
          <w:highlight w:val="none"/>
        </w:rPr>
        <w:t>从</w:t>
      </w:r>
      <w:r>
        <w:rPr>
          <w:rFonts w:hint="eastAsia"/>
          <w:color w:val="000000" w:themeColor="text1"/>
          <w:highlight w:val="none"/>
        </w:rPr>
        <w:t>补充</w:t>
      </w:r>
      <w:r>
        <w:rPr>
          <w:color w:val="000000" w:themeColor="text1"/>
          <w:highlight w:val="none"/>
        </w:rPr>
        <w:t>现状监测及评价结果表明，</w:t>
      </w:r>
      <w:r>
        <w:rPr>
          <w:rFonts w:hint="eastAsia"/>
          <w:color w:val="000000" w:themeColor="text1"/>
          <w:highlight w:val="none"/>
        </w:rPr>
        <w:t>监测期间</w:t>
      </w:r>
      <w:r>
        <w:rPr>
          <w:rFonts w:hint="eastAsia"/>
          <w:color w:val="000000" w:themeColor="text1"/>
          <w:highlight w:val="none"/>
          <w:lang w:val="en-US" w:eastAsia="zh-CN"/>
        </w:rPr>
        <w:t>项目区下风向宝泉岭农场二队</w:t>
      </w:r>
      <w:r>
        <w:rPr>
          <w:rFonts w:hint="eastAsia"/>
          <w:color w:val="000000" w:themeColor="text1"/>
          <w:szCs w:val="21"/>
          <w:highlight w:val="none"/>
        </w:rPr>
        <w:t>TSP</w:t>
      </w:r>
      <w:r>
        <w:rPr>
          <w:rFonts w:hint="eastAsia"/>
          <w:color w:val="000000" w:themeColor="text1"/>
          <w:highlight w:val="none"/>
        </w:rPr>
        <w:t>监测值符合国家《环境空气质量标准》（</w:t>
      </w:r>
      <w:r>
        <w:rPr>
          <w:color w:val="000000" w:themeColor="text1"/>
          <w:highlight w:val="none"/>
        </w:rPr>
        <w:t>GB3095－2012）</w:t>
      </w:r>
      <w:r>
        <w:rPr>
          <w:rFonts w:hint="eastAsia"/>
          <w:color w:val="000000" w:themeColor="text1"/>
          <w:szCs w:val="22"/>
          <w:highlight w:val="none"/>
        </w:rPr>
        <w:t>及其修改单</w:t>
      </w:r>
      <w:r>
        <w:rPr>
          <w:color w:val="000000" w:themeColor="text1"/>
          <w:highlight w:val="none"/>
        </w:rPr>
        <w:t>中的</w:t>
      </w:r>
      <w:r>
        <w:rPr>
          <w:rFonts w:hint="eastAsia"/>
          <w:color w:val="000000" w:themeColor="text1"/>
          <w:highlight w:val="none"/>
        </w:rPr>
        <w:t>二</w:t>
      </w:r>
      <w:r>
        <w:rPr>
          <w:color w:val="000000" w:themeColor="text1"/>
          <w:highlight w:val="none"/>
        </w:rPr>
        <w:t>级标准要求。</w:t>
      </w:r>
    </w:p>
    <w:p w14:paraId="5A4A508F">
      <w:pPr>
        <w:pStyle w:val="3"/>
        <w:pageBreakBefore w:val="0"/>
        <w:wordWrap/>
        <w:topLinePunct w:val="0"/>
        <w:bidi w:val="0"/>
        <w:spacing w:line="360" w:lineRule="auto"/>
        <w:rPr>
          <w:color w:val="000000" w:themeColor="text1"/>
          <w:highlight w:val="none"/>
        </w:rPr>
      </w:pPr>
      <w:bookmarkStart w:id="615" w:name="_Toc25007"/>
      <w:bookmarkStart w:id="616" w:name="_Toc21153"/>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.4环境影响及环境保护措施结论</w:t>
      </w:r>
      <w:bookmarkEnd w:id="612"/>
      <w:bookmarkEnd w:id="613"/>
      <w:bookmarkEnd w:id="614"/>
      <w:bookmarkEnd w:id="615"/>
      <w:bookmarkEnd w:id="616"/>
    </w:p>
    <w:p w14:paraId="4D609BF7">
      <w:pPr>
        <w:pStyle w:val="4"/>
        <w:pageBreakBefore w:val="0"/>
        <w:wordWrap/>
        <w:topLinePunct w:val="0"/>
        <w:bidi w:val="0"/>
        <w:spacing w:beforeLines="0" w:line="360" w:lineRule="auto"/>
        <w:ind w:left="851" w:hanging="851"/>
        <w:rPr>
          <w:color w:val="000000" w:themeColor="text1"/>
          <w:highlight w:val="none"/>
        </w:rPr>
      </w:pPr>
      <w:bookmarkStart w:id="617" w:name="_Toc30097"/>
      <w:bookmarkStart w:id="618" w:name="_Toc10657"/>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.4.1生态环境</w:t>
      </w:r>
      <w:bookmarkEnd w:id="617"/>
      <w:bookmarkEnd w:id="618"/>
    </w:p>
    <w:p w14:paraId="58F61635">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1）施工期</w:t>
      </w:r>
    </w:p>
    <w:p w14:paraId="23ACC5B2">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1</w:t>
      </w:r>
      <w:r>
        <w:rPr>
          <w:rFonts w:hint="eastAsia"/>
          <w:color w:val="000000" w:themeColor="text1"/>
          <w:highlight w:val="none"/>
          <w:lang w:eastAsia="zh-CN"/>
        </w:rPr>
        <w:t>）</w:t>
      </w:r>
      <w:r>
        <w:rPr>
          <w:rFonts w:hint="eastAsia"/>
          <w:color w:val="000000" w:themeColor="text1"/>
          <w:highlight w:val="none"/>
        </w:rPr>
        <w:t>本项目虽占用耕地、林地，但工程整体呈线性分布，线路横向影响范围较狭窄，因此对整个评价区而言，不会导致沿线土地利用格局发生明显变化。</w:t>
      </w:r>
    </w:p>
    <w:p w14:paraId="17CB8198">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2</w:t>
      </w:r>
      <w:r>
        <w:rPr>
          <w:rFonts w:hint="eastAsia"/>
          <w:color w:val="000000" w:themeColor="text1"/>
          <w:highlight w:val="none"/>
          <w:lang w:eastAsia="zh-CN"/>
        </w:rPr>
        <w:t>）</w:t>
      </w:r>
      <w:r>
        <w:rPr>
          <w:rFonts w:hint="eastAsia"/>
          <w:color w:val="000000" w:themeColor="text1"/>
          <w:highlight w:val="none"/>
        </w:rPr>
        <w:t>评价区内植物群落结构简单，在本地区广泛分布，群落类型非特有类型。项目建设对植物群落内各类植物影响基本一致，不会对评价区内某一种或某几种植物造成特殊破坏。工程建设不会造成植物生境丧失或破碎化，对植物种群数量、物种丰富度、群落结构及分布范围影响较小。</w:t>
      </w:r>
    </w:p>
    <w:p w14:paraId="5484DCEE">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3</w:t>
      </w:r>
      <w:r>
        <w:rPr>
          <w:rFonts w:hint="eastAsia"/>
          <w:color w:val="000000" w:themeColor="text1"/>
          <w:highlight w:val="none"/>
          <w:lang w:eastAsia="zh-CN"/>
        </w:rPr>
        <w:t>）</w:t>
      </w:r>
      <w:r>
        <w:rPr>
          <w:rFonts w:hint="eastAsia"/>
          <w:color w:val="000000" w:themeColor="text1"/>
          <w:highlight w:val="none"/>
        </w:rPr>
        <w:t>评价区内分布的两栖类均为一般常见种类，在评价区及周边区域均有少量但广泛分布，这些动物适应能力较强，无特殊生存环境要求，由于工程周边存在大量适宜生境，因此，工程建设不会对其生存和觅食产生明显不利影响。评价区域爬行动物分布极少，甚至难以发现，因此施工期对爬行动物影响极小。而对于鸟类而言，道路阻隔对其影响较小，施工对候鸟的影响仅局限于其繁殖期或迁徙期，影响范围也因此局限于其所依存的各类生境</w:t>
      </w:r>
      <w:r>
        <w:rPr>
          <w:rFonts w:hint="eastAsia"/>
          <w:color w:val="000000" w:themeColor="text1"/>
          <w:highlight w:val="none"/>
          <w:lang w:eastAsia="zh-CN"/>
        </w:rPr>
        <w:t>；</w:t>
      </w:r>
      <w:r>
        <w:rPr>
          <w:rFonts w:hint="eastAsia"/>
          <w:color w:val="000000" w:themeColor="text1"/>
          <w:highlight w:val="none"/>
        </w:rPr>
        <w:t>鸟类会通过迁移来避免施工所造成的影响，因此施工对其种群数量及分布情况不会产生大的影响。</w:t>
      </w:r>
    </w:p>
    <w:p w14:paraId="21070BFD">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4</w:t>
      </w:r>
      <w:r>
        <w:rPr>
          <w:rFonts w:hint="eastAsia"/>
          <w:color w:val="000000" w:themeColor="text1"/>
          <w:highlight w:val="none"/>
          <w:lang w:eastAsia="zh-CN"/>
        </w:rPr>
        <w:t>）</w:t>
      </w:r>
      <w:r>
        <w:rPr>
          <w:rFonts w:hint="eastAsia"/>
          <w:color w:val="000000" w:themeColor="text1"/>
          <w:highlight w:val="none"/>
        </w:rPr>
        <w:t>本项目的建设对区域陆生动植物的种群数量、物种丰富度、分布情况、群落结构不会产生较大影响</w:t>
      </w:r>
      <w:r>
        <w:rPr>
          <w:rFonts w:hint="eastAsia"/>
          <w:color w:val="000000" w:themeColor="text1"/>
          <w:highlight w:val="none"/>
          <w:lang w:eastAsia="zh-CN"/>
        </w:rPr>
        <w:t>；</w:t>
      </w:r>
      <w:r>
        <w:rPr>
          <w:rFonts w:hint="eastAsia"/>
          <w:color w:val="000000" w:themeColor="text1"/>
          <w:highlight w:val="none"/>
        </w:rPr>
        <w:t>不会产生明显的生境分割、阻隔、破碎化，且在评价区周边分布有大量适宜野生动植物生存的相似生境，对生境的影响较小</w:t>
      </w:r>
      <w:r>
        <w:rPr>
          <w:rFonts w:hint="eastAsia"/>
          <w:color w:val="000000" w:themeColor="text1"/>
          <w:highlight w:val="none"/>
          <w:lang w:eastAsia="zh-CN"/>
        </w:rPr>
        <w:t>；</w:t>
      </w:r>
      <w:r>
        <w:rPr>
          <w:rFonts w:hint="eastAsia"/>
          <w:color w:val="000000" w:themeColor="text1"/>
          <w:highlight w:val="none"/>
        </w:rPr>
        <w:t>通过绿化或植被恢复，将大大弥补生态功能损失，对区域生态系统结构和功能不会造成明显影响。综合对物种、生境及生态系统的影响程度，可判定本项目建设对区域生物多样性的影响较低。</w:t>
      </w:r>
    </w:p>
    <w:p w14:paraId="302E3383">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5</w:t>
      </w:r>
      <w:r>
        <w:rPr>
          <w:rFonts w:hint="eastAsia"/>
          <w:color w:val="000000" w:themeColor="text1"/>
          <w:highlight w:val="none"/>
          <w:lang w:eastAsia="zh-CN"/>
        </w:rPr>
        <w:t>）</w:t>
      </w:r>
      <w:r>
        <w:rPr>
          <w:rFonts w:hint="eastAsia"/>
          <w:color w:val="000000" w:themeColor="text1"/>
          <w:highlight w:val="none"/>
        </w:rPr>
        <w:t>本项目占用基本农田。应按照国家和地方相关规定做好基本农田划补、土地调整、征地补偿等工作。根据《基本农田保护条例》，当地人民政府应当按照相关批准文件修改土地利用总体规划，并补充划入数量和质量相当的基本农田</w:t>
      </w:r>
      <w:r>
        <w:rPr>
          <w:rFonts w:hint="eastAsia"/>
          <w:color w:val="000000" w:themeColor="text1"/>
          <w:highlight w:val="none"/>
          <w:lang w:eastAsia="zh-CN"/>
        </w:rPr>
        <w:t>；</w:t>
      </w:r>
      <w:r>
        <w:rPr>
          <w:rFonts w:hint="eastAsia"/>
          <w:color w:val="000000" w:themeColor="text1"/>
          <w:highlight w:val="none"/>
        </w:rPr>
        <w:t>占用单位应当按照占多少、垦多少的原则，负责开垦与所占基本农田的数量与质量相当的耕地。</w:t>
      </w:r>
    </w:p>
    <w:p w14:paraId="2410989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6</w:t>
      </w:r>
      <w:r>
        <w:rPr>
          <w:rFonts w:hint="eastAsia"/>
          <w:color w:val="000000" w:themeColor="text1"/>
          <w:highlight w:val="none"/>
          <w:lang w:eastAsia="zh-CN"/>
        </w:rPr>
        <w:t>）</w:t>
      </w:r>
      <w:r>
        <w:rPr>
          <w:rFonts w:hint="eastAsia"/>
          <w:color w:val="000000" w:themeColor="text1"/>
          <w:highlight w:val="none"/>
        </w:rPr>
        <w:t>本项目占用林地(包括公益林)，施工前应按照《建设项目使用林地审核审批管理办法》(国家林业局令第35号)规定办理林木采伐及使用林地审核审批手续。严格控制施工作业范围，减少林地占用和林木砍伐量，降低工程对森林生态系统的干扰和破坏。</w:t>
      </w:r>
    </w:p>
    <w:p w14:paraId="50E80354">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7</w:t>
      </w:r>
      <w:r>
        <w:rPr>
          <w:rFonts w:hint="eastAsia"/>
          <w:color w:val="000000" w:themeColor="text1"/>
          <w:highlight w:val="none"/>
          <w:lang w:eastAsia="zh-CN"/>
        </w:rPr>
        <w:t>）</w:t>
      </w:r>
      <w:r>
        <w:rPr>
          <w:rFonts w:hint="eastAsia"/>
          <w:color w:val="000000" w:themeColor="text1"/>
          <w:highlight w:val="none"/>
        </w:rPr>
        <w:t>各处临时工程在施工前应先进行表土剥离，集中存放，并做好临时防护。施工结束后，将剥离的表土回覆，进行土地整治、复耕或植被恢复</w:t>
      </w:r>
    </w:p>
    <w:p w14:paraId="5C3A960C">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8</w:t>
      </w:r>
      <w:r>
        <w:rPr>
          <w:rFonts w:hint="eastAsia"/>
          <w:color w:val="000000" w:themeColor="text1"/>
          <w:highlight w:val="none"/>
          <w:lang w:eastAsia="zh-CN"/>
        </w:rPr>
        <w:t>）</w:t>
      </w:r>
      <w:r>
        <w:rPr>
          <w:rFonts w:hint="eastAsia"/>
          <w:color w:val="000000" w:themeColor="text1"/>
          <w:highlight w:val="none"/>
        </w:rPr>
        <w:t>为了保护黑土资源，应加强占用耕地耕作层土壤剥离利用工作，建设单位应编制土壤剥离利用实施方案，并在开工建设前按照剥离利用方案要求实施耕作层土壤剥离，并将剥离土壤用于主体工程路侧、的绿化及临时用地复垦。</w:t>
      </w:r>
    </w:p>
    <w:p w14:paraId="7402498E">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综上所述，项目施工期对区域生态环境的影响可以接受，从环境保护的角度分析，项目选线及建设是可行的。</w:t>
      </w:r>
    </w:p>
    <w:p w14:paraId="1603B1F4">
      <w:pPr>
        <w:pageBreakBefore w:val="0"/>
        <w:wordWrap/>
        <w:topLinePunct w:val="0"/>
        <w:bidi w:val="0"/>
        <w:spacing w:line="360" w:lineRule="auto"/>
        <w:rPr>
          <w:color w:val="000000" w:themeColor="text1"/>
          <w:highlight w:val="none"/>
        </w:rPr>
      </w:pPr>
      <w:r>
        <w:rPr>
          <w:rFonts w:hint="eastAsia"/>
          <w:color w:val="000000" w:themeColor="text1"/>
          <w:highlight w:val="none"/>
          <w:lang w:eastAsia="zh-CN"/>
        </w:rPr>
        <w:t>（</w:t>
      </w:r>
      <w:r>
        <w:rPr>
          <w:rFonts w:hint="eastAsia"/>
          <w:color w:val="000000" w:themeColor="text1"/>
          <w:highlight w:val="none"/>
          <w:lang w:val="en-US" w:eastAsia="zh-CN"/>
        </w:rPr>
        <w:t>2）运营期</w:t>
      </w:r>
    </w:p>
    <w:p w14:paraId="22A2BB49">
      <w:pPr>
        <w:pageBreakBefore w:val="0"/>
        <w:wordWrap/>
        <w:topLinePunct w:val="0"/>
        <w:bidi w:val="0"/>
        <w:spacing w:line="360" w:lineRule="auto"/>
        <w:rPr>
          <w:color w:val="000000" w:themeColor="text1"/>
          <w:highlight w:val="none"/>
        </w:rPr>
      </w:pPr>
      <w:r>
        <w:rPr>
          <w:color w:val="000000" w:themeColor="text1"/>
          <w:highlight w:val="none"/>
        </w:rPr>
        <w:t>项目运营期采取做好完工后生态恢复工作，以减少植被破坏对水土流失的不利影响；路基边坡采用植草等形式进行绿化，公路边沟外侧至路界内种植草坪或树木；</w:t>
      </w:r>
      <w:r>
        <w:rPr>
          <w:rFonts w:hint="eastAsia"/>
          <w:color w:val="000000" w:themeColor="text1"/>
          <w:highlight w:val="none"/>
        </w:rPr>
        <w:t>互通立交处进行成片绿化，建设绿色环保互通</w:t>
      </w:r>
      <w:r>
        <w:rPr>
          <w:rFonts w:hint="eastAsia"/>
          <w:color w:val="000000" w:themeColor="text1"/>
          <w:highlight w:val="none"/>
          <w:lang w:eastAsia="zh-CN"/>
        </w:rPr>
        <w:t>；</w:t>
      </w:r>
      <w:r>
        <w:rPr>
          <w:rFonts w:hint="eastAsia"/>
          <w:color w:val="000000" w:themeColor="text1"/>
          <w:highlight w:val="none"/>
        </w:rPr>
        <w:t>设置桥梁</w:t>
      </w:r>
      <w:r>
        <w:rPr>
          <w:rFonts w:hint="eastAsia"/>
          <w:color w:val="000000" w:themeColor="text1"/>
          <w:highlight w:val="none"/>
          <w:lang w:val="en-US" w:eastAsia="zh-CN"/>
        </w:rPr>
        <w:t>3</w:t>
      </w:r>
      <w:r>
        <w:rPr>
          <w:rFonts w:hint="eastAsia"/>
          <w:color w:val="000000" w:themeColor="text1"/>
          <w:highlight w:val="none"/>
        </w:rPr>
        <w:t>座、钢筋混凝土箱涵</w:t>
      </w:r>
      <w:r>
        <w:rPr>
          <w:color w:val="000000" w:themeColor="text1"/>
          <w:highlight w:val="none"/>
        </w:rPr>
        <w:t>12</w:t>
      </w:r>
      <w:r>
        <w:rPr>
          <w:rFonts w:hint="eastAsia"/>
          <w:color w:val="000000" w:themeColor="text1"/>
          <w:highlight w:val="none"/>
        </w:rPr>
        <w:t>道，可充分发挥通行作用，消除因公路建设而产生的分离和阻隔</w:t>
      </w:r>
      <w:r>
        <w:rPr>
          <w:color w:val="000000" w:themeColor="text1"/>
          <w:highlight w:val="none"/>
        </w:rPr>
        <w:t>。</w:t>
      </w:r>
    </w:p>
    <w:p w14:paraId="39A994F8">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项目对土地利用的影响主要发生在施工期，工程整体呈线性分布于沿线地区，线路横向影响范围较狭窄，因此对整个评价范围而言变化影响较小。项目沿线两侧大部分为农田，公路边缘效应在农田区不明显。项目建成后为不封闭的等级公路，基本不会对现有野生动物生境造成分割，动物生境片断化对动物影响不大。项目沿线不设置服务区和收费站等集中式排污设施，故基本不会对水生生物造成影响。通过对公路边坡采取绿化措施，对周围景观的影响是可以接受的。</w:t>
      </w:r>
    </w:p>
    <w:p w14:paraId="20397B63">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综上所述，项目运营期对区域生态环境的影响可以接受，从环境保护的角度分析，项目选线及建设是可行的。</w:t>
      </w:r>
    </w:p>
    <w:p w14:paraId="597F3956">
      <w:pPr>
        <w:pStyle w:val="4"/>
        <w:pageBreakBefore w:val="0"/>
        <w:wordWrap/>
        <w:topLinePunct w:val="0"/>
        <w:bidi w:val="0"/>
        <w:spacing w:beforeLines="0" w:line="360" w:lineRule="auto"/>
        <w:ind w:left="426"/>
        <w:rPr>
          <w:color w:val="000000" w:themeColor="text1"/>
          <w:highlight w:val="none"/>
        </w:rPr>
      </w:pPr>
      <w:bookmarkStart w:id="619" w:name="_Toc12753"/>
      <w:bookmarkStart w:id="620" w:name="_Toc15564"/>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.4.2声环境</w:t>
      </w:r>
      <w:bookmarkEnd w:id="619"/>
      <w:bookmarkEnd w:id="620"/>
    </w:p>
    <w:p w14:paraId="5316B5AD">
      <w:pPr>
        <w:pageBreakBefore w:val="0"/>
        <w:wordWrap/>
        <w:topLinePunct w:val="0"/>
        <w:bidi w:val="0"/>
        <w:spacing w:line="360" w:lineRule="auto"/>
        <w:rPr>
          <w:color w:val="000000" w:themeColor="text1"/>
          <w:highlight w:val="none"/>
        </w:rPr>
      </w:pPr>
      <w:r>
        <w:rPr>
          <w:color w:val="000000" w:themeColor="text1"/>
          <w:highlight w:val="none"/>
        </w:rPr>
        <w:t>（1）施工期</w:t>
      </w:r>
    </w:p>
    <w:p w14:paraId="64A8857B">
      <w:pPr>
        <w:pageBreakBefore w:val="0"/>
        <w:wordWrap/>
        <w:topLinePunct w:val="0"/>
        <w:bidi w:val="0"/>
        <w:spacing w:line="360" w:lineRule="auto"/>
        <w:rPr>
          <w:bCs/>
          <w:color w:val="000000" w:themeColor="text1"/>
          <w:szCs w:val="20"/>
          <w:highlight w:val="none"/>
        </w:rPr>
      </w:pPr>
      <w:r>
        <w:rPr>
          <w:color w:val="000000" w:themeColor="text1"/>
          <w:highlight w:val="none"/>
        </w:rPr>
        <w:t>由预测结果可知，</w:t>
      </w:r>
      <w:r>
        <w:rPr>
          <w:rFonts w:hint="eastAsia"/>
          <w:bCs/>
          <w:color w:val="000000" w:themeColor="text1"/>
          <w:szCs w:val="20"/>
          <w:highlight w:val="none"/>
          <w:lang w:val="en-US" w:eastAsia="zh-CN"/>
        </w:rPr>
        <w:t>本项目不涉及噪声环境敏感点。</w:t>
      </w:r>
      <w:r>
        <w:rPr>
          <w:bCs/>
          <w:color w:val="000000" w:themeColor="text1"/>
          <w:szCs w:val="20"/>
          <w:highlight w:val="none"/>
        </w:rPr>
        <w:t>单台机械作业时，昼间最大</w:t>
      </w:r>
      <w:r>
        <w:rPr>
          <w:rFonts w:hint="eastAsia"/>
          <w:bCs/>
          <w:color w:val="000000" w:themeColor="text1"/>
          <w:szCs w:val="20"/>
          <w:highlight w:val="none"/>
          <w:lang w:val="en-US" w:eastAsia="zh-CN"/>
        </w:rPr>
        <w:t>噪声预测值</w:t>
      </w:r>
      <w:r>
        <w:rPr>
          <w:bCs/>
          <w:color w:val="000000" w:themeColor="text1"/>
          <w:szCs w:val="20"/>
          <w:highlight w:val="none"/>
        </w:rPr>
        <w:t>在距</w:t>
      </w:r>
      <w:r>
        <w:rPr>
          <w:rFonts w:hint="eastAsia"/>
          <w:bCs/>
          <w:color w:val="000000" w:themeColor="text1"/>
          <w:szCs w:val="20"/>
          <w:highlight w:val="none"/>
          <w:lang w:val="en-US" w:eastAsia="zh-CN"/>
        </w:rPr>
        <w:t>声</w:t>
      </w:r>
      <w:r>
        <w:rPr>
          <w:bCs/>
          <w:color w:val="000000" w:themeColor="text1"/>
          <w:szCs w:val="20"/>
          <w:highlight w:val="none"/>
        </w:rPr>
        <w:t>源</w:t>
      </w:r>
      <w:r>
        <w:rPr>
          <w:rFonts w:hint="eastAsia"/>
          <w:bCs/>
          <w:color w:val="000000" w:themeColor="text1"/>
          <w:szCs w:val="20"/>
          <w:highlight w:val="none"/>
          <w:lang w:val="en-US" w:eastAsia="zh-CN"/>
        </w:rPr>
        <w:t>1</w:t>
      </w:r>
      <w:r>
        <w:rPr>
          <w:bCs/>
          <w:color w:val="000000" w:themeColor="text1"/>
          <w:szCs w:val="20"/>
          <w:highlight w:val="none"/>
        </w:rPr>
        <w:t>0</w:t>
      </w:r>
      <w:r>
        <w:rPr>
          <w:rFonts w:hint="eastAsia"/>
          <w:bCs/>
          <w:color w:val="000000" w:themeColor="text1"/>
          <w:szCs w:val="20"/>
          <w:highlight w:val="none"/>
          <w:lang w:val="en-US" w:eastAsia="zh-CN"/>
        </w:rPr>
        <w:t>0</w:t>
      </w:r>
      <w:r>
        <w:rPr>
          <w:bCs/>
          <w:color w:val="000000" w:themeColor="text1"/>
          <w:szCs w:val="20"/>
          <w:highlight w:val="none"/>
        </w:rPr>
        <w:t>m处噪声可满足《建筑施工场界噪声排放标准》昼间70dB（A）的标准；夜间施工在距离施工机械</w:t>
      </w:r>
      <w:r>
        <w:rPr>
          <w:rFonts w:hint="eastAsia"/>
          <w:bCs/>
          <w:color w:val="000000" w:themeColor="text1"/>
          <w:szCs w:val="20"/>
          <w:highlight w:val="none"/>
          <w:lang w:val="en-US" w:eastAsia="zh-CN"/>
        </w:rPr>
        <w:t>4</w:t>
      </w:r>
      <w:r>
        <w:rPr>
          <w:bCs/>
          <w:color w:val="000000" w:themeColor="text1"/>
          <w:szCs w:val="20"/>
          <w:highlight w:val="none"/>
        </w:rPr>
        <w:t>00m处可以满足夜间55dB（A）标准；多种施工机械同时作业时，路基基础施工阶段昼间施工噪声在距离施工机械100m处可满足昼间70dB（A）标准，夜间施工在距离施工机械600m处可以满足夜间55dB（A）的标准；面层施工阶段昼间施工噪声在距离施工机械56m处可满足昼间70dB（A）标准，夜间施工在距离施工机械318m处可以满足夜间55dB（A）的标准。</w:t>
      </w:r>
    </w:p>
    <w:p w14:paraId="0B755F7F">
      <w:pPr>
        <w:pageBreakBefore w:val="0"/>
        <w:wordWrap/>
        <w:topLinePunct w:val="0"/>
        <w:bidi w:val="0"/>
        <w:spacing w:line="360" w:lineRule="auto"/>
        <w:rPr>
          <w:color w:val="000000" w:themeColor="text1"/>
          <w:highlight w:val="none"/>
        </w:rPr>
      </w:pPr>
      <w:r>
        <w:rPr>
          <w:color w:val="000000" w:themeColor="text1"/>
          <w:highlight w:val="none"/>
        </w:rPr>
        <w:t>因此本评价要求施工时合理安排施工时间，禁止夜间（22:00～06:00）施工作业；施工时设置高3m移动式隔声隔尘挡板</w:t>
      </w:r>
      <w:r>
        <w:rPr>
          <w:rFonts w:hint="eastAsia"/>
          <w:color w:val="000000" w:themeColor="text1"/>
          <w:highlight w:val="none"/>
          <w:lang w:val="en-US" w:eastAsia="zh-CN"/>
        </w:rPr>
        <w:t>，</w:t>
      </w:r>
      <w:r>
        <w:rPr>
          <w:color w:val="000000" w:themeColor="text1"/>
          <w:highlight w:val="none"/>
        </w:rPr>
        <w:t>并对高噪声施工机械采取消声减震措施，避免高噪声设备同时使用</w:t>
      </w:r>
      <w:r>
        <w:rPr>
          <w:rFonts w:hint="eastAsia"/>
          <w:color w:val="000000" w:themeColor="text1"/>
          <w:highlight w:val="none"/>
          <w:lang w:eastAsia="zh-CN"/>
        </w:rPr>
        <w:t>，</w:t>
      </w:r>
      <w:r>
        <w:rPr>
          <w:rFonts w:hint="eastAsia"/>
          <w:color w:val="000000" w:themeColor="text1"/>
          <w:highlight w:val="none"/>
          <w:lang w:val="en-US" w:eastAsia="zh-CN"/>
        </w:rPr>
        <w:t>敏感路段实行限速管理</w:t>
      </w:r>
      <w:r>
        <w:rPr>
          <w:color w:val="000000" w:themeColor="text1"/>
          <w:highlight w:val="none"/>
        </w:rPr>
        <w:t>。</w:t>
      </w:r>
    </w:p>
    <w:p w14:paraId="104C2F6F">
      <w:pPr>
        <w:pageBreakBefore w:val="0"/>
        <w:wordWrap/>
        <w:topLinePunct w:val="0"/>
        <w:bidi w:val="0"/>
        <w:spacing w:line="360" w:lineRule="auto"/>
        <w:rPr>
          <w:color w:val="000000" w:themeColor="text1"/>
          <w:highlight w:val="none"/>
        </w:rPr>
      </w:pPr>
      <w:r>
        <w:rPr>
          <w:color w:val="000000" w:themeColor="text1"/>
          <w:highlight w:val="none"/>
        </w:rPr>
        <w:t>采取上述措施，施工厂界噪声排放满足《建筑施工场界环境噪声排放标准》（GB12523-2011），即昼间70dB</w:t>
      </w:r>
      <w:r>
        <w:rPr>
          <w:rFonts w:hint="eastAsia"/>
          <w:color w:val="000000" w:themeColor="text1"/>
          <w:highlight w:val="none"/>
          <w:lang w:eastAsia="zh-CN"/>
        </w:rPr>
        <w:t>（</w:t>
      </w:r>
      <w:r>
        <w:rPr>
          <w:color w:val="000000" w:themeColor="text1"/>
          <w:highlight w:val="none"/>
        </w:rPr>
        <w:t>A</w:t>
      </w:r>
      <w:r>
        <w:rPr>
          <w:rFonts w:hint="eastAsia"/>
          <w:color w:val="000000" w:themeColor="text1"/>
          <w:highlight w:val="none"/>
          <w:lang w:eastAsia="zh-CN"/>
        </w:rPr>
        <w:t>）</w:t>
      </w:r>
      <w:r>
        <w:rPr>
          <w:color w:val="000000" w:themeColor="text1"/>
          <w:highlight w:val="none"/>
        </w:rPr>
        <w:t>、夜间55dB</w:t>
      </w:r>
      <w:r>
        <w:rPr>
          <w:rFonts w:hint="eastAsia"/>
          <w:color w:val="000000" w:themeColor="text1"/>
          <w:highlight w:val="none"/>
          <w:lang w:eastAsia="zh-CN"/>
        </w:rPr>
        <w:t>（</w:t>
      </w:r>
      <w:r>
        <w:rPr>
          <w:color w:val="000000" w:themeColor="text1"/>
          <w:highlight w:val="none"/>
        </w:rPr>
        <w:t>A</w:t>
      </w:r>
      <w:r>
        <w:rPr>
          <w:rFonts w:hint="eastAsia"/>
          <w:color w:val="000000" w:themeColor="text1"/>
          <w:highlight w:val="none"/>
          <w:lang w:eastAsia="zh-CN"/>
        </w:rPr>
        <w:t>）</w:t>
      </w:r>
      <w:r>
        <w:rPr>
          <w:color w:val="000000" w:themeColor="text1"/>
          <w:highlight w:val="none"/>
        </w:rPr>
        <w:t>。</w:t>
      </w:r>
    </w:p>
    <w:p w14:paraId="7E73C4F6">
      <w:pPr>
        <w:pageBreakBefore w:val="0"/>
        <w:wordWrap/>
        <w:topLinePunct w:val="0"/>
        <w:bidi w:val="0"/>
        <w:spacing w:line="360" w:lineRule="auto"/>
        <w:rPr>
          <w:color w:val="000000" w:themeColor="text1"/>
          <w:highlight w:val="none"/>
        </w:rPr>
      </w:pPr>
      <w:r>
        <w:rPr>
          <w:color w:val="000000" w:themeColor="text1"/>
          <w:highlight w:val="none"/>
        </w:rPr>
        <w:t>拟建公路施工期</w:t>
      </w:r>
      <w:r>
        <w:rPr>
          <w:rFonts w:hint="eastAsia"/>
          <w:color w:val="000000" w:themeColor="text1"/>
          <w:highlight w:val="none"/>
        </w:rPr>
        <w:t>较短</w:t>
      </w:r>
      <w:r>
        <w:rPr>
          <w:color w:val="000000" w:themeColor="text1"/>
          <w:highlight w:val="none"/>
        </w:rPr>
        <w:t>，施工噪声对沿线影响属于短期的、暂时的，施工结束后就会自然消失。</w:t>
      </w:r>
    </w:p>
    <w:p w14:paraId="0742C9D8">
      <w:pPr>
        <w:pageBreakBefore w:val="0"/>
        <w:wordWrap/>
        <w:topLinePunct w:val="0"/>
        <w:bidi w:val="0"/>
        <w:spacing w:line="360" w:lineRule="auto"/>
        <w:rPr>
          <w:color w:val="000000" w:themeColor="text1"/>
          <w:highlight w:val="none"/>
        </w:rPr>
      </w:pPr>
      <w:r>
        <w:rPr>
          <w:color w:val="000000" w:themeColor="text1"/>
          <w:highlight w:val="none"/>
        </w:rPr>
        <w:t>（2）运营期</w:t>
      </w:r>
    </w:p>
    <w:p w14:paraId="283C999B">
      <w:pPr>
        <w:pageBreakBefore w:val="0"/>
        <w:wordWrap/>
        <w:topLinePunct w:val="0"/>
        <w:bidi w:val="0"/>
        <w:spacing w:line="360" w:lineRule="auto"/>
        <w:rPr>
          <w:rFonts w:hint="default" w:ascii="Times New Roman" w:hAnsi="Times New Roman" w:cs="宋体"/>
          <w:color w:val="000000" w:themeColor="text1"/>
          <w:highlight w:val="none"/>
          <w:lang w:val="en-US" w:eastAsia="zh-CN"/>
        </w:rPr>
      </w:pPr>
      <w:r>
        <w:rPr>
          <w:color w:val="000000" w:themeColor="text1"/>
          <w:highlight w:val="none"/>
        </w:rPr>
        <w:t>项目运营期采取加强公路绿化措施；加强公路管理及路面养护，保持公路良好运营状态，并加强管理，预留环保资金。由预测结果可知，</w:t>
      </w:r>
      <w:r>
        <w:rPr>
          <w:rFonts w:hint="eastAsia" w:ascii="Times New Roman" w:hAnsi="Times New Roman" w:cs="宋体"/>
          <w:color w:val="000000" w:themeColor="text1"/>
          <w:highlight w:val="none"/>
          <w:lang w:val="en-US" w:eastAsia="zh-CN"/>
        </w:rPr>
        <w:t>在仅考虑距离衰减情况下，</w:t>
      </w:r>
      <w:r>
        <w:rPr>
          <w:rFonts w:hint="default"/>
          <w:color w:val="000000" w:themeColor="text1"/>
          <w:highlight w:val="none"/>
          <w:lang w:val="en-US" w:eastAsia="zh-CN"/>
        </w:rPr>
        <w:t>4a</w:t>
      </w:r>
      <w:r>
        <w:rPr>
          <w:rFonts w:hint="eastAsia"/>
          <w:color w:val="000000" w:themeColor="text1"/>
          <w:highlight w:val="none"/>
          <w:lang w:val="en-US" w:eastAsia="zh-CN"/>
        </w:rPr>
        <w:t>类声环境功能区近期昼间、夜间功能区均达标；中期昼间、夜间功能区均达标；远期昼间功能区达标、远期夜间超标，夜间达标距离道路边界线30m；2类声环境功能区近期昼间、夜间在功能区内均达标；中期昼间、夜间在功能区内均达标；远期昼间、夜间在功能区内均达标。</w:t>
      </w:r>
    </w:p>
    <w:p w14:paraId="4F4C9085">
      <w:pPr>
        <w:pageBreakBefore w:val="0"/>
        <w:wordWrap/>
        <w:topLinePunct w:val="0"/>
        <w:bidi w:val="0"/>
        <w:spacing w:line="360" w:lineRule="auto"/>
        <w:rPr>
          <w:color w:val="000000" w:themeColor="text1"/>
          <w:highlight w:val="none"/>
        </w:rPr>
      </w:pPr>
      <w:r>
        <w:rPr>
          <w:color w:val="000000" w:themeColor="text1"/>
          <w:highlight w:val="none"/>
        </w:rPr>
        <w:t>综上所述，项目运营期产生的噪声对周围环境影响较小。</w:t>
      </w:r>
    </w:p>
    <w:p w14:paraId="0E093E52">
      <w:pPr>
        <w:pStyle w:val="4"/>
        <w:pageBreakBefore w:val="0"/>
        <w:wordWrap/>
        <w:topLinePunct w:val="0"/>
        <w:bidi w:val="0"/>
        <w:spacing w:beforeLines="0" w:line="360" w:lineRule="auto"/>
        <w:ind w:left="426"/>
        <w:rPr>
          <w:color w:val="000000" w:themeColor="text1"/>
          <w:highlight w:val="none"/>
        </w:rPr>
      </w:pPr>
      <w:bookmarkStart w:id="621" w:name="_Toc27687"/>
      <w:bookmarkStart w:id="622" w:name="_Toc18150"/>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.4.3环境空气</w:t>
      </w:r>
      <w:bookmarkEnd w:id="621"/>
      <w:bookmarkEnd w:id="622"/>
    </w:p>
    <w:p w14:paraId="2FDED54D">
      <w:pPr>
        <w:pageBreakBefore w:val="0"/>
        <w:wordWrap/>
        <w:topLinePunct w:val="0"/>
        <w:bidi w:val="0"/>
        <w:spacing w:line="360" w:lineRule="auto"/>
        <w:rPr>
          <w:color w:val="000000" w:themeColor="text1"/>
          <w:highlight w:val="none"/>
        </w:rPr>
      </w:pPr>
      <w:bookmarkStart w:id="623" w:name="_Toc23224"/>
      <w:bookmarkStart w:id="624" w:name="_Toc29079"/>
      <w:r>
        <w:rPr>
          <w:rFonts w:hint="eastAsia"/>
          <w:color w:val="000000" w:themeColor="text1"/>
          <w:highlight w:val="none"/>
        </w:rPr>
        <w:t>（1）施工期</w:t>
      </w:r>
    </w:p>
    <w:p w14:paraId="2F38E7B3">
      <w:pPr>
        <w:pageBreakBefore w:val="0"/>
        <w:wordWrap/>
        <w:topLinePunct w:val="0"/>
        <w:bidi w:val="0"/>
        <w:spacing w:line="360" w:lineRule="auto"/>
        <w:rPr>
          <w:color w:val="000000" w:themeColor="text1"/>
          <w:highlight w:val="none"/>
        </w:rPr>
      </w:pPr>
      <w:r>
        <w:rPr>
          <w:color w:val="000000" w:themeColor="text1"/>
          <w:highlight w:val="none"/>
        </w:rPr>
        <w:t>本项目施工期大气环境主要污染物为粉尘、扬尘</w:t>
      </w:r>
      <w:r>
        <w:rPr>
          <w:rFonts w:hint="eastAsia"/>
          <w:color w:val="000000" w:themeColor="text1"/>
          <w:highlight w:val="none"/>
          <w:lang w:val="en-US" w:eastAsia="zh-CN"/>
        </w:rPr>
        <w:t>及沥青烟</w:t>
      </w:r>
      <w:r>
        <w:rPr>
          <w:color w:val="000000" w:themeColor="text1"/>
          <w:highlight w:val="none"/>
        </w:rPr>
        <w:t>，对环境空气产生一定影响，但影响范围与道路走向一至致，呈条带状，属于短期影响，施工结束后影响消失。因此，施工期运输材料车辆密闭或遮盖，途经敏感点路段设置移动式隔声、隔尘挡板，施工场地、运输道路表面采取硬化措施，并强化施工期散水降尘措施，对周边环境影响较小。此外，本项目基层拌合站周边200m范围、面层拌合站周边300m范围内无居民分布，其中基层拌合站建立时采取有效除尘措施，</w:t>
      </w:r>
      <w:r>
        <w:rPr>
          <w:rFonts w:hint="eastAsia"/>
          <w:color w:val="000000" w:themeColor="text1"/>
          <w:kern w:val="2"/>
          <w:sz w:val="24"/>
          <w:highlight w:val="none"/>
        </w:rPr>
        <w:t>沥青拌合站搅拌机楼采用全封闭设计，并设有沥青烟回收装置，采用风机将产生的沥青烟导入沥青拌合站的柴油燃烧器中燃烧，沥青烟处理效率可达99.5%以上，项目烘干滚筒产生的颗粒物与燃烧器产生废气通入搅拌楼里与搅拌楼废气一同引入除尘效率为99%的布袋除尘后净化沥青烟颗粒、苯并[a]芘等，处理后的混合气体通过引风机（总风量为10000m</w:t>
      </w:r>
      <w:r>
        <w:rPr>
          <w:rFonts w:hint="eastAsia"/>
          <w:color w:val="000000" w:themeColor="text1"/>
          <w:kern w:val="2"/>
          <w:sz w:val="24"/>
          <w:highlight w:val="none"/>
          <w:vertAlign w:val="superscript"/>
        </w:rPr>
        <w:t>3</w:t>
      </w:r>
      <w:r>
        <w:rPr>
          <w:rFonts w:hint="eastAsia"/>
          <w:color w:val="000000" w:themeColor="text1"/>
          <w:kern w:val="2"/>
          <w:sz w:val="24"/>
          <w:highlight w:val="none"/>
        </w:rPr>
        <w:t>/h）引至15m高排气筒（DA001）排放。</w:t>
      </w:r>
      <w:r>
        <w:rPr>
          <w:color w:val="000000" w:themeColor="text1"/>
          <w:highlight w:val="none"/>
        </w:rPr>
        <w:t>采取上述措施后，施工场界处扬尘满足《大气污染物综合排放标准》（GB16297-1996）规定的颗粒物无组织排放监控浓度1.0mg/m</w:t>
      </w:r>
      <w:r>
        <w:rPr>
          <w:color w:val="000000" w:themeColor="text1"/>
          <w:highlight w:val="none"/>
          <w:vertAlign w:val="superscript"/>
        </w:rPr>
        <w:t>3</w:t>
      </w:r>
      <w:r>
        <w:rPr>
          <w:color w:val="000000" w:themeColor="text1"/>
          <w:highlight w:val="none"/>
        </w:rPr>
        <w:t>要求</w:t>
      </w:r>
      <w:r>
        <w:rPr>
          <w:rFonts w:hint="eastAsia"/>
          <w:color w:val="000000" w:themeColor="text1"/>
          <w:highlight w:val="none"/>
        </w:rPr>
        <w:t>；</w:t>
      </w:r>
      <w:r>
        <w:rPr>
          <w:color w:val="000000" w:themeColor="text1"/>
          <w:highlight w:val="none"/>
        </w:rPr>
        <w:t>沥青混凝土拌合楼</w:t>
      </w:r>
      <w:r>
        <w:rPr>
          <w:rFonts w:hint="eastAsia"/>
          <w:color w:val="000000" w:themeColor="text1"/>
          <w:highlight w:val="none"/>
        </w:rPr>
        <w:t>有组织废气中的</w:t>
      </w:r>
      <w:r>
        <w:rPr>
          <w:color w:val="000000" w:themeColor="text1"/>
          <w:highlight w:val="none"/>
        </w:rPr>
        <w:t>苯并芘、非甲烷总烃</w:t>
      </w:r>
      <w:r>
        <w:rPr>
          <w:rFonts w:hint="eastAsia"/>
          <w:color w:val="000000" w:themeColor="text1"/>
          <w:highlight w:val="none"/>
        </w:rPr>
        <w:t>、颗粒物、SO</w:t>
      </w:r>
      <w:r>
        <w:rPr>
          <w:rFonts w:hint="eastAsia"/>
          <w:color w:val="000000" w:themeColor="text1"/>
          <w:highlight w:val="none"/>
          <w:vertAlign w:val="subscript"/>
        </w:rPr>
        <w:t>2</w:t>
      </w:r>
      <w:r>
        <w:rPr>
          <w:rFonts w:hint="eastAsia"/>
          <w:color w:val="000000" w:themeColor="text1"/>
          <w:highlight w:val="none"/>
        </w:rPr>
        <w:t>、NOx及沥青烟排放浓度均</w:t>
      </w:r>
      <w:r>
        <w:rPr>
          <w:color w:val="000000" w:themeColor="text1"/>
          <w:highlight w:val="none"/>
        </w:rPr>
        <w:t>满足《大气污染物综合排放标准》（GB 16297-2012）表2中</w:t>
      </w:r>
      <w:r>
        <w:rPr>
          <w:rFonts w:hint="eastAsia"/>
          <w:color w:val="000000" w:themeColor="text1"/>
          <w:highlight w:val="none"/>
        </w:rPr>
        <w:t>的</w:t>
      </w:r>
      <w:r>
        <w:rPr>
          <w:color w:val="000000" w:themeColor="text1"/>
          <w:highlight w:val="none"/>
        </w:rPr>
        <w:t>二级标准</w:t>
      </w:r>
      <w:r>
        <w:rPr>
          <w:rFonts w:hint="eastAsia"/>
          <w:color w:val="000000" w:themeColor="text1"/>
          <w:highlight w:val="none"/>
        </w:rPr>
        <w:t>；沥青拌合站无组织</w:t>
      </w:r>
      <w:r>
        <w:rPr>
          <w:color w:val="000000" w:themeColor="text1"/>
          <w:highlight w:val="none"/>
        </w:rPr>
        <w:t>颗粒物、</w:t>
      </w:r>
      <w:r>
        <w:rPr>
          <w:rFonts w:hint="eastAsia"/>
          <w:color w:val="000000" w:themeColor="text1"/>
          <w:highlight w:val="none"/>
        </w:rPr>
        <w:t>非甲烷总烃、</w:t>
      </w:r>
      <w:r>
        <w:rPr>
          <w:color w:val="000000" w:themeColor="text1"/>
          <w:highlight w:val="none"/>
        </w:rPr>
        <w:t>苯并芘</w:t>
      </w:r>
      <w:r>
        <w:rPr>
          <w:rFonts w:hint="eastAsia"/>
          <w:color w:val="000000" w:themeColor="text1"/>
          <w:highlight w:val="none"/>
        </w:rPr>
        <w:t>、SO</w:t>
      </w:r>
      <w:r>
        <w:rPr>
          <w:rFonts w:hint="eastAsia"/>
          <w:color w:val="000000" w:themeColor="text1"/>
          <w:highlight w:val="none"/>
          <w:vertAlign w:val="subscript"/>
        </w:rPr>
        <w:t>2</w:t>
      </w:r>
      <w:r>
        <w:rPr>
          <w:rFonts w:hint="eastAsia"/>
          <w:color w:val="000000" w:themeColor="text1"/>
          <w:highlight w:val="none"/>
        </w:rPr>
        <w:t>、NOx及沥青烟浓度</w:t>
      </w:r>
      <w:r>
        <w:rPr>
          <w:color w:val="000000" w:themeColor="text1"/>
          <w:highlight w:val="none"/>
        </w:rPr>
        <w:t>均满足《大气污染物综合排放标准》（GB16297-1996）</w:t>
      </w:r>
      <w:r>
        <w:rPr>
          <w:rFonts w:hint="eastAsia"/>
          <w:color w:val="000000" w:themeColor="text1"/>
          <w:highlight w:val="none"/>
        </w:rPr>
        <w:t>表2中的二级标准</w:t>
      </w:r>
      <w:r>
        <w:rPr>
          <w:rFonts w:hint="eastAsia"/>
          <w:color w:val="000000" w:themeColor="text1"/>
          <w:highlight w:val="none"/>
          <w:lang w:val="en-US" w:eastAsia="zh-CN"/>
        </w:rPr>
        <w:t>及《水泥工业大气污染物排放标准》（</w:t>
      </w:r>
      <w:r>
        <w:rPr>
          <w:rFonts w:hint="default"/>
          <w:color w:val="000000" w:themeColor="text1"/>
          <w:highlight w:val="none"/>
          <w:lang w:val="en-US" w:eastAsia="zh-CN"/>
        </w:rPr>
        <w:t>GB4915-2013</w:t>
      </w:r>
      <w:r>
        <w:rPr>
          <w:rFonts w:hint="eastAsia"/>
          <w:color w:val="000000" w:themeColor="text1"/>
          <w:highlight w:val="none"/>
          <w:lang w:val="en-US" w:eastAsia="zh-CN"/>
        </w:rPr>
        <w:t>）中的颗粒物排放标准限值要求</w:t>
      </w:r>
      <w:r>
        <w:rPr>
          <w:color w:val="000000" w:themeColor="text1"/>
          <w:highlight w:val="none"/>
        </w:rPr>
        <w:t>。</w:t>
      </w:r>
    </w:p>
    <w:p w14:paraId="4AF614DD">
      <w:pPr>
        <w:pageBreakBefore w:val="0"/>
        <w:wordWrap/>
        <w:topLinePunct w:val="0"/>
        <w:bidi w:val="0"/>
        <w:spacing w:line="360" w:lineRule="auto"/>
        <w:rPr>
          <w:color w:val="000000" w:themeColor="text1"/>
          <w:highlight w:val="none"/>
        </w:rPr>
      </w:pPr>
      <w:r>
        <w:rPr>
          <w:rFonts w:hint="eastAsia"/>
          <w:color w:val="000000" w:themeColor="text1"/>
          <w:highlight w:val="none"/>
        </w:rPr>
        <w:t>（2）运营期</w:t>
      </w:r>
    </w:p>
    <w:p w14:paraId="61C49A78">
      <w:pPr>
        <w:pageBreakBefore w:val="0"/>
        <w:wordWrap/>
        <w:topLinePunct w:val="0"/>
        <w:bidi w:val="0"/>
        <w:spacing w:line="360" w:lineRule="auto"/>
        <w:rPr>
          <w:color w:val="000000" w:themeColor="text1"/>
          <w:highlight w:val="none"/>
        </w:rPr>
      </w:pPr>
      <w:r>
        <w:rPr>
          <w:color w:val="000000" w:themeColor="text1"/>
          <w:highlight w:val="none"/>
        </w:rPr>
        <w:t>本项目运营期加强公路管理及路面养护，保持公路良好运营状态；对于装有易产生扬尘运输车辆要求罩盖篷布，防止运输中飞扬洒落</w:t>
      </w:r>
      <w:r>
        <w:rPr>
          <w:rFonts w:hint="eastAsia"/>
          <w:color w:val="000000" w:themeColor="text1"/>
          <w:highlight w:val="none"/>
          <w:lang w:eastAsia="zh-CN"/>
        </w:rPr>
        <w:t>；</w:t>
      </w:r>
      <w:r>
        <w:rPr>
          <w:color w:val="000000" w:themeColor="text1"/>
          <w:highlight w:val="none"/>
        </w:rPr>
        <w:t>公路两侧种植适宜当地生长的林草，增加沿线植被覆盖率，净化尾气、扬尘等，改善路边景观及行车环境。</w:t>
      </w:r>
    </w:p>
    <w:p w14:paraId="35C142D0">
      <w:pPr>
        <w:pageBreakBefore w:val="0"/>
        <w:wordWrap/>
        <w:topLinePunct w:val="0"/>
        <w:bidi w:val="0"/>
        <w:spacing w:line="360" w:lineRule="auto"/>
        <w:rPr>
          <w:rFonts w:hint="eastAsia"/>
          <w:color w:val="000000" w:themeColor="text1"/>
          <w:highlight w:val="none"/>
        </w:rPr>
      </w:pPr>
      <w:r>
        <w:rPr>
          <w:rFonts w:hint="eastAsia"/>
          <w:color w:val="000000" w:themeColor="text1"/>
          <w:highlight w:val="none"/>
        </w:rPr>
        <w:t>综上，采取以上防治措施可大大降低对周围环境空气的影响，本项目大气污染防治措施是可行的。</w:t>
      </w:r>
    </w:p>
    <w:p w14:paraId="7B34FCBC">
      <w:pPr>
        <w:pStyle w:val="4"/>
        <w:pageBreakBefore w:val="0"/>
        <w:wordWrap/>
        <w:topLinePunct w:val="0"/>
        <w:bidi w:val="0"/>
        <w:spacing w:beforeLines="0" w:line="360" w:lineRule="auto"/>
        <w:ind w:left="426"/>
        <w:rPr>
          <w:color w:val="000000" w:themeColor="text1"/>
          <w:highlight w:val="none"/>
        </w:rPr>
      </w:pPr>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.4.4地表水环境</w:t>
      </w:r>
      <w:bookmarkEnd w:id="623"/>
      <w:bookmarkEnd w:id="624"/>
    </w:p>
    <w:p w14:paraId="7388A1E8">
      <w:pPr>
        <w:pageBreakBefore w:val="0"/>
        <w:wordWrap/>
        <w:topLinePunct w:val="0"/>
        <w:bidi w:val="0"/>
        <w:spacing w:line="360" w:lineRule="auto"/>
        <w:rPr>
          <w:color w:val="000000" w:themeColor="text1"/>
          <w:highlight w:val="none"/>
        </w:rPr>
      </w:pPr>
      <w:r>
        <w:rPr>
          <w:rFonts w:hint="eastAsia"/>
          <w:color w:val="000000" w:themeColor="text1"/>
          <w:highlight w:val="none"/>
        </w:rPr>
        <w:t>（1）施工期</w:t>
      </w:r>
    </w:p>
    <w:p w14:paraId="5F42A093">
      <w:pPr>
        <w:pageBreakBefore w:val="0"/>
        <w:wordWrap/>
        <w:topLinePunct w:val="0"/>
        <w:bidi w:val="0"/>
        <w:spacing w:line="360" w:lineRule="auto"/>
        <w:rPr>
          <w:color w:val="000000" w:themeColor="text1"/>
          <w:highlight w:val="none"/>
        </w:rPr>
      </w:pPr>
      <w:r>
        <w:rPr>
          <w:rFonts w:hint="eastAsia"/>
          <w:color w:val="000000" w:themeColor="text1"/>
          <w:highlight w:val="none"/>
        </w:rPr>
        <w:t>本项目施工场地生活污水排入防渗旱厕，定期清掏；施工场地基层水泥混凝土拌合废水产生经设置的临时沉淀池集中处理后，用于施工场地洒水降尘，不外排；施工场地施工机械和车辆清洗废水经设置的临时隔油沉淀池集中处理后，用于施工场地洒水降尘，不外排</w:t>
      </w:r>
      <w:r>
        <w:rPr>
          <w:rFonts w:hint="eastAsia"/>
          <w:color w:val="000000" w:themeColor="text1"/>
          <w:highlight w:val="none"/>
          <w:lang w:eastAsia="zh-CN"/>
        </w:rPr>
        <w:t>。</w:t>
      </w:r>
      <w:r>
        <w:rPr>
          <w:rFonts w:hint="eastAsia"/>
          <w:color w:val="000000" w:themeColor="text1"/>
          <w:highlight w:val="none"/>
        </w:rPr>
        <w:t>沉淀废渣</w:t>
      </w:r>
      <w:r>
        <w:rPr>
          <w:rFonts w:hint="eastAsia"/>
          <w:color w:val="000000" w:themeColor="text1"/>
          <w:highlight w:val="none"/>
          <w:lang w:val="en-US" w:eastAsia="zh-CN"/>
        </w:rPr>
        <w:t>作为施工结束后沉淀池平整填埋使用</w:t>
      </w:r>
      <w:r>
        <w:rPr>
          <w:rFonts w:hint="eastAsia"/>
          <w:color w:val="000000" w:themeColor="text1"/>
          <w:highlight w:val="none"/>
        </w:rPr>
        <w:t>。</w:t>
      </w:r>
    </w:p>
    <w:p w14:paraId="3F960A32">
      <w:pPr>
        <w:pageBreakBefore w:val="0"/>
        <w:wordWrap/>
        <w:topLinePunct w:val="0"/>
        <w:bidi w:val="0"/>
        <w:spacing w:line="360" w:lineRule="auto"/>
        <w:rPr>
          <w:color w:val="000000" w:themeColor="text1"/>
          <w:highlight w:val="none"/>
        </w:rPr>
      </w:pPr>
      <w:r>
        <w:rPr>
          <w:rFonts w:hint="eastAsia"/>
          <w:color w:val="000000" w:themeColor="text1"/>
          <w:highlight w:val="none"/>
        </w:rPr>
        <w:t>本项目桥梁桥墩钻孔施工将产生泥浆和钻渣。泥浆废水经泥浆分离机分离后，泥浆回用，废水作为施工区降尘用水。施工结束后的废弃泥浆经干化后在原临时施工场地内作为沉淀池和场地平整的回填土进行回填。</w:t>
      </w:r>
    </w:p>
    <w:p w14:paraId="5C807C06">
      <w:pPr>
        <w:pageBreakBefore w:val="0"/>
        <w:wordWrap/>
        <w:topLinePunct w:val="0"/>
        <w:bidi w:val="0"/>
        <w:spacing w:line="360" w:lineRule="auto"/>
        <w:rPr>
          <w:color w:val="000000" w:themeColor="text1"/>
          <w:highlight w:val="none"/>
        </w:rPr>
      </w:pPr>
      <w:r>
        <w:rPr>
          <w:rFonts w:hint="eastAsia"/>
          <w:color w:val="000000" w:themeColor="text1"/>
          <w:highlight w:val="none"/>
        </w:rPr>
        <w:t>清孔钻渣经沉淀池沉淀处理，废水作为施工场地及施工道路洒水循环使用，沉淀钻渣运至填方路段进行填方使用。</w:t>
      </w:r>
    </w:p>
    <w:p w14:paraId="4F0262EF">
      <w:pPr>
        <w:pageBreakBefore w:val="0"/>
        <w:wordWrap/>
        <w:topLinePunct w:val="0"/>
        <w:bidi w:val="0"/>
        <w:spacing w:line="360" w:lineRule="auto"/>
        <w:rPr>
          <w:color w:val="000000" w:themeColor="text1"/>
          <w:highlight w:val="none"/>
        </w:rPr>
      </w:pPr>
      <w:r>
        <w:rPr>
          <w:rFonts w:hint="eastAsia"/>
          <w:color w:val="000000" w:themeColor="text1"/>
          <w:highlight w:val="none"/>
        </w:rPr>
        <w:t>（2）运营期</w:t>
      </w:r>
    </w:p>
    <w:p w14:paraId="310459F1">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t>路面径流污染物浓度特点为降雨初期到形成路面径流的30min内，路面径流中的悬浮物和油类物质的浓度比较高，30min后其浓度随降雨历时的延长下降较快，化学需氧量浓度随降雨历时的延长下降速度较悬浮物和油类物质慢，降雨经过一段时间后，污染会逐渐降低。</w:t>
      </w:r>
    </w:p>
    <w:p w14:paraId="7F880901">
      <w:pPr>
        <w:pageBreakBefore w:val="0"/>
        <w:wordWrap/>
        <w:topLinePunct w:val="0"/>
        <w:bidi w:val="0"/>
        <w:spacing w:line="360" w:lineRule="auto"/>
        <w:rPr>
          <w:color w:val="000000" w:themeColor="text1"/>
          <w:highlight w:val="none"/>
        </w:rPr>
      </w:pPr>
      <w:r>
        <w:rPr>
          <w:rFonts w:hint="eastAsia"/>
          <w:color w:val="000000" w:themeColor="text1"/>
          <w:highlight w:val="none"/>
          <w:lang w:val="en-US" w:eastAsia="zh-CN"/>
        </w:rPr>
        <w:t>地面径流中的污染物主要产生在一次降水初期，在路面污染负荷一定的情况下，降雨初期路面径流污染一般随着降雨量的增加而增大，以降雨初期形成的地表径流浓度最高，随降雨径流形成时间延长而逐渐降低，如地面径流散排将对地表水体产生一定不利影响。在运营期中应特别注意保持路面雨水的收集和导排能力，并加强道路路面的清洁工作。本项目道路路面雨水可以排入项目两侧的边沟中，道路径流污染物经过稀释、自净的过程作用后会降低，排入道路两侧的排水沟中</w:t>
      </w:r>
      <w:r>
        <w:rPr>
          <w:color w:val="000000" w:themeColor="text1"/>
          <w:highlight w:val="none"/>
        </w:rPr>
        <w:t>。</w:t>
      </w:r>
    </w:p>
    <w:p w14:paraId="7FBA96B5">
      <w:pPr>
        <w:pStyle w:val="4"/>
        <w:pageBreakBefore w:val="0"/>
        <w:wordWrap/>
        <w:topLinePunct w:val="0"/>
        <w:bidi w:val="0"/>
        <w:spacing w:beforeLines="0" w:line="360" w:lineRule="auto"/>
        <w:ind w:left="426"/>
        <w:rPr>
          <w:color w:val="000000" w:themeColor="text1"/>
          <w:highlight w:val="none"/>
        </w:rPr>
      </w:pPr>
      <w:bookmarkStart w:id="625" w:name="_Toc32482"/>
      <w:bookmarkStart w:id="626" w:name="_Toc21008"/>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.4.5固体废物</w:t>
      </w:r>
      <w:bookmarkEnd w:id="625"/>
      <w:bookmarkEnd w:id="626"/>
    </w:p>
    <w:p w14:paraId="75F87C6C">
      <w:pPr>
        <w:pageBreakBefore w:val="0"/>
        <w:wordWrap/>
        <w:topLinePunct w:val="0"/>
        <w:bidi w:val="0"/>
        <w:spacing w:line="360" w:lineRule="auto"/>
        <w:rPr>
          <w:color w:val="000000" w:themeColor="text1"/>
          <w:highlight w:val="none"/>
        </w:rPr>
      </w:pPr>
      <w:r>
        <w:rPr>
          <w:rFonts w:hint="eastAsia"/>
          <w:color w:val="000000" w:themeColor="text1"/>
          <w:highlight w:val="none"/>
        </w:rPr>
        <w:t>（1）施工期</w:t>
      </w:r>
    </w:p>
    <w:p w14:paraId="472F9558">
      <w:pPr>
        <w:pageBreakBefore w:val="0"/>
        <w:wordWrap/>
        <w:topLinePunct w:val="0"/>
        <w:bidi w:val="0"/>
        <w:spacing w:line="360" w:lineRule="auto"/>
        <w:rPr>
          <w:color w:val="000000" w:themeColor="text1"/>
          <w:highlight w:val="none"/>
        </w:rPr>
      </w:pPr>
      <w:r>
        <w:rPr>
          <w:color w:val="000000" w:themeColor="text1"/>
          <w:highlight w:val="none"/>
        </w:rPr>
        <w:t>施工人员生活垃圾集中收集后，运至市政指定地点由市政统一处理，严禁随意丢弃。</w:t>
      </w:r>
      <w:r>
        <w:rPr>
          <w:rFonts w:hint="eastAsia"/>
          <w:color w:val="000000" w:themeColor="text1"/>
          <w:sz w:val="24"/>
          <w:szCs w:val="24"/>
          <w:highlight w:val="none"/>
          <w:lang w:val="en-US" w:eastAsia="zh-CN"/>
        </w:rPr>
        <w:t>本项目表土余方3.31万m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，依据《新建黑龙江鹤岗机场项目耕地耕作层土壤剥离利用方案》全部外运用于改良中低产和被污染耕地的治理，土方弃方2.89万m</w:t>
      </w:r>
      <w:r>
        <w:rPr>
          <w:rFonts w:hint="eastAsia"/>
          <w:color w:val="000000" w:themeColor="text1"/>
          <w:sz w:val="24"/>
          <w:szCs w:val="24"/>
          <w:highlight w:val="none"/>
          <w:vertAlign w:val="superscript"/>
          <w:lang w:val="en-US" w:eastAsia="zh-CN"/>
        </w:rPr>
        <w:t>3</w:t>
      </w:r>
      <w:r>
        <w:rPr>
          <w:rFonts w:hint="eastAsia"/>
          <w:color w:val="000000" w:themeColor="text1"/>
          <w:sz w:val="24"/>
          <w:szCs w:val="24"/>
          <w:highlight w:val="none"/>
          <w:lang w:val="en-US" w:eastAsia="zh-CN"/>
        </w:rPr>
        <w:t>全部运至志成村弃渣场，用于对弃渣场内废弃坑塘进行填筑、平整，弃渣场协议见附件9。</w:t>
      </w:r>
      <w:r>
        <w:rPr>
          <w:rFonts w:hint="eastAsia"/>
          <w:color w:val="000000" w:themeColor="text1"/>
          <w:highlight w:val="none"/>
        </w:rPr>
        <w:t>施工结束后临时工程拆除产生的建筑垃圾可进行分类处理，水泥、石块等建筑垃圾可运往建筑垃圾处置场，经处理后进行综合利用。桥梁施工过程中</w:t>
      </w:r>
      <w:r>
        <w:rPr>
          <w:color w:val="000000" w:themeColor="text1"/>
          <w:highlight w:val="none"/>
        </w:rPr>
        <w:t>泥浆废水经泥浆分离机处理后泥浆重复回用、废水用于降尘</w:t>
      </w:r>
      <w:r>
        <w:rPr>
          <w:rFonts w:hint="eastAsia"/>
          <w:color w:val="000000" w:themeColor="text1"/>
          <w:highlight w:val="none"/>
        </w:rPr>
        <w:t>用水，施工结束后少量剩余废泥浆经干化后作为原施工场地内沉淀池等平整填埋使用。废油类物质由隔油沉淀池隔离后，不设置单独贮存区，直接委托有相应处理资质的单位处置。</w:t>
      </w:r>
    </w:p>
    <w:p w14:paraId="07914776">
      <w:pPr>
        <w:pageBreakBefore w:val="0"/>
        <w:wordWrap/>
        <w:topLinePunct w:val="0"/>
        <w:bidi w:val="0"/>
        <w:spacing w:line="360" w:lineRule="auto"/>
        <w:rPr>
          <w:color w:val="000000" w:themeColor="text1"/>
          <w:highlight w:val="none"/>
        </w:rPr>
      </w:pPr>
      <w:r>
        <w:rPr>
          <w:color w:val="000000" w:themeColor="text1"/>
          <w:highlight w:val="none"/>
        </w:rPr>
        <w:t>施工期固体废物在采取措施后，得到合理处置，对周围环境影响较小。</w:t>
      </w:r>
    </w:p>
    <w:p w14:paraId="3EA4FF3B">
      <w:pPr>
        <w:pageBreakBefore w:val="0"/>
        <w:wordWrap/>
        <w:topLinePunct w:val="0"/>
        <w:bidi w:val="0"/>
        <w:spacing w:line="360" w:lineRule="auto"/>
        <w:rPr>
          <w:color w:val="000000" w:themeColor="text1"/>
          <w:highlight w:val="none"/>
        </w:rPr>
      </w:pPr>
      <w:r>
        <w:rPr>
          <w:color w:val="000000" w:themeColor="text1"/>
          <w:highlight w:val="none"/>
        </w:rPr>
        <w:t>（2）运营期</w:t>
      </w:r>
    </w:p>
    <w:p w14:paraId="3A198FE3">
      <w:pPr>
        <w:pageBreakBefore w:val="0"/>
        <w:wordWrap/>
        <w:topLinePunct w:val="0"/>
        <w:bidi w:val="0"/>
        <w:spacing w:line="360" w:lineRule="auto"/>
        <w:rPr>
          <w:rFonts w:hint="eastAsia"/>
          <w:color w:val="000000" w:themeColor="text1"/>
          <w:highlight w:val="none"/>
        </w:rPr>
      </w:pPr>
      <w:bookmarkStart w:id="627" w:name="_Toc3426"/>
      <w:bookmarkStart w:id="628" w:name="_Toc14350"/>
      <w:r>
        <w:rPr>
          <w:rFonts w:hint="eastAsia"/>
          <w:color w:val="000000" w:themeColor="text1"/>
          <w:highlight w:val="none"/>
        </w:rPr>
        <w:t>加强人员巡查，如发现有来往车辆乱扔生活垃圾应及时劝阻</w:t>
      </w:r>
      <w:r>
        <w:rPr>
          <w:rFonts w:hint="eastAsia"/>
          <w:color w:val="000000" w:themeColor="text1"/>
          <w:highlight w:val="none"/>
          <w:lang w:eastAsia="zh-CN"/>
        </w:rPr>
        <w:t>。</w:t>
      </w:r>
      <w:r>
        <w:rPr>
          <w:rFonts w:hint="eastAsia"/>
          <w:color w:val="000000" w:themeColor="text1"/>
          <w:highlight w:val="none"/>
        </w:rPr>
        <w:t>加强公路管理，若发现有生活垃圾应及时清理。项目无服务区、车站等主要集中式排放源，项目运营期自身无固体废物产生，基本不会对周围环境造成影响。</w:t>
      </w:r>
    </w:p>
    <w:bookmarkEnd w:id="627"/>
    <w:bookmarkEnd w:id="628"/>
    <w:p w14:paraId="2F258AD7">
      <w:pPr>
        <w:pStyle w:val="3"/>
        <w:pageBreakBefore w:val="0"/>
        <w:wordWrap/>
        <w:topLinePunct w:val="0"/>
        <w:bidi w:val="0"/>
        <w:spacing w:line="360" w:lineRule="auto"/>
        <w:rPr>
          <w:color w:val="000000" w:themeColor="text1"/>
          <w:highlight w:val="none"/>
        </w:rPr>
      </w:pPr>
      <w:bookmarkStart w:id="629" w:name="_Toc24885"/>
      <w:bookmarkStart w:id="630" w:name="_Toc13334"/>
      <w:bookmarkStart w:id="631" w:name="_Toc451873641"/>
      <w:bookmarkStart w:id="632" w:name="_Toc15054"/>
      <w:bookmarkStart w:id="633" w:name="_Toc16546"/>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.5环境风险评价</w:t>
      </w:r>
      <w:bookmarkEnd w:id="629"/>
      <w:bookmarkEnd w:id="630"/>
      <w:bookmarkEnd w:id="631"/>
      <w:bookmarkEnd w:id="632"/>
      <w:bookmarkEnd w:id="633"/>
    </w:p>
    <w:p w14:paraId="2AAEC69E">
      <w:pPr>
        <w:pageBreakBefore w:val="0"/>
        <w:wordWrap/>
        <w:topLinePunct w:val="0"/>
        <w:bidi w:val="0"/>
        <w:spacing w:line="360" w:lineRule="auto"/>
        <w:rPr>
          <w:color w:val="000000" w:themeColor="text1"/>
          <w:highlight w:val="none"/>
        </w:rPr>
      </w:pPr>
      <w:bookmarkStart w:id="634" w:name="_Toc139700900"/>
      <w:bookmarkStart w:id="635" w:name="_Toc208218338"/>
      <w:bookmarkStart w:id="636" w:name="_Toc23692"/>
      <w:bookmarkStart w:id="637" w:name="_Toc267919748"/>
      <w:bookmarkStart w:id="638" w:name="_Toc17588"/>
      <w:bookmarkStart w:id="639" w:name="_Toc26555"/>
      <w:r>
        <w:rPr>
          <w:color w:val="000000" w:themeColor="text1"/>
          <w:highlight w:val="none"/>
        </w:rPr>
        <w:t>本项目采取切实可行的风险事故防范措施并制定风险应急预案，发生风险事故时应立即启动《风险事故预案》，在严格落实风险管理及应急措施后，可将风险发生的概率和影响后果降到最低限度。</w:t>
      </w:r>
    </w:p>
    <w:p w14:paraId="07DD176C">
      <w:pPr>
        <w:pStyle w:val="3"/>
        <w:pageBreakBefore w:val="0"/>
        <w:wordWrap/>
        <w:topLinePunct w:val="0"/>
        <w:bidi w:val="0"/>
        <w:spacing w:line="360" w:lineRule="auto"/>
        <w:rPr>
          <w:color w:val="000000" w:themeColor="text1"/>
          <w:highlight w:val="none"/>
        </w:rPr>
      </w:pPr>
      <w:bookmarkStart w:id="640" w:name="_Toc31134"/>
      <w:bookmarkStart w:id="641" w:name="_Toc2444"/>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.6环境影响经济损益分析</w:t>
      </w:r>
      <w:bookmarkEnd w:id="634"/>
      <w:bookmarkEnd w:id="635"/>
      <w:bookmarkEnd w:id="636"/>
      <w:bookmarkEnd w:id="637"/>
      <w:bookmarkEnd w:id="638"/>
      <w:bookmarkEnd w:id="639"/>
      <w:bookmarkEnd w:id="640"/>
      <w:bookmarkEnd w:id="641"/>
    </w:p>
    <w:p w14:paraId="135BAA0C">
      <w:pPr>
        <w:pStyle w:val="108"/>
        <w:pageBreakBefore w:val="0"/>
        <w:wordWrap/>
        <w:topLinePunct w:val="0"/>
        <w:bidi w:val="0"/>
        <w:spacing w:line="360" w:lineRule="auto"/>
        <w:ind w:firstLine="480"/>
        <w:rPr>
          <w:color w:val="000000" w:themeColor="text1"/>
          <w:spacing w:val="0"/>
          <w:highlight w:val="none"/>
        </w:rPr>
      </w:pPr>
      <w:r>
        <w:rPr>
          <w:color w:val="000000" w:themeColor="text1"/>
          <w:spacing w:val="0"/>
          <w:highlight w:val="none"/>
        </w:rPr>
        <w:t>环境保护投资合计</w:t>
      </w:r>
      <w:r>
        <w:rPr>
          <w:rFonts w:hint="eastAsia"/>
          <w:color w:val="000000" w:themeColor="text1"/>
          <w:spacing w:val="0"/>
          <w:highlight w:val="none"/>
          <w:lang w:val="en-US" w:eastAsia="zh-CN"/>
        </w:rPr>
        <w:t>220.5</w:t>
      </w:r>
      <w:r>
        <w:rPr>
          <w:color w:val="000000" w:themeColor="text1"/>
          <w:spacing w:val="0"/>
          <w:highlight w:val="none"/>
        </w:rPr>
        <w:t>万元，本项目环保投资比为</w:t>
      </w:r>
      <w:r>
        <w:rPr>
          <w:rFonts w:hint="eastAsia"/>
          <w:color w:val="000000" w:themeColor="text1"/>
          <w:spacing w:val="0"/>
          <w:highlight w:val="none"/>
          <w:lang w:val="en-US" w:eastAsia="zh-CN"/>
        </w:rPr>
        <w:t>1.76</w:t>
      </w:r>
      <w:r>
        <w:rPr>
          <w:rFonts w:hint="eastAsia"/>
          <w:color w:val="000000" w:themeColor="text1"/>
          <w:spacing w:val="0"/>
          <w:highlight w:val="none"/>
        </w:rPr>
        <w:t>%</w:t>
      </w:r>
      <w:r>
        <w:rPr>
          <w:color w:val="000000" w:themeColor="text1"/>
          <w:spacing w:val="0"/>
          <w:highlight w:val="none"/>
        </w:rPr>
        <w:t>。环境影响经济损益分析表明，采取环保措施后，将项目建设对环境的不利影响降至最小，其环境效益显著。</w:t>
      </w:r>
    </w:p>
    <w:p w14:paraId="44255E4C">
      <w:pPr>
        <w:pStyle w:val="3"/>
        <w:pageBreakBefore w:val="0"/>
        <w:wordWrap/>
        <w:topLinePunct w:val="0"/>
        <w:bidi w:val="0"/>
        <w:spacing w:line="360" w:lineRule="auto"/>
        <w:rPr>
          <w:color w:val="000000" w:themeColor="text1"/>
          <w:highlight w:val="none"/>
        </w:rPr>
      </w:pPr>
      <w:bookmarkStart w:id="642" w:name="_Toc4690"/>
      <w:bookmarkStart w:id="643" w:name="_Toc10280"/>
      <w:bookmarkStart w:id="644" w:name="_Toc24614"/>
      <w:bookmarkStart w:id="645" w:name="_Toc1181"/>
      <w:bookmarkStart w:id="646" w:name="_Toc8866"/>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.7公众意见采纳情况</w:t>
      </w:r>
      <w:bookmarkEnd w:id="642"/>
      <w:bookmarkEnd w:id="643"/>
      <w:bookmarkEnd w:id="644"/>
      <w:bookmarkEnd w:id="645"/>
      <w:bookmarkEnd w:id="646"/>
    </w:p>
    <w:p w14:paraId="556E63B1">
      <w:pPr>
        <w:pageBreakBefore w:val="0"/>
        <w:wordWrap/>
        <w:topLinePunct w:val="0"/>
        <w:bidi w:val="0"/>
        <w:spacing w:line="360" w:lineRule="auto"/>
        <w:rPr>
          <w:snapToGrid w:val="0"/>
          <w:color w:val="000000" w:themeColor="text1"/>
          <w:kern w:val="0"/>
          <w:highlight w:val="none"/>
        </w:rPr>
      </w:pPr>
      <w:r>
        <w:rPr>
          <w:snapToGrid w:val="0"/>
          <w:color w:val="000000" w:themeColor="text1"/>
          <w:kern w:val="0"/>
          <w:highlight w:val="none"/>
        </w:rPr>
        <w:t>在本报告书编制过程中，建设单位</w:t>
      </w:r>
      <w:r>
        <w:rPr>
          <w:rFonts w:hint="eastAsia"/>
          <w:color w:val="000000" w:themeColor="text1"/>
          <w:highlight w:val="none"/>
          <w:lang w:val="en-US" w:eastAsia="zh-CN"/>
        </w:rPr>
        <w:t>鹤岗宝泉机场建设有限公司</w:t>
      </w:r>
      <w:r>
        <w:rPr>
          <w:snapToGrid w:val="0"/>
          <w:color w:val="000000" w:themeColor="text1"/>
          <w:kern w:val="0"/>
          <w:highlight w:val="none"/>
        </w:rPr>
        <w:t>按照</w:t>
      </w:r>
      <w:r>
        <w:rPr>
          <w:color w:val="000000" w:themeColor="text1"/>
          <w:highlight w:val="none"/>
        </w:rPr>
        <w:t>《环境影响评价公众参与办法》（生态环境部令 第4号，2019年1月1日施行）</w:t>
      </w:r>
      <w:r>
        <w:rPr>
          <w:snapToGrid w:val="0"/>
          <w:color w:val="000000" w:themeColor="text1"/>
          <w:kern w:val="0"/>
          <w:highlight w:val="none"/>
        </w:rPr>
        <w:t>有关规定开展公众参与工作，采取网络公示、报纸公示、调查表发放等方式进行公示，并在报告编制完成时公布全本公示，向公众征求环保意见。建设单位在公示期间，未收到沿线居民的任何反馈意见，均表示支持项目建设。</w:t>
      </w:r>
    </w:p>
    <w:p w14:paraId="32952972">
      <w:pPr>
        <w:pageBreakBefore w:val="0"/>
        <w:wordWrap/>
        <w:topLinePunct w:val="0"/>
        <w:bidi w:val="0"/>
        <w:spacing w:line="360" w:lineRule="auto"/>
        <w:rPr>
          <w:snapToGrid w:val="0"/>
          <w:color w:val="000000" w:themeColor="text1"/>
          <w:kern w:val="0"/>
          <w:highlight w:val="none"/>
        </w:rPr>
      </w:pPr>
      <w:r>
        <w:rPr>
          <w:snapToGrid w:val="0"/>
          <w:color w:val="000000" w:themeColor="text1"/>
          <w:kern w:val="0"/>
          <w:highlight w:val="none"/>
        </w:rPr>
        <w:t>建设单位编制的公参调查报告工作程序合理，信息公开和信息交流较充分，未收到公众反馈意见，被调查公众对本项目建设是持支持态度的，无人反对本项目的建设。</w:t>
      </w:r>
    </w:p>
    <w:p w14:paraId="56D9EF6B">
      <w:pPr>
        <w:pStyle w:val="3"/>
        <w:pageBreakBefore w:val="0"/>
        <w:wordWrap/>
        <w:topLinePunct w:val="0"/>
        <w:bidi w:val="0"/>
        <w:spacing w:line="360" w:lineRule="auto"/>
        <w:rPr>
          <w:color w:val="000000" w:themeColor="text1"/>
          <w:highlight w:val="none"/>
        </w:rPr>
      </w:pPr>
      <w:bookmarkStart w:id="647" w:name="_Toc1607"/>
      <w:bookmarkStart w:id="648" w:name="_Toc10410"/>
      <w:bookmarkStart w:id="649" w:name="_Toc15552"/>
      <w:bookmarkStart w:id="650" w:name="_Toc14370"/>
      <w:bookmarkStart w:id="651" w:name="_Toc818"/>
      <w:r>
        <w:rPr>
          <w:rFonts w:hint="eastAsia"/>
          <w:color w:val="000000" w:themeColor="text1"/>
          <w:highlight w:val="none"/>
        </w:rPr>
        <w:t>1</w:t>
      </w:r>
      <w:r>
        <w:rPr>
          <w:rFonts w:hint="eastAsia"/>
          <w:color w:val="000000" w:themeColor="text1"/>
          <w:highlight w:val="none"/>
          <w:lang w:val="en-US" w:eastAsia="zh-CN"/>
        </w:rPr>
        <w:t>0</w:t>
      </w:r>
      <w:r>
        <w:rPr>
          <w:color w:val="000000" w:themeColor="text1"/>
          <w:highlight w:val="none"/>
        </w:rPr>
        <w:t>.8结论</w:t>
      </w:r>
      <w:bookmarkEnd w:id="647"/>
      <w:bookmarkEnd w:id="648"/>
      <w:bookmarkEnd w:id="649"/>
      <w:bookmarkEnd w:id="650"/>
      <w:bookmarkEnd w:id="651"/>
    </w:p>
    <w:p w14:paraId="207541CD">
      <w:pPr>
        <w:pageBreakBefore w:val="0"/>
        <w:wordWrap/>
        <w:topLinePunct w:val="0"/>
        <w:bidi w:val="0"/>
        <w:spacing w:line="360" w:lineRule="auto"/>
        <w:rPr>
          <w:color w:val="000000" w:themeColor="text1"/>
          <w:highlight w:val="none"/>
        </w:rPr>
      </w:pPr>
      <w:r>
        <w:rPr>
          <w:color w:val="000000" w:themeColor="text1"/>
          <w:highlight w:val="none"/>
        </w:rPr>
        <w:t>本项目建设符合当前国家产业政策，选线合理。</w:t>
      </w:r>
      <w:r>
        <w:rPr>
          <w:rFonts w:hint="eastAsia"/>
          <w:color w:val="000000" w:themeColor="text1"/>
          <w:highlight w:val="none"/>
          <w:lang w:val="en-US" w:eastAsia="zh-CN"/>
        </w:rPr>
        <w:t>本项目的建设对完善鹤岗航空机场交通环境，改善招商投资环境，发展鹤岗旅游业，促进地方经济发展有着重大意义。</w:t>
      </w:r>
      <w:r>
        <w:rPr>
          <w:color w:val="000000" w:themeColor="text1"/>
          <w:highlight w:val="none"/>
        </w:rPr>
        <w:t>项目实施对周边水、气、声、生态环境有一定影响，但工程对环境的不利影响可通过采取相应环保对策措施予以减缓，同时要求施工过程中合理布设施工场地，采取相应环保措施降低对环境及敏感点影响。因此，从环境保护角度分析，在严格实施环保对策措施条件下，本项目</w:t>
      </w:r>
      <w:r>
        <w:rPr>
          <w:rFonts w:hint="eastAsia"/>
          <w:color w:val="000000" w:themeColor="text1"/>
          <w:highlight w:val="none"/>
        </w:rPr>
        <w:t>选线与</w:t>
      </w:r>
      <w:r>
        <w:rPr>
          <w:color w:val="000000" w:themeColor="text1"/>
          <w:highlight w:val="none"/>
        </w:rPr>
        <w:t>建设是可行的。</w:t>
      </w:r>
    </w:p>
    <w:p w14:paraId="64C740CB">
      <w:pPr>
        <w:adjustRightInd w:val="0"/>
        <w:snapToGrid w:val="0"/>
        <w:jc w:val="center"/>
        <w:rPr>
          <w:rFonts w:hint="eastAsia"/>
          <w:b/>
          <w:bCs/>
          <w:color w:val="000000" w:themeColor="text1"/>
          <w:highlight w:val="none"/>
          <w:lang w:val="en-US" w:eastAsia="zh-CN"/>
        </w:rPr>
        <w:sectPr>
          <w:type w:val="continuous"/>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5DAB5C10">
      <w:pPr>
        <w:adjustRightInd w:val="0"/>
        <w:snapToGrid w:val="0"/>
        <w:jc w:val="center"/>
        <w:rPr>
          <w:color w:val="000000" w:themeColor="text1"/>
          <w:highlight w:val="none"/>
        </w:rPr>
      </w:pPr>
      <w:r>
        <w:rPr>
          <w:rFonts w:hint="eastAsia"/>
          <w:b/>
          <w:bCs/>
          <w:color w:val="000000" w:themeColor="text1"/>
          <w:highlight w:val="none"/>
          <w:lang w:val="en-US" w:eastAsia="zh-CN"/>
        </w:rPr>
        <w:t xml:space="preserve">附表1  </w:t>
      </w:r>
      <w:r>
        <w:rPr>
          <w:b/>
          <w:bCs/>
          <w:color w:val="000000" w:themeColor="text1"/>
          <w:highlight w:val="none"/>
        </w:rPr>
        <w:t>建设项目大气环境影响评价自查表</w:t>
      </w:r>
    </w:p>
    <w:tbl>
      <w:tblPr>
        <w:tblStyle w:val="33"/>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5"/>
        <w:gridCol w:w="1900"/>
        <w:gridCol w:w="813"/>
        <w:gridCol w:w="287"/>
        <w:gridCol w:w="475"/>
        <w:gridCol w:w="237"/>
        <w:gridCol w:w="238"/>
        <w:gridCol w:w="450"/>
        <w:gridCol w:w="388"/>
        <w:gridCol w:w="300"/>
        <w:gridCol w:w="312"/>
        <w:gridCol w:w="638"/>
        <w:gridCol w:w="213"/>
        <w:gridCol w:w="12"/>
        <w:gridCol w:w="166"/>
        <w:gridCol w:w="531"/>
        <w:gridCol w:w="567"/>
      </w:tblGrid>
      <w:tr w14:paraId="16C5F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5" w:type="dxa"/>
            <w:gridSpan w:val="2"/>
            <w:vAlign w:val="center"/>
          </w:tcPr>
          <w:p w14:paraId="4D7B955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工作内容</w:t>
            </w:r>
          </w:p>
        </w:tc>
        <w:tc>
          <w:tcPr>
            <w:tcW w:w="5627" w:type="dxa"/>
            <w:gridSpan w:val="15"/>
            <w:vAlign w:val="center"/>
          </w:tcPr>
          <w:p w14:paraId="31737DE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自查项目</w:t>
            </w:r>
          </w:p>
        </w:tc>
      </w:tr>
      <w:tr w14:paraId="1A960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restart"/>
            <w:vAlign w:val="center"/>
          </w:tcPr>
          <w:p w14:paraId="5AA5E11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评价等级于范围</w:t>
            </w:r>
          </w:p>
        </w:tc>
        <w:tc>
          <w:tcPr>
            <w:tcW w:w="1900" w:type="dxa"/>
            <w:vAlign w:val="center"/>
          </w:tcPr>
          <w:p w14:paraId="67C53D1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评价等级</w:t>
            </w:r>
          </w:p>
        </w:tc>
        <w:tc>
          <w:tcPr>
            <w:tcW w:w="2050" w:type="dxa"/>
            <w:gridSpan w:val="5"/>
            <w:vAlign w:val="center"/>
          </w:tcPr>
          <w:p w14:paraId="6510FC9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一级</w:t>
            </w:r>
            <w:r>
              <w:rPr>
                <w:color w:val="000000" w:themeColor="text1"/>
                <w:kern w:val="0"/>
                <w:sz w:val="21"/>
                <w:szCs w:val="21"/>
                <w:highlight w:val="none"/>
              </w:rPr>
              <w:t>□</w:t>
            </w:r>
          </w:p>
        </w:tc>
        <w:tc>
          <w:tcPr>
            <w:tcW w:w="1450" w:type="dxa"/>
            <w:gridSpan w:val="4"/>
            <w:vAlign w:val="center"/>
          </w:tcPr>
          <w:p w14:paraId="1A5A2EB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二级</w:t>
            </w:r>
            <w:r>
              <w:rPr>
                <w:color w:val="000000" w:themeColor="text1"/>
                <w:kern w:val="0"/>
                <w:sz w:val="21"/>
                <w:szCs w:val="21"/>
                <w:highlight w:val="none"/>
              </w:rPr>
              <w:t>□</w:t>
            </w:r>
          </w:p>
        </w:tc>
        <w:tc>
          <w:tcPr>
            <w:tcW w:w="2127" w:type="dxa"/>
            <w:gridSpan w:val="6"/>
            <w:vAlign w:val="center"/>
          </w:tcPr>
          <w:p w14:paraId="422C71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三级</w:t>
            </w:r>
            <w:r>
              <w:rPr>
                <w:rFonts w:hint="eastAsia"/>
                <w:color w:val="000000" w:themeColor="text1"/>
                <w:kern w:val="0"/>
                <w:sz w:val="21"/>
                <w:szCs w:val="21"/>
                <w:highlight w:val="none"/>
                <w:lang w:eastAsia="zh-CN"/>
              </w:rPr>
              <w:t>☑</w:t>
            </w:r>
          </w:p>
        </w:tc>
      </w:tr>
      <w:tr w14:paraId="515D6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6E2B09C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6934509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评价范围</w:t>
            </w:r>
          </w:p>
        </w:tc>
        <w:tc>
          <w:tcPr>
            <w:tcW w:w="2050" w:type="dxa"/>
            <w:gridSpan w:val="5"/>
            <w:vAlign w:val="center"/>
          </w:tcPr>
          <w:p w14:paraId="1AAE6D0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边长=50km</w:t>
            </w:r>
            <w:r>
              <w:rPr>
                <w:color w:val="000000" w:themeColor="text1"/>
                <w:kern w:val="0"/>
                <w:sz w:val="21"/>
                <w:szCs w:val="21"/>
                <w:highlight w:val="none"/>
              </w:rPr>
              <w:t>□</w:t>
            </w:r>
          </w:p>
        </w:tc>
        <w:tc>
          <w:tcPr>
            <w:tcW w:w="1450" w:type="dxa"/>
            <w:gridSpan w:val="4"/>
            <w:vAlign w:val="center"/>
          </w:tcPr>
          <w:p w14:paraId="64D7C9E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边长5~50km</w:t>
            </w:r>
            <w:r>
              <w:rPr>
                <w:color w:val="000000" w:themeColor="text1"/>
                <w:kern w:val="0"/>
                <w:sz w:val="21"/>
                <w:szCs w:val="21"/>
                <w:highlight w:val="none"/>
              </w:rPr>
              <w:t>□</w:t>
            </w:r>
          </w:p>
        </w:tc>
        <w:tc>
          <w:tcPr>
            <w:tcW w:w="2127" w:type="dxa"/>
            <w:gridSpan w:val="6"/>
            <w:vAlign w:val="center"/>
          </w:tcPr>
          <w:p w14:paraId="4582F4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边长=5km</w:t>
            </w:r>
            <w:r>
              <w:rPr>
                <w:rFonts w:hint="eastAsia"/>
                <w:color w:val="000000" w:themeColor="text1"/>
                <w:kern w:val="0"/>
                <w:sz w:val="21"/>
                <w:szCs w:val="21"/>
                <w:highlight w:val="none"/>
                <w:lang w:eastAsia="zh-CN"/>
              </w:rPr>
              <w:t>□</w:t>
            </w:r>
          </w:p>
        </w:tc>
      </w:tr>
      <w:tr w14:paraId="2885E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restart"/>
            <w:vAlign w:val="center"/>
          </w:tcPr>
          <w:p w14:paraId="581C5CD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评价因子</w:t>
            </w:r>
          </w:p>
        </w:tc>
        <w:tc>
          <w:tcPr>
            <w:tcW w:w="1900" w:type="dxa"/>
            <w:vAlign w:val="center"/>
          </w:tcPr>
          <w:p w14:paraId="4864171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SO</w:t>
            </w:r>
            <w:r>
              <w:rPr>
                <w:color w:val="000000" w:themeColor="text1"/>
                <w:sz w:val="21"/>
                <w:szCs w:val="21"/>
                <w:highlight w:val="none"/>
                <w:vertAlign w:val="subscript"/>
              </w:rPr>
              <w:t>2</w:t>
            </w:r>
            <w:r>
              <w:rPr>
                <w:color w:val="000000" w:themeColor="text1"/>
                <w:sz w:val="21"/>
                <w:szCs w:val="21"/>
                <w:highlight w:val="none"/>
              </w:rPr>
              <w:t>+NOx排放量</w:t>
            </w:r>
          </w:p>
        </w:tc>
        <w:tc>
          <w:tcPr>
            <w:tcW w:w="2050" w:type="dxa"/>
            <w:gridSpan w:val="5"/>
            <w:vAlign w:val="center"/>
          </w:tcPr>
          <w:p w14:paraId="194A463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≥2000t/a</w:t>
            </w:r>
            <w:r>
              <w:rPr>
                <w:color w:val="000000" w:themeColor="text1"/>
                <w:kern w:val="0"/>
                <w:sz w:val="21"/>
                <w:szCs w:val="21"/>
                <w:highlight w:val="none"/>
              </w:rPr>
              <w:t>□</w:t>
            </w:r>
          </w:p>
        </w:tc>
        <w:tc>
          <w:tcPr>
            <w:tcW w:w="1450" w:type="dxa"/>
            <w:gridSpan w:val="4"/>
            <w:vAlign w:val="center"/>
          </w:tcPr>
          <w:p w14:paraId="1D7A2E9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500~2000t/a</w:t>
            </w:r>
            <w:r>
              <w:rPr>
                <w:color w:val="000000" w:themeColor="text1"/>
                <w:kern w:val="0"/>
                <w:sz w:val="21"/>
                <w:szCs w:val="21"/>
                <w:highlight w:val="none"/>
              </w:rPr>
              <w:t>□</w:t>
            </w:r>
          </w:p>
        </w:tc>
        <w:tc>
          <w:tcPr>
            <w:tcW w:w="2127" w:type="dxa"/>
            <w:gridSpan w:val="6"/>
            <w:vAlign w:val="center"/>
          </w:tcPr>
          <w:p w14:paraId="1CCF6C8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＜500t/a</w:t>
            </w:r>
            <w:r>
              <w:rPr>
                <w:rFonts w:hint="eastAsia"/>
                <w:color w:val="000000" w:themeColor="text1"/>
                <w:kern w:val="0"/>
                <w:sz w:val="21"/>
                <w:szCs w:val="21"/>
                <w:highlight w:val="none"/>
                <w:lang w:eastAsia="zh-CN"/>
              </w:rPr>
              <w:t>☑</w:t>
            </w:r>
          </w:p>
        </w:tc>
      </w:tr>
      <w:tr w14:paraId="1EA14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6E829F3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6F09547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评价因子</w:t>
            </w:r>
          </w:p>
        </w:tc>
        <w:tc>
          <w:tcPr>
            <w:tcW w:w="2500" w:type="dxa"/>
            <w:gridSpan w:val="6"/>
            <w:vAlign w:val="center"/>
          </w:tcPr>
          <w:p w14:paraId="2D29226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基本污染物（</w:t>
            </w:r>
            <w:r>
              <w:rPr>
                <w:rFonts w:hint="default" w:ascii="Times New Roman" w:hAnsi="Times New Roman" w:eastAsia="宋体" w:cs="Times New Roman"/>
                <w:color w:val="000000" w:themeColor="text1"/>
                <w:sz w:val="21"/>
                <w:szCs w:val="21"/>
                <w:highlight w:val="none"/>
                <w:vertAlign w:val="baseline"/>
                <w:lang w:val="en-US" w:eastAsia="zh-CN"/>
              </w:rPr>
              <w:t>SO</w:t>
            </w:r>
            <w:r>
              <w:rPr>
                <w:rFonts w:hint="default" w:ascii="Times New Roman" w:hAnsi="Times New Roman" w:eastAsia="宋体" w:cs="Times New Roman"/>
                <w:color w:val="000000" w:themeColor="text1"/>
                <w:sz w:val="21"/>
                <w:szCs w:val="21"/>
                <w:highlight w:val="none"/>
                <w:vertAlign w:val="subscript"/>
                <w:lang w:val="en-US" w:eastAsia="zh-CN"/>
              </w:rPr>
              <w:t>2</w:t>
            </w:r>
            <w:r>
              <w:rPr>
                <w:rFonts w:hint="default" w:ascii="Times New Roman" w:hAnsi="Times New Roman" w:eastAsia="宋体" w:cs="Times New Roman"/>
                <w:color w:val="000000" w:themeColor="text1"/>
                <w:sz w:val="21"/>
                <w:szCs w:val="21"/>
                <w:highlight w:val="none"/>
                <w:vertAlign w:val="baseline"/>
                <w:lang w:val="en-US" w:eastAsia="zh-CN"/>
              </w:rPr>
              <w:t>、NO</w:t>
            </w:r>
            <w:r>
              <w:rPr>
                <w:rFonts w:hint="default" w:ascii="Times New Roman" w:hAnsi="Times New Roman" w:eastAsia="宋体" w:cs="Times New Roman"/>
                <w:color w:val="000000" w:themeColor="text1"/>
                <w:sz w:val="21"/>
                <w:szCs w:val="21"/>
                <w:highlight w:val="none"/>
                <w:vertAlign w:val="subscript"/>
                <w:lang w:val="en-US" w:eastAsia="zh-CN"/>
              </w:rPr>
              <w:t>X</w:t>
            </w:r>
            <w:r>
              <w:rPr>
                <w:rFonts w:hint="default" w:ascii="Times New Roman" w:hAnsi="Times New Roman" w:eastAsia="宋体" w:cs="Times New Roman"/>
                <w:color w:val="000000" w:themeColor="text1"/>
                <w:sz w:val="21"/>
                <w:szCs w:val="21"/>
                <w:highlight w:val="none"/>
                <w:vertAlign w:val="baseline"/>
                <w:lang w:val="en-US" w:eastAsia="zh-CN"/>
              </w:rPr>
              <w:t>、PM</w:t>
            </w:r>
            <w:r>
              <w:rPr>
                <w:rFonts w:hint="default" w:ascii="Times New Roman" w:hAnsi="Times New Roman" w:eastAsia="宋体" w:cs="Times New Roman"/>
                <w:color w:val="000000" w:themeColor="text1"/>
                <w:sz w:val="21"/>
                <w:szCs w:val="21"/>
                <w:highlight w:val="none"/>
                <w:vertAlign w:val="subscript"/>
                <w:lang w:val="en-US" w:eastAsia="zh-CN"/>
              </w:rPr>
              <w:t>10</w:t>
            </w:r>
            <w:r>
              <w:rPr>
                <w:rFonts w:hint="default" w:ascii="Times New Roman" w:hAnsi="Times New Roman" w:eastAsia="宋体" w:cs="Times New Roman"/>
                <w:color w:val="000000" w:themeColor="text1"/>
                <w:sz w:val="21"/>
                <w:szCs w:val="21"/>
                <w:highlight w:val="none"/>
                <w:vertAlign w:val="baseline"/>
                <w:lang w:val="en-US" w:eastAsia="zh-CN"/>
              </w:rPr>
              <w:t>、PM</w:t>
            </w:r>
            <w:r>
              <w:rPr>
                <w:rFonts w:hint="default" w:ascii="Times New Roman" w:hAnsi="Times New Roman" w:eastAsia="宋体" w:cs="Times New Roman"/>
                <w:color w:val="000000" w:themeColor="text1"/>
                <w:sz w:val="21"/>
                <w:szCs w:val="21"/>
                <w:highlight w:val="none"/>
                <w:vertAlign w:val="subscript"/>
                <w:lang w:val="en-US" w:eastAsia="zh-CN"/>
              </w:rPr>
              <w:t>2.5</w:t>
            </w:r>
            <w:r>
              <w:rPr>
                <w:rFonts w:hint="default" w:ascii="Times New Roman" w:hAnsi="Times New Roman" w:eastAsia="宋体" w:cs="Times New Roman"/>
                <w:color w:val="000000" w:themeColor="text1"/>
                <w:sz w:val="21"/>
                <w:szCs w:val="21"/>
                <w:highlight w:val="none"/>
                <w:vertAlign w:val="baseline"/>
                <w:lang w:val="en-US" w:eastAsia="zh-CN"/>
              </w:rPr>
              <w:t>、CO、O</w:t>
            </w:r>
            <w:r>
              <w:rPr>
                <w:rFonts w:hint="default" w:ascii="Times New Roman" w:hAnsi="Times New Roman" w:eastAsia="宋体" w:cs="Times New Roman"/>
                <w:color w:val="000000" w:themeColor="text1"/>
                <w:sz w:val="21"/>
                <w:szCs w:val="21"/>
                <w:highlight w:val="none"/>
                <w:vertAlign w:val="subscript"/>
                <w:lang w:val="en-US" w:eastAsia="zh-CN"/>
              </w:rPr>
              <w:t>3</w:t>
            </w:r>
            <w:r>
              <w:rPr>
                <w:color w:val="000000" w:themeColor="text1"/>
                <w:sz w:val="21"/>
                <w:szCs w:val="21"/>
                <w:highlight w:val="none"/>
              </w:rPr>
              <w:t>）</w:t>
            </w:r>
          </w:p>
          <w:p w14:paraId="61DA1F1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其他污染物（</w:t>
            </w:r>
            <w:r>
              <w:rPr>
                <w:rFonts w:hint="eastAsia"/>
                <w:color w:val="000000" w:themeColor="text1"/>
                <w:sz w:val="21"/>
                <w:szCs w:val="21"/>
                <w:highlight w:val="none"/>
                <w:lang w:val="en-US" w:eastAsia="zh-CN"/>
              </w:rPr>
              <w:t>TSP</w:t>
            </w:r>
            <w:r>
              <w:rPr>
                <w:color w:val="000000" w:themeColor="text1"/>
                <w:sz w:val="21"/>
                <w:szCs w:val="21"/>
                <w:highlight w:val="none"/>
              </w:rPr>
              <w:t>）</w:t>
            </w:r>
          </w:p>
        </w:tc>
        <w:tc>
          <w:tcPr>
            <w:tcW w:w="3127" w:type="dxa"/>
            <w:gridSpan w:val="9"/>
            <w:vAlign w:val="center"/>
          </w:tcPr>
          <w:p w14:paraId="173833A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 xml:space="preserve">  包括二次PM</w:t>
            </w:r>
            <w:r>
              <w:rPr>
                <w:color w:val="000000" w:themeColor="text1"/>
                <w:sz w:val="21"/>
                <w:szCs w:val="21"/>
                <w:highlight w:val="none"/>
                <w:vertAlign w:val="subscript"/>
              </w:rPr>
              <w:t>2.5</w:t>
            </w:r>
            <w:r>
              <w:rPr>
                <w:color w:val="000000" w:themeColor="text1"/>
                <w:kern w:val="0"/>
                <w:sz w:val="21"/>
                <w:szCs w:val="21"/>
                <w:highlight w:val="none"/>
              </w:rPr>
              <w:t>□</w:t>
            </w:r>
          </w:p>
          <w:p w14:paraId="23B54F5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不包括二次PM</w:t>
            </w:r>
            <w:r>
              <w:rPr>
                <w:color w:val="000000" w:themeColor="text1"/>
                <w:sz w:val="21"/>
                <w:szCs w:val="21"/>
                <w:highlight w:val="none"/>
                <w:vertAlign w:val="subscript"/>
              </w:rPr>
              <w:t>2.5</w:t>
            </w:r>
            <w:r>
              <w:rPr>
                <w:rFonts w:hint="eastAsia"/>
                <w:color w:val="000000" w:themeColor="text1"/>
                <w:kern w:val="0"/>
                <w:sz w:val="21"/>
                <w:szCs w:val="21"/>
                <w:highlight w:val="none"/>
                <w:lang w:eastAsia="zh-CN"/>
              </w:rPr>
              <w:t>☑</w:t>
            </w:r>
          </w:p>
        </w:tc>
      </w:tr>
      <w:tr w14:paraId="47514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Align w:val="center"/>
          </w:tcPr>
          <w:p w14:paraId="1E784F2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评价标准</w:t>
            </w:r>
          </w:p>
        </w:tc>
        <w:tc>
          <w:tcPr>
            <w:tcW w:w="1900" w:type="dxa"/>
            <w:vAlign w:val="center"/>
          </w:tcPr>
          <w:p w14:paraId="4800DFD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评价标准</w:t>
            </w:r>
          </w:p>
        </w:tc>
        <w:tc>
          <w:tcPr>
            <w:tcW w:w="2050" w:type="dxa"/>
            <w:gridSpan w:val="5"/>
            <w:vAlign w:val="center"/>
          </w:tcPr>
          <w:p w14:paraId="6A23CB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国家标准</w:t>
            </w:r>
            <w:r>
              <w:rPr>
                <w:rFonts w:hint="eastAsia"/>
                <w:color w:val="000000" w:themeColor="text1"/>
                <w:kern w:val="0"/>
                <w:sz w:val="21"/>
                <w:szCs w:val="21"/>
                <w:highlight w:val="none"/>
                <w:lang w:eastAsia="zh-CN"/>
              </w:rPr>
              <w:t>☑</w:t>
            </w:r>
          </w:p>
        </w:tc>
        <w:tc>
          <w:tcPr>
            <w:tcW w:w="1450" w:type="dxa"/>
            <w:gridSpan w:val="4"/>
            <w:vAlign w:val="center"/>
          </w:tcPr>
          <w:p w14:paraId="78A25EE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地方标准</w:t>
            </w:r>
            <w:r>
              <w:rPr>
                <w:color w:val="000000" w:themeColor="text1"/>
                <w:kern w:val="0"/>
                <w:sz w:val="21"/>
                <w:szCs w:val="21"/>
                <w:highlight w:val="none"/>
              </w:rPr>
              <w:t>□</w:t>
            </w:r>
          </w:p>
        </w:tc>
        <w:tc>
          <w:tcPr>
            <w:tcW w:w="851" w:type="dxa"/>
            <w:gridSpan w:val="2"/>
            <w:vAlign w:val="center"/>
          </w:tcPr>
          <w:p w14:paraId="31E4D0B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附录D</w:t>
            </w:r>
            <w:r>
              <w:rPr>
                <w:color w:val="000000" w:themeColor="text1"/>
                <w:kern w:val="0"/>
                <w:sz w:val="21"/>
                <w:szCs w:val="21"/>
                <w:highlight w:val="none"/>
              </w:rPr>
              <w:t>□</w:t>
            </w:r>
          </w:p>
        </w:tc>
        <w:tc>
          <w:tcPr>
            <w:tcW w:w="1276" w:type="dxa"/>
            <w:gridSpan w:val="4"/>
            <w:vAlign w:val="center"/>
          </w:tcPr>
          <w:p w14:paraId="1BC5101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其他标准</w:t>
            </w:r>
            <w:r>
              <w:rPr>
                <w:color w:val="000000" w:themeColor="text1"/>
                <w:kern w:val="0"/>
                <w:sz w:val="21"/>
                <w:szCs w:val="21"/>
                <w:highlight w:val="none"/>
              </w:rPr>
              <w:t>□</w:t>
            </w:r>
          </w:p>
        </w:tc>
      </w:tr>
      <w:tr w14:paraId="73859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restart"/>
            <w:vAlign w:val="center"/>
          </w:tcPr>
          <w:p w14:paraId="2D7FBB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现状评价</w:t>
            </w:r>
          </w:p>
        </w:tc>
        <w:tc>
          <w:tcPr>
            <w:tcW w:w="1900" w:type="dxa"/>
            <w:vAlign w:val="center"/>
          </w:tcPr>
          <w:p w14:paraId="47FCF79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环境功能区</w:t>
            </w:r>
          </w:p>
        </w:tc>
        <w:tc>
          <w:tcPr>
            <w:tcW w:w="2050" w:type="dxa"/>
            <w:gridSpan w:val="5"/>
            <w:vAlign w:val="center"/>
          </w:tcPr>
          <w:p w14:paraId="1365B0F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一类区</w:t>
            </w:r>
            <w:r>
              <w:rPr>
                <w:color w:val="000000" w:themeColor="text1"/>
                <w:kern w:val="0"/>
                <w:sz w:val="21"/>
                <w:szCs w:val="21"/>
                <w:highlight w:val="none"/>
              </w:rPr>
              <w:t>□</w:t>
            </w:r>
          </w:p>
        </w:tc>
        <w:tc>
          <w:tcPr>
            <w:tcW w:w="1450" w:type="dxa"/>
            <w:gridSpan w:val="4"/>
            <w:vAlign w:val="center"/>
          </w:tcPr>
          <w:p w14:paraId="3F14E5D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二类区</w:t>
            </w:r>
            <w:r>
              <w:rPr>
                <w:rFonts w:hint="eastAsia"/>
                <w:color w:val="000000" w:themeColor="text1"/>
                <w:kern w:val="0"/>
                <w:sz w:val="21"/>
                <w:szCs w:val="21"/>
                <w:highlight w:val="none"/>
                <w:lang w:eastAsia="zh-CN"/>
              </w:rPr>
              <w:t>☑</w:t>
            </w:r>
          </w:p>
        </w:tc>
        <w:tc>
          <w:tcPr>
            <w:tcW w:w="2127" w:type="dxa"/>
            <w:gridSpan w:val="6"/>
            <w:vAlign w:val="center"/>
          </w:tcPr>
          <w:p w14:paraId="0D2C1C8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一类区和二类区</w:t>
            </w:r>
            <w:r>
              <w:rPr>
                <w:color w:val="000000" w:themeColor="text1"/>
                <w:kern w:val="0"/>
                <w:sz w:val="21"/>
                <w:szCs w:val="21"/>
                <w:highlight w:val="none"/>
              </w:rPr>
              <w:t>□</w:t>
            </w:r>
          </w:p>
        </w:tc>
      </w:tr>
      <w:tr w14:paraId="28E85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0FC80F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16A7946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评价基准年</w:t>
            </w:r>
          </w:p>
        </w:tc>
        <w:tc>
          <w:tcPr>
            <w:tcW w:w="5627" w:type="dxa"/>
            <w:gridSpan w:val="15"/>
            <w:vAlign w:val="center"/>
          </w:tcPr>
          <w:p w14:paraId="12BED36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（20</w:t>
            </w:r>
            <w:r>
              <w:rPr>
                <w:rFonts w:hint="eastAsia"/>
                <w:color w:val="000000" w:themeColor="text1"/>
                <w:sz w:val="21"/>
                <w:szCs w:val="21"/>
                <w:highlight w:val="none"/>
                <w:lang w:val="en-US" w:eastAsia="zh-CN"/>
              </w:rPr>
              <w:t>24</w:t>
            </w:r>
            <w:r>
              <w:rPr>
                <w:color w:val="000000" w:themeColor="text1"/>
                <w:sz w:val="21"/>
                <w:szCs w:val="21"/>
                <w:highlight w:val="none"/>
              </w:rPr>
              <w:t>）年</w:t>
            </w:r>
          </w:p>
        </w:tc>
      </w:tr>
      <w:tr w14:paraId="0A354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6EAF4CE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7055A1B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环境空气质量现状调查数据来源</w:t>
            </w:r>
          </w:p>
        </w:tc>
        <w:tc>
          <w:tcPr>
            <w:tcW w:w="2050" w:type="dxa"/>
            <w:gridSpan w:val="5"/>
            <w:vAlign w:val="center"/>
          </w:tcPr>
          <w:p w14:paraId="7DDCACE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长期例行监测数据</w:t>
            </w:r>
            <w:r>
              <w:rPr>
                <w:color w:val="000000" w:themeColor="text1"/>
                <w:kern w:val="0"/>
                <w:sz w:val="21"/>
                <w:szCs w:val="21"/>
                <w:highlight w:val="none"/>
              </w:rPr>
              <w:t>□</w:t>
            </w:r>
          </w:p>
        </w:tc>
        <w:tc>
          <w:tcPr>
            <w:tcW w:w="2088" w:type="dxa"/>
            <w:gridSpan w:val="5"/>
            <w:vAlign w:val="center"/>
          </w:tcPr>
          <w:p w14:paraId="1E0DE1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主管部门发布的数据</w:t>
            </w:r>
            <w:r>
              <w:rPr>
                <w:rFonts w:hint="eastAsia"/>
                <w:color w:val="000000" w:themeColor="text1"/>
                <w:kern w:val="0"/>
                <w:sz w:val="21"/>
                <w:szCs w:val="21"/>
                <w:highlight w:val="none"/>
                <w:lang w:eastAsia="zh-CN"/>
              </w:rPr>
              <w:t>☑</w:t>
            </w:r>
          </w:p>
        </w:tc>
        <w:tc>
          <w:tcPr>
            <w:tcW w:w="1489" w:type="dxa"/>
            <w:gridSpan w:val="5"/>
            <w:vAlign w:val="center"/>
          </w:tcPr>
          <w:p w14:paraId="0C30CD7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现状补充监测</w:t>
            </w:r>
            <w:r>
              <w:rPr>
                <w:rFonts w:hint="eastAsia"/>
                <w:color w:val="000000" w:themeColor="text1"/>
                <w:kern w:val="0"/>
                <w:sz w:val="21"/>
                <w:szCs w:val="21"/>
                <w:highlight w:val="none"/>
                <w:lang w:eastAsia="zh-CN"/>
              </w:rPr>
              <w:t>☑</w:t>
            </w:r>
          </w:p>
        </w:tc>
      </w:tr>
      <w:tr w14:paraId="52451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5758009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6488E4F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现状评价</w:t>
            </w:r>
          </w:p>
        </w:tc>
        <w:tc>
          <w:tcPr>
            <w:tcW w:w="3500" w:type="dxa"/>
            <w:gridSpan w:val="9"/>
            <w:vAlign w:val="center"/>
          </w:tcPr>
          <w:p w14:paraId="3352394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达标区</w:t>
            </w:r>
            <w:r>
              <w:rPr>
                <w:rFonts w:hint="eastAsia"/>
                <w:color w:val="000000" w:themeColor="text1"/>
                <w:kern w:val="0"/>
                <w:sz w:val="21"/>
                <w:szCs w:val="21"/>
                <w:highlight w:val="none"/>
                <w:lang w:eastAsia="zh-CN"/>
              </w:rPr>
              <w:t>☑</w:t>
            </w:r>
          </w:p>
        </w:tc>
        <w:tc>
          <w:tcPr>
            <w:tcW w:w="2127" w:type="dxa"/>
            <w:gridSpan w:val="6"/>
            <w:vAlign w:val="center"/>
          </w:tcPr>
          <w:p w14:paraId="0881BA7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不达标区</w:t>
            </w:r>
            <w:r>
              <w:rPr>
                <w:color w:val="000000" w:themeColor="text1"/>
                <w:kern w:val="0"/>
                <w:sz w:val="21"/>
                <w:szCs w:val="21"/>
                <w:highlight w:val="none"/>
              </w:rPr>
              <w:t>□</w:t>
            </w:r>
          </w:p>
        </w:tc>
      </w:tr>
      <w:tr w14:paraId="3E6F9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Align w:val="center"/>
          </w:tcPr>
          <w:p w14:paraId="256FBC9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污染源</w:t>
            </w:r>
          </w:p>
          <w:p w14:paraId="133B239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调查</w:t>
            </w:r>
          </w:p>
        </w:tc>
        <w:tc>
          <w:tcPr>
            <w:tcW w:w="1900" w:type="dxa"/>
            <w:vAlign w:val="center"/>
          </w:tcPr>
          <w:p w14:paraId="30BF160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调查内容</w:t>
            </w:r>
          </w:p>
        </w:tc>
        <w:tc>
          <w:tcPr>
            <w:tcW w:w="2050" w:type="dxa"/>
            <w:gridSpan w:val="5"/>
            <w:vAlign w:val="center"/>
          </w:tcPr>
          <w:p w14:paraId="2426451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eastAsia" w:eastAsia="宋体"/>
                <w:color w:val="000000" w:themeColor="text1"/>
                <w:sz w:val="21"/>
                <w:szCs w:val="21"/>
                <w:highlight w:val="none"/>
                <w:lang w:eastAsia="zh-CN"/>
              </w:rPr>
            </w:pPr>
            <w:r>
              <w:rPr>
                <w:color w:val="000000" w:themeColor="text1"/>
                <w:sz w:val="21"/>
                <w:szCs w:val="21"/>
                <w:highlight w:val="none"/>
              </w:rPr>
              <w:t>本项目正常排放源</w:t>
            </w:r>
            <w:r>
              <w:rPr>
                <w:rFonts w:hint="eastAsia"/>
                <w:color w:val="000000" w:themeColor="text1"/>
                <w:kern w:val="0"/>
                <w:sz w:val="21"/>
                <w:szCs w:val="21"/>
                <w:highlight w:val="none"/>
                <w:lang w:eastAsia="zh-CN"/>
              </w:rPr>
              <w:t>☑</w:t>
            </w:r>
          </w:p>
          <w:p w14:paraId="09321CF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color w:val="000000" w:themeColor="text1"/>
                <w:sz w:val="21"/>
                <w:szCs w:val="21"/>
                <w:highlight w:val="none"/>
              </w:rPr>
            </w:pPr>
            <w:r>
              <w:rPr>
                <w:color w:val="000000" w:themeColor="text1"/>
                <w:sz w:val="21"/>
                <w:szCs w:val="21"/>
                <w:highlight w:val="none"/>
              </w:rPr>
              <w:t>本项目非正常排放源</w:t>
            </w:r>
            <w:r>
              <w:rPr>
                <w:color w:val="000000" w:themeColor="text1"/>
                <w:kern w:val="0"/>
                <w:sz w:val="21"/>
                <w:szCs w:val="21"/>
                <w:highlight w:val="none"/>
              </w:rPr>
              <w:t>□</w:t>
            </w:r>
          </w:p>
          <w:p w14:paraId="52E94DC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color w:val="000000" w:themeColor="text1"/>
                <w:sz w:val="21"/>
                <w:szCs w:val="21"/>
                <w:highlight w:val="none"/>
              </w:rPr>
            </w:pPr>
            <w:r>
              <w:rPr>
                <w:color w:val="000000" w:themeColor="text1"/>
                <w:sz w:val="21"/>
                <w:szCs w:val="21"/>
                <w:highlight w:val="none"/>
              </w:rPr>
              <w:t>现有污染源</w:t>
            </w:r>
            <w:r>
              <w:rPr>
                <w:color w:val="000000" w:themeColor="text1"/>
                <w:kern w:val="0"/>
                <w:sz w:val="21"/>
                <w:szCs w:val="21"/>
                <w:highlight w:val="none"/>
              </w:rPr>
              <w:t>□</w:t>
            </w:r>
          </w:p>
        </w:tc>
        <w:tc>
          <w:tcPr>
            <w:tcW w:w="1450" w:type="dxa"/>
            <w:gridSpan w:val="4"/>
            <w:vAlign w:val="center"/>
          </w:tcPr>
          <w:p w14:paraId="06C07F7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拟替代的污染源</w:t>
            </w:r>
            <w:r>
              <w:rPr>
                <w:color w:val="000000" w:themeColor="text1"/>
                <w:kern w:val="0"/>
                <w:sz w:val="21"/>
                <w:szCs w:val="21"/>
                <w:highlight w:val="none"/>
              </w:rPr>
              <w:t>□</w:t>
            </w:r>
          </w:p>
        </w:tc>
        <w:tc>
          <w:tcPr>
            <w:tcW w:w="851" w:type="dxa"/>
            <w:gridSpan w:val="2"/>
            <w:vAlign w:val="center"/>
          </w:tcPr>
          <w:p w14:paraId="7517B89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其他在建、拟建项目污染源</w:t>
            </w:r>
            <w:r>
              <w:rPr>
                <w:color w:val="000000" w:themeColor="text1"/>
                <w:kern w:val="0"/>
                <w:sz w:val="21"/>
                <w:szCs w:val="21"/>
                <w:highlight w:val="none"/>
              </w:rPr>
              <w:t>□</w:t>
            </w:r>
          </w:p>
        </w:tc>
        <w:tc>
          <w:tcPr>
            <w:tcW w:w="1276" w:type="dxa"/>
            <w:gridSpan w:val="4"/>
            <w:vAlign w:val="center"/>
          </w:tcPr>
          <w:p w14:paraId="206C5A4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区域污染源</w:t>
            </w:r>
            <w:r>
              <w:rPr>
                <w:color w:val="000000" w:themeColor="text1"/>
                <w:kern w:val="0"/>
                <w:sz w:val="21"/>
                <w:szCs w:val="21"/>
                <w:highlight w:val="none"/>
              </w:rPr>
              <w:t>□</w:t>
            </w:r>
          </w:p>
        </w:tc>
      </w:tr>
      <w:tr w14:paraId="07CA2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restart"/>
            <w:vAlign w:val="center"/>
          </w:tcPr>
          <w:p w14:paraId="06EE901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大气环境影响预测与评价</w:t>
            </w:r>
          </w:p>
        </w:tc>
        <w:tc>
          <w:tcPr>
            <w:tcW w:w="1900" w:type="dxa"/>
            <w:vAlign w:val="center"/>
          </w:tcPr>
          <w:p w14:paraId="063FA0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预测模型</w:t>
            </w:r>
          </w:p>
        </w:tc>
        <w:tc>
          <w:tcPr>
            <w:tcW w:w="813" w:type="dxa"/>
            <w:vAlign w:val="center"/>
          </w:tcPr>
          <w:p w14:paraId="36B7603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AERMOD</w:t>
            </w:r>
            <w:r>
              <w:rPr>
                <w:color w:val="000000" w:themeColor="text1"/>
                <w:kern w:val="0"/>
                <w:sz w:val="21"/>
                <w:szCs w:val="21"/>
                <w:highlight w:val="none"/>
              </w:rPr>
              <w:t>□</w:t>
            </w:r>
          </w:p>
        </w:tc>
        <w:tc>
          <w:tcPr>
            <w:tcW w:w="762" w:type="dxa"/>
            <w:gridSpan w:val="2"/>
            <w:vAlign w:val="center"/>
          </w:tcPr>
          <w:p w14:paraId="6A233E4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ADMS</w:t>
            </w:r>
          </w:p>
          <w:p w14:paraId="7069D24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kern w:val="0"/>
                <w:sz w:val="21"/>
                <w:szCs w:val="21"/>
                <w:highlight w:val="none"/>
              </w:rPr>
              <w:t>□</w:t>
            </w:r>
          </w:p>
        </w:tc>
        <w:tc>
          <w:tcPr>
            <w:tcW w:w="925" w:type="dxa"/>
            <w:gridSpan w:val="3"/>
            <w:vAlign w:val="center"/>
          </w:tcPr>
          <w:p w14:paraId="016CB9E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AUSTAL2000</w:t>
            </w:r>
          </w:p>
          <w:p w14:paraId="79EF11D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kern w:val="0"/>
                <w:sz w:val="21"/>
                <w:szCs w:val="21"/>
                <w:highlight w:val="none"/>
              </w:rPr>
              <w:t>□</w:t>
            </w:r>
          </w:p>
        </w:tc>
        <w:tc>
          <w:tcPr>
            <w:tcW w:w="1000" w:type="dxa"/>
            <w:gridSpan w:val="3"/>
            <w:vAlign w:val="center"/>
          </w:tcPr>
          <w:p w14:paraId="48F9FC7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EDMS/AEDT</w:t>
            </w:r>
          </w:p>
          <w:p w14:paraId="5D6A322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kern w:val="0"/>
                <w:sz w:val="21"/>
                <w:szCs w:val="21"/>
                <w:highlight w:val="none"/>
              </w:rPr>
              <w:t>□</w:t>
            </w:r>
          </w:p>
        </w:tc>
        <w:tc>
          <w:tcPr>
            <w:tcW w:w="851" w:type="dxa"/>
            <w:gridSpan w:val="2"/>
            <w:vAlign w:val="center"/>
          </w:tcPr>
          <w:p w14:paraId="01C3611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CALPUFF</w:t>
            </w:r>
            <w:r>
              <w:rPr>
                <w:color w:val="000000" w:themeColor="text1"/>
                <w:kern w:val="0"/>
                <w:sz w:val="21"/>
                <w:szCs w:val="21"/>
                <w:highlight w:val="none"/>
              </w:rPr>
              <w:t>□</w:t>
            </w:r>
          </w:p>
        </w:tc>
        <w:tc>
          <w:tcPr>
            <w:tcW w:w="709" w:type="dxa"/>
            <w:gridSpan w:val="3"/>
            <w:vAlign w:val="center"/>
          </w:tcPr>
          <w:p w14:paraId="1206FE3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网络模型</w:t>
            </w:r>
          </w:p>
          <w:p w14:paraId="2C0A66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kern w:val="0"/>
                <w:sz w:val="21"/>
                <w:szCs w:val="21"/>
                <w:highlight w:val="none"/>
              </w:rPr>
              <w:t>□</w:t>
            </w:r>
          </w:p>
        </w:tc>
        <w:tc>
          <w:tcPr>
            <w:tcW w:w="567" w:type="dxa"/>
            <w:vAlign w:val="center"/>
          </w:tcPr>
          <w:p w14:paraId="7B3356B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其他</w:t>
            </w:r>
            <w:r>
              <w:rPr>
                <w:color w:val="000000" w:themeColor="text1"/>
                <w:kern w:val="0"/>
                <w:sz w:val="21"/>
                <w:szCs w:val="21"/>
                <w:highlight w:val="none"/>
              </w:rPr>
              <w:t>□</w:t>
            </w:r>
          </w:p>
        </w:tc>
      </w:tr>
      <w:tr w14:paraId="0AA55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67020D4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5B3506C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预测范围</w:t>
            </w:r>
          </w:p>
        </w:tc>
        <w:tc>
          <w:tcPr>
            <w:tcW w:w="2050" w:type="dxa"/>
            <w:gridSpan w:val="5"/>
            <w:vAlign w:val="center"/>
          </w:tcPr>
          <w:p w14:paraId="5026A3A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边长≥50km</w:t>
            </w:r>
            <w:r>
              <w:rPr>
                <w:color w:val="000000" w:themeColor="text1"/>
                <w:kern w:val="0"/>
                <w:sz w:val="21"/>
                <w:szCs w:val="21"/>
                <w:highlight w:val="none"/>
              </w:rPr>
              <w:t>□</w:t>
            </w:r>
          </w:p>
        </w:tc>
        <w:tc>
          <w:tcPr>
            <w:tcW w:w="1450" w:type="dxa"/>
            <w:gridSpan w:val="4"/>
            <w:vAlign w:val="center"/>
          </w:tcPr>
          <w:p w14:paraId="01E2A8E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边长5~50km</w:t>
            </w:r>
            <w:r>
              <w:rPr>
                <w:color w:val="000000" w:themeColor="text1"/>
                <w:kern w:val="0"/>
                <w:sz w:val="21"/>
                <w:szCs w:val="21"/>
                <w:highlight w:val="none"/>
              </w:rPr>
              <w:t>□</w:t>
            </w:r>
          </w:p>
        </w:tc>
        <w:tc>
          <w:tcPr>
            <w:tcW w:w="2127" w:type="dxa"/>
            <w:gridSpan w:val="6"/>
            <w:vAlign w:val="center"/>
          </w:tcPr>
          <w:p w14:paraId="1FF8EE3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边长=5km</w:t>
            </w:r>
            <w:r>
              <w:rPr>
                <w:color w:val="000000" w:themeColor="text1"/>
                <w:kern w:val="0"/>
                <w:sz w:val="21"/>
                <w:szCs w:val="21"/>
                <w:highlight w:val="none"/>
              </w:rPr>
              <w:t>□</w:t>
            </w:r>
          </w:p>
        </w:tc>
      </w:tr>
      <w:tr w14:paraId="35F38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5029D6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63FA26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预测因子</w:t>
            </w:r>
          </w:p>
        </w:tc>
        <w:tc>
          <w:tcPr>
            <w:tcW w:w="3188" w:type="dxa"/>
            <w:gridSpan w:val="8"/>
            <w:vAlign w:val="center"/>
          </w:tcPr>
          <w:p w14:paraId="0CDADDB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预测因子（   ）</w:t>
            </w:r>
          </w:p>
        </w:tc>
        <w:tc>
          <w:tcPr>
            <w:tcW w:w="2439" w:type="dxa"/>
            <w:gridSpan w:val="7"/>
            <w:vAlign w:val="center"/>
          </w:tcPr>
          <w:p w14:paraId="2D5B3A8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 xml:space="preserve">  包括二次PM2.5</w:t>
            </w:r>
            <w:r>
              <w:rPr>
                <w:color w:val="000000" w:themeColor="text1"/>
                <w:kern w:val="0"/>
                <w:sz w:val="21"/>
                <w:szCs w:val="21"/>
                <w:highlight w:val="none"/>
              </w:rPr>
              <w:t>□</w:t>
            </w:r>
          </w:p>
          <w:p w14:paraId="3957D9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不包括二次PM2.5</w:t>
            </w:r>
            <w:r>
              <w:rPr>
                <w:color w:val="000000" w:themeColor="text1"/>
                <w:kern w:val="0"/>
                <w:sz w:val="21"/>
                <w:szCs w:val="21"/>
                <w:highlight w:val="none"/>
              </w:rPr>
              <w:t>□</w:t>
            </w:r>
          </w:p>
        </w:tc>
      </w:tr>
      <w:tr w14:paraId="5FEDD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2A47034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5C301FC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正常排放短期浓度贡献值</w:t>
            </w:r>
          </w:p>
        </w:tc>
        <w:tc>
          <w:tcPr>
            <w:tcW w:w="3188" w:type="dxa"/>
            <w:gridSpan w:val="8"/>
            <w:vAlign w:val="center"/>
          </w:tcPr>
          <w:p w14:paraId="5C836E6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本项目</w:t>
            </w:r>
            <w:r>
              <w:rPr>
                <w:color w:val="000000" w:themeColor="text1"/>
                <w:sz w:val="21"/>
                <w:szCs w:val="21"/>
                <w:highlight w:val="none"/>
              </w:rPr>
              <w:t>最大占标率≤100%</w:t>
            </w:r>
            <w:r>
              <w:rPr>
                <w:color w:val="000000" w:themeColor="text1"/>
                <w:kern w:val="0"/>
                <w:sz w:val="21"/>
                <w:szCs w:val="21"/>
                <w:highlight w:val="none"/>
              </w:rPr>
              <w:t>□</w:t>
            </w:r>
          </w:p>
        </w:tc>
        <w:tc>
          <w:tcPr>
            <w:tcW w:w="2439" w:type="dxa"/>
            <w:gridSpan w:val="7"/>
            <w:vAlign w:val="center"/>
          </w:tcPr>
          <w:p w14:paraId="383BDFA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本项目</w:t>
            </w:r>
            <w:r>
              <w:rPr>
                <w:color w:val="000000" w:themeColor="text1"/>
                <w:sz w:val="21"/>
                <w:szCs w:val="21"/>
                <w:highlight w:val="none"/>
              </w:rPr>
              <w:t>最大占标率＞100%</w:t>
            </w:r>
            <w:r>
              <w:rPr>
                <w:color w:val="000000" w:themeColor="text1"/>
                <w:kern w:val="0"/>
                <w:sz w:val="21"/>
                <w:szCs w:val="21"/>
                <w:highlight w:val="none"/>
              </w:rPr>
              <w:t>□</w:t>
            </w:r>
          </w:p>
        </w:tc>
      </w:tr>
      <w:tr w14:paraId="2C921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945" w:type="dxa"/>
            <w:vMerge w:val="continue"/>
            <w:vAlign w:val="center"/>
          </w:tcPr>
          <w:p w14:paraId="04487E0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Merge w:val="restart"/>
            <w:vAlign w:val="center"/>
          </w:tcPr>
          <w:p w14:paraId="1C003D3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正常排放年均浓度贡献值</w:t>
            </w:r>
          </w:p>
        </w:tc>
        <w:tc>
          <w:tcPr>
            <w:tcW w:w="1100" w:type="dxa"/>
            <w:gridSpan w:val="2"/>
            <w:vAlign w:val="center"/>
          </w:tcPr>
          <w:p w14:paraId="6955E79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一类区</w:t>
            </w:r>
          </w:p>
        </w:tc>
        <w:tc>
          <w:tcPr>
            <w:tcW w:w="2400" w:type="dxa"/>
            <w:gridSpan w:val="7"/>
            <w:vAlign w:val="center"/>
          </w:tcPr>
          <w:p w14:paraId="5DE70B8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本项目</w:t>
            </w:r>
            <w:r>
              <w:rPr>
                <w:color w:val="000000" w:themeColor="text1"/>
                <w:sz w:val="21"/>
                <w:szCs w:val="21"/>
                <w:highlight w:val="none"/>
              </w:rPr>
              <w:t>最大占标率≤10%</w:t>
            </w:r>
            <w:r>
              <w:rPr>
                <w:color w:val="000000" w:themeColor="text1"/>
                <w:kern w:val="0"/>
                <w:sz w:val="21"/>
                <w:szCs w:val="21"/>
                <w:highlight w:val="none"/>
              </w:rPr>
              <w:t>□</w:t>
            </w:r>
          </w:p>
        </w:tc>
        <w:tc>
          <w:tcPr>
            <w:tcW w:w="2127" w:type="dxa"/>
            <w:gridSpan w:val="6"/>
            <w:vAlign w:val="center"/>
          </w:tcPr>
          <w:p w14:paraId="451D538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本项目</w:t>
            </w:r>
            <w:r>
              <w:rPr>
                <w:color w:val="000000" w:themeColor="text1"/>
                <w:sz w:val="21"/>
                <w:szCs w:val="21"/>
                <w:highlight w:val="none"/>
              </w:rPr>
              <w:t>最大占标率＞10%</w:t>
            </w:r>
            <w:r>
              <w:rPr>
                <w:color w:val="000000" w:themeColor="text1"/>
                <w:kern w:val="0"/>
                <w:sz w:val="21"/>
                <w:szCs w:val="21"/>
                <w:highlight w:val="none"/>
              </w:rPr>
              <w:t>□</w:t>
            </w:r>
          </w:p>
        </w:tc>
      </w:tr>
      <w:tr w14:paraId="28E6E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945" w:type="dxa"/>
            <w:vMerge w:val="continue"/>
            <w:vAlign w:val="center"/>
          </w:tcPr>
          <w:p w14:paraId="63D00A1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Merge w:val="continue"/>
            <w:vAlign w:val="center"/>
          </w:tcPr>
          <w:p w14:paraId="53D2F93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100" w:type="dxa"/>
            <w:gridSpan w:val="2"/>
            <w:vAlign w:val="center"/>
          </w:tcPr>
          <w:p w14:paraId="29B965B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二类区</w:t>
            </w:r>
          </w:p>
        </w:tc>
        <w:tc>
          <w:tcPr>
            <w:tcW w:w="2400" w:type="dxa"/>
            <w:gridSpan w:val="7"/>
            <w:vAlign w:val="center"/>
          </w:tcPr>
          <w:p w14:paraId="7312FD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本项目</w:t>
            </w:r>
            <w:r>
              <w:rPr>
                <w:color w:val="000000" w:themeColor="text1"/>
                <w:sz w:val="21"/>
                <w:szCs w:val="21"/>
                <w:highlight w:val="none"/>
              </w:rPr>
              <w:t>最大占标率≤30%</w:t>
            </w:r>
            <w:r>
              <w:rPr>
                <w:color w:val="000000" w:themeColor="text1"/>
                <w:kern w:val="0"/>
                <w:sz w:val="21"/>
                <w:szCs w:val="21"/>
                <w:highlight w:val="none"/>
              </w:rPr>
              <w:t>□</w:t>
            </w:r>
          </w:p>
        </w:tc>
        <w:tc>
          <w:tcPr>
            <w:tcW w:w="2127" w:type="dxa"/>
            <w:gridSpan w:val="6"/>
            <w:vAlign w:val="center"/>
          </w:tcPr>
          <w:p w14:paraId="11B338D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本项目</w:t>
            </w:r>
            <w:r>
              <w:rPr>
                <w:color w:val="000000" w:themeColor="text1"/>
                <w:sz w:val="21"/>
                <w:szCs w:val="21"/>
                <w:highlight w:val="none"/>
              </w:rPr>
              <w:t>最大占标率＞30%</w:t>
            </w:r>
            <w:r>
              <w:rPr>
                <w:color w:val="000000" w:themeColor="text1"/>
                <w:kern w:val="0"/>
                <w:sz w:val="21"/>
                <w:szCs w:val="21"/>
                <w:highlight w:val="none"/>
              </w:rPr>
              <w:t>□</w:t>
            </w:r>
          </w:p>
        </w:tc>
      </w:tr>
      <w:tr w14:paraId="44082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43FA25C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091F57C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非正常排放1h浓度贡献值</w:t>
            </w:r>
          </w:p>
        </w:tc>
        <w:tc>
          <w:tcPr>
            <w:tcW w:w="1812" w:type="dxa"/>
            <w:gridSpan w:val="4"/>
            <w:vAlign w:val="center"/>
          </w:tcPr>
          <w:p w14:paraId="1F1A4CF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非正常持续时长</w:t>
            </w:r>
          </w:p>
          <w:p w14:paraId="5809433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 ）h</w:t>
            </w:r>
          </w:p>
        </w:tc>
        <w:tc>
          <w:tcPr>
            <w:tcW w:w="1688" w:type="dxa"/>
            <w:gridSpan w:val="5"/>
            <w:vAlign w:val="center"/>
          </w:tcPr>
          <w:p w14:paraId="2DE4887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非正常</w:t>
            </w:r>
            <w:r>
              <w:rPr>
                <w:color w:val="000000" w:themeColor="text1"/>
                <w:sz w:val="21"/>
                <w:szCs w:val="21"/>
                <w:highlight w:val="none"/>
              </w:rPr>
              <w:t>占标率≤100%</w:t>
            </w:r>
            <w:r>
              <w:rPr>
                <w:color w:val="000000" w:themeColor="text1"/>
                <w:kern w:val="0"/>
                <w:sz w:val="21"/>
                <w:szCs w:val="21"/>
                <w:highlight w:val="none"/>
              </w:rPr>
              <w:t>□</w:t>
            </w:r>
          </w:p>
        </w:tc>
        <w:tc>
          <w:tcPr>
            <w:tcW w:w="2127" w:type="dxa"/>
            <w:gridSpan w:val="6"/>
            <w:vAlign w:val="center"/>
          </w:tcPr>
          <w:p w14:paraId="5BFD274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非正常</w:t>
            </w:r>
            <w:r>
              <w:rPr>
                <w:color w:val="000000" w:themeColor="text1"/>
                <w:sz w:val="21"/>
                <w:szCs w:val="21"/>
                <w:highlight w:val="none"/>
              </w:rPr>
              <w:t>占标率＞100%</w:t>
            </w:r>
            <w:r>
              <w:rPr>
                <w:color w:val="000000" w:themeColor="text1"/>
                <w:kern w:val="0"/>
                <w:sz w:val="21"/>
                <w:szCs w:val="21"/>
                <w:highlight w:val="none"/>
              </w:rPr>
              <w:t>□</w:t>
            </w:r>
          </w:p>
        </w:tc>
      </w:tr>
      <w:tr w14:paraId="27B56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20ABFF9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6363EEC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保证率日平均浓度和年平均浓度叠加值</w:t>
            </w:r>
          </w:p>
        </w:tc>
        <w:tc>
          <w:tcPr>
            <w:tcW w:w="3188" w:type="dxa"/>
            <w:gridSpan w:val="8"/>
            <w:vAlign w:val="center"/>
          </w:tcPr>
          <w:p w14:paraId="67C3B3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叠加</w:t>
            </w:r>
            <w:r>
              <w:rPr>
                <w:color w:val="000000" w:themeColor="text1"/>
                <w:sz w:val="21"/>
                <w:szCs w:val="21"/>
                <w:highlight w:val="none"/>
              </w:rPr>
              <w:t>达标</w:t>
            </w:r>
            <w:r>
              <w:rPr>
                <w:color w:val="000000" w:themeColor="text1"/>
                <w:kern w:val="0"/>
                <w:sz w:val="21"/>
                <w:szCs w:val="21"/>
                <w:highlight w:val="none"/>
              </w:rPr>
              <w:t>□</w:t>
            </w:r>
          </w:p>
        </w:tc>
        <w:tc>
          <w:tcPr>
            <w:tcW w:w="2439" w:type="dxa"/>
            <w:gridSpan w:val="7"/>
            <w:vAlign w:val="center"/>
          </w:tcPr>
          <w:p w14:paraId="1A30F26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C</w:t>
            </w:r>
            <w:r>
              <w:rPr>
                <w:color w:val="000000" w:themeColor="text1"/>
                <w:sz w:val="21"/>
                <w:szCs w:val="21"/>
                <w:highlight w:val="none"/>
                <w:vertAlign w:val="subscript"/>
              </w:rPr>
              <w:t>叠加</w:t>
            </w:r>
            <w:r>
              <w:rPr>
                <w:color w:val="000000" w:themeColor="text1"/>
                <w:sz w:val="21"/>
                <w:szCs w:val="21"/>
                <w:highlight w:val="none"/>
              </w:rPr>
              <w:t>不达标</w:t>
            </w:r>
            <w:r>
              <w:rPr>
                <w:color w:val="000000" w:themeColor="text1"/>
                <w:kern w:val="0"/>
                <w:sz w:val="21"/>
                <w:szCs w:val="21"/>
                <w:highlight w:val="none"/>
              </w:rPr>
              <w:t>□</w:t>
            </w:r>
          </w:p>
        </w:tc>
      </w:tr>
      <w:tr w14:paraId="040DA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38BCC13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36F7ECD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区域环境质量的整体变化情况</w:t>
            </w:r>
          </w:p>
        </w:tc>
        <w:tc>
          <w:tcPr>
            <w:tcW w:w="3188" w:type="dxa"/>
            <w:gridSpan w:val="8"/>
            <w:vAlign w:val="center"/>
          </w:tcPr>
          <w:p w14:paraId="0988EB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K≤-20%</w:t>
            </w:r>
            <w:r>
              <w:rPr>
                <w:color w:val="000000" w:themeColor="text1"/>
                <w:kern w:val="0"/>
                <w:sz w:val="21"/>
                <w:szCs w:val="21"/>
                <w:highlight w:val="none"/>
              </w:rPr>
              <w:t>□</w:t>
            </w:r>
          </w:p>
        </w:tc>
        <w:tc>
          <w:tcPr>
            <w:tcW w:w="2439" w:type="dxa"/>
            <w:gridSpan w:val="7"/>
            <w:vAlign w:val="center"/>
          </w:tcPr>
          <w:p w14:paraId="34CF50E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K＞-20%</w:t>
            </w:r>
            <w:r>
              <w:rPr>
                <w:color w:val="000000" w:themeColor="text1"/>
                <w:kern w:val="0"/>
                <w:sz w:val="21"/>
                <w:szCs w:val="21"/>
                <w:highlight w:val="none"/>
              </w:rPr>
              <w:t>□</w:t>
            </w:r>
          </w:p>
        </w:tc>
      </w:tr>
      <w:tr w14:paraId="6B27B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restart"/>
            <w:vAlign w:val="center"/>
          </w:tcPr>
          <w:p w14:paraId="027DE08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环境监测计划</w:t>
            </w:r>
          </w:p>
        </w:tc>
        <w:tc>
          <w:tcPr>
            <w:tcW w:w="1900" w:type="dxa"/>
            <w:vAlign w:val="center"/>
          </w:tcPr>
          <w:p w14:paraId="7043E3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污染源监测</w:t>
            </w:r>
          </w:p>
        </w:tc>
        <w:tc>
          <w:tcPr>
            <w:tcW w:w="2050" w:type="dxa"/>
            <w:gridSpan w:val="5"/>
            <w:vAlign w:val="center"/>
          </w:tcPr>
          <w:p w14:paraId="1626D54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监测因子：（）</w:t>
            </w:r>
          </w:p>
        </w:tc>
        <w:tc>
          <w:tcPr>
            <w:tcW w:w="2313" w:type="dxa"/>
            <w:gridSpan w:val="7"/>
            <w:vAlign w:val="center"/>
          </w:tcPr>
          <w:p w14:paraId="5E29555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有组织废气监测</w:t>
            </w:r>
            <w:r>
              <w:rPr>
                <w:color w:val="000000" w:themeColor="text1"/>
                <w:kern w:val="0"/>
                <w:sz w:val="21"/>
                <w:szCs w:val="21"/>
                <w:highlight w:val="none"/>
              </w:rPr>
              <w:t>□</w:t>
            </w:r>
          </w:p>
          <w:p w14:paraId="74D7E5D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无组织废气监测</w:t>
            </w:r>
            <w:r>
              <w:rPr>
                <w:color w:val="000000" w:themeColor="text1"/>
                <w:kern w:val="0"/>
                <w:sz w:val="21"/>
                <w:szCs w:val="21"/>
                <w:highlight w:val="none"/>
              </w:rPr>
              <w:t>□</w:t>
            </w:r>
          </w:p>
        </w:tc>
        <w:tc>
          <w:tcPr>
            <w:tcW w:w="1264" w:type="dxa"/>
            <w:gridSpan w:val="3"/>
            <w:vAlign w:val="center"/>
          </w:tcPr>
          <w:p w14:paraId="7D635D4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无监测</w:t>
            </w:r>
            <w:r>
              <w:rPr>
                <w:rFonts w:hint="eastAsia"/>
                <w:color w:val="000000" w:themeColor="text1"/>
                <w:kern w:val="0"/>
                <w:sz w:val="21"/>
                <w:szCs w:val="21"/>
                <w:highlight w:val="none"/>
                <w:lang w:eastAsia="zh-CN"/>
              </w:rPr>
              <w:t>☑</w:t>
            </w:r>
          </w:p>
        </w:tc>
      </w:tr>
      <w:tr w14:paraId="0185D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6EAB936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23C378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环境质量监测</w:t>
            </w:r>
          </w:p>
        </w:tc>
        <w:tc>
          <w:tcPr>
            <w:tcW w:w="2050" w:type="dxa"/>
            <w:gridSpan w:val="5"/>
            <w:vAlign w:val="center"/>
          </w:tcPr>
          <w:p w14:paraId="648B0FB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监测因子：（NO</w:t>
            </w:r>
            <w:r>
              <w:rPr>
                <w:color w:val="000000" w:themeColor="text1"/>
                <w:sz w:val="21"/>
                <w:szCs w:val="21"/>
                <w:highlight w:val="none"/>
                <w:vertAlign w:val="subscript"/>
              </w:rPr>
              <w:t>2</w:t>
            </w:r>
            <w:r>
              <w:rPr>
                <w:rFonts w:hint="eastAsia"/>
                <w:color w:val="000000" w:themeColor="text1"/>
                <w:sz w:val="21"/>
                <w:szCs w:val="21"/>
                <w:highlight w:val="none"/>
              </w:rPr>
              <w:t>、CO、</w:t>
            </w:r>
            <w:r>
              <w:rPr>
                <w:color w:val="000000" w:themeColor="text1"/>
                <w:sz w:val="21"/>
                <w:szCs w:val="21"/>
                <w:highlight w:val="none"/>
              </w:rPr>
              <w:t>TSP）</w:t>
            </w:r>
          </w:p>
        </w:tc>
        <w:tc>
          <w:tcPr>
            <w:tcW w:w="2313" w:type="dxa"/>
            <w:gridSpan w:val="7"/>
            <w:vAlign w:val="center"/>
          </w:tcPr>
          <w:p w14:paraId="207F2AD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监测点位数（</w:t>
            </w:r>
            <w:r>
              <w:rPr>
                <w:rFonts w:hint="eastAsia"/>
                <w:color w:val="000000" w:themeColor="text1"/>
                <w:sz w:val="21"/>
                <w:szCs w:val="21"/>
                <w:highlight w:val="none"/>
                <w:lang w:val="en-US" w:eastAsia="zh-CN"/>
              </w:rPr>
              <w:t>1</w:t>
            </w:r>
            <w:r>
              <w:rPr>
                <w:color w:val="000000" w:themeColor="text1"/>
                <w:sz w:val="21"/>
                <w:szCs w:val="21"/>
                <w:highlight w:val="none"/>
              </w:rPr>
              <w:t>）</w:t>
            </w:r>
          </w:p>
        </w:tc>
        <w:tc>
          <w:tcPr>
            <w:tcW w:w="1264" w:type="dxa"/>
            <w:gridSpan w:val="3"/>
            <w:vAlign w:val="center"/>
          </w:tcPr>
          <w:p w14:paraId="0549D8D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无监测</w:t>
            </w:r>
            <w:r>
              <w:rPr>
                <w:color w:val="000000" w:themeColor="text1"/>
                <w:kern w:val="0"/>
                <w:sz w:val="21"/>
                <w:szCs w:val="21"/>
                <w:highlight w:val="none"/>
              </w:rPr>
              <w:t>□</w:t>
            </w:r>
          </w:p>
        </w:tc>
      </w:tr>
      <w:tr w14:paraId="16258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restart"/>
            <w:vAlign w:val="center"/>
          </w:tcPr>
          <w:p w14:paraId="6307D75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评价结论</w:t>
            </w:r>
          </w:p>
        </w:tc>
        <w:tc>
          <w:tcPr>
            <w:tcW w:w="1900" w:type="dxa"/>
            <w:vAlign w:val="center"/>
          </w:tcPr>
          <w:p w14:paraId="7F01430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环境影响</w:t>
            </w:r>
          </w:p>
        </w:tc>
        <w:tc>
          <w:tcPr>
            <w:tcW w:w="5627" w:type="dxa"/>
            <w:gridSpan w:val="15"/>
            <w:vAlign w:val="center"/>
          </w:tcPr>
          <w:p w14:paraId="28C6670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可以接受</w:t>
            </w:r>
            <w:r>
              <w:rPr>
                <w:rFonts w:hint="eastAsia"/>
                <w:color w:val="000000" w:themeColor="text1"/>
                <w:kern w:val="0"/>
                <w:sz w:val="21"/>
                <w:szCs w:val="21"/>
                <w:highlight w:val="none"/>
                <w:lang w:eastAsia="zh-CN"/>
              </w:rPr>
              <w:t>☑</w:t>
            </w:r>
            <w:r>
              <w:rPr>
                <w:color w:val="000000" w:themeColor="text1"/>
                <w:sz w:val="21"/>
                <w:szCs w:val="21"/>
                <w:highlight w:val="none"/>
              </w:rPr>
              <w:t xml:space="preserve">            不可以接</w:t>
            </w:r>
            <w:r>
              <w:rPr>
                <w:color w:val="000000" w:themeColor="text1"/>
                <w:kern w:val="0"/>
                <w:sz w:val="21"/>
                <w:szCs w:val="21"/>
                <w:highlight w:val="none"/>
              </w:rPr>
              <w:t>□</w:t>
            </w:r>
          </w:p>
        </w:tc>
      </w:tr>
      <w:tr w14:paraId="049D7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61348B3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5E9BF91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大气环境防护距离</w:t>
            </w:r>
          </w:p>
        </w:tc>
        <w:tc>
          <w:tcPr>
            <w:tcW w:w="5627" w:type="dxa"/>
            <w:gridSpan w:val="15"/>
            <w:vAlign w:val="center"/>
          </w:tcPr>
          <w:p w14:paraId="42B3923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距（）厂界最远（）m</w:t>
            </w:r>
          </w:p>
        </w:tc>
      </w:tr>
      <w:tr w14:paraId="4F9A4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 w:type="dxa"/>
            <w:vMerge w:val="continue"/>
            <w:vAlign w:val="center"/>
          </w:tcPr>
          <w:p w14:paraId="0622B9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1900" w:type="dxa"/>
            <w:vAlign w:val="center"/>
          </w:tcPr>
          <w:p w14:paraId="1629517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污染源年排放量</w:t>
            </w:r>
          </w:p>
        </w:tc>
        <w:tc>
          <w:tcPr>
            <w:tcW w:w="1575" w:type="dxa"/>
            <w:gridSpan w:val="3"/>
            <w:vAlign w:val="center"/>
          </w:tcPr>
          <w:p w14:paraId="37A019C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SO</w:t>
            </w:r>
            <w:r>
              <w:rPr>
                <w:color w:val="000000" w:themeColor="text1"/>
                <w:sz w:val="21"/>
                <w:szCs w:val="21"/>
                <w:highlight w:val="none"/>
                <w:vertAlign w:val="subscript"/>
              </w:rPr>
              <w:t>2</w:t>
            </w:r>
            <w:r>
              <w:rPr>
                <w:color w:val="000000" w:themeColor="text1"/>
                <w:sz w:val="21"/>
                <w:szCs w:val="21"/>
                <w:highlight w:val="none"/>
              </w:rPr>
              <w:t>：（）t/a</w:t>
            </w:r>
          </w:p>
        </w:tc>
        <w:tc>
          <w:tcPr>
            <w:tcW w:w="1313" w:type="dxa"/>
            <w:gridSpan w:val="4"/>
            <w:vAlign w:val="center"/>
          </w:tcPr>
          <w:p w14:paraId="2607E5E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NOx：（）t/a</w:t>
            </w:r>
          </w:p>
        </w:tc>
        <w:tc>
          <w:tcPr>
            <w:tcW w:w="1641" w:type="dxa"/>
            <w:gridSpan w:val="6"/>
            <w:vAlign w:val="center"/>
          </w:tcPr>
          <w:p w14:paraId="38905DE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颗粒物：（）t/a</w:t>
            </w:r>
          </w:p>
        </w:tc>
        <w:tc>
          <w:tcPr>
            <w:tcW w:w="1098" w:type="dxa"/>
            <w:gridSpan w:val="2"/>
            <w:vAlign w:val="center"/>
          </w:tcPr>
          <w:p w14:paraId="64B9D94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VOCs：（）t/a</w:t>
            </w:r>
          </w:p>
        </w:tc>
      </w:tr>
    </w:tbl>
    <w:p w14:paraId="60D79701">
      <w:pPr>
        <w:pageBreakBefore w:val="0"/>
        <w:wordWrap/>
        <w:topLinePunct w:val="0"/>
        <w:bidi w:val="0"/>
        <w:spacing w:line="360" w:lineRule="auto"/>
        <w:rPr>
          <w:color w:val="000000" w:themeColor="text1"/>
          <w:highlight w:val="none"/>
        </w:rPr>
      </w:pPr>
    </w:p>
    <w:p w14:paraId="45D33B98">
      <w:pPr>
        <w:adjustRightInd w:val="0"/>
        <w:snapToGrid w:val="0"/>
        <w:ind w:firstLine="482" w:firstLineChars="200"/>
        <w:jc w:val="center"/>
        <w:rPr>
          <w:bCs/>
          <w:color w:val="000000" w:themeColor="text1"/>
          <w:highlight w:val="none"/>
        </w:rPr>
      </w:pPr>
      <w:r>
        <w:rPr>
          <w:rFonts w:hint="eastAsia"/>
          <w:b/>
          <w:bCs/>
          <w:color w:val="000000" w:themeColor="text1"/>
          <w:highlight w:val="none"/>
          <w:lang w:val="en-US" w:eastAsia="zh-CN"/>
        </w:rPr>
        <w:t xml:space="preserve">附表2  </w:t>
      </w:r>
      <w:r>
        <w:rPr>
          <w:b/>
          <w:bCs/>
          <w:color w:val="000000" w:themeColor="text1"/>
          <w:highlight w:val="none"/>
        </w:rPr>
        <w:t>建设项目地表水评价自查表</w:t>
      </w:r>
    </w:p>
    <w:tbl>
      <w:tblPr>
        <w:tblStyle w:val="33"/>
        <w:tblW w:w="8516"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419"/>
        <w:gridCol w:w="649"/>
        <w:gridCol w:w="1169"/>
        <w:gridCol w:w="333"/>
        <w:gridCol w:w="546"/>
        <w:gridCol w:w="441"/>
        <w:gridCol w:w="652"/>
        <w:gridCol w:w="652"/>
        <w:gridCol w:w="182"/>
        <w:gridCol w:w="277"/>
        <w:gridCol w:w="861"/>
        <w:gridCol w:w="178"/>
        <w:gridCol w:w="503"/>
        <w:gridCol w:w="1654"/>
      </w:tblGrid>
      <w:tr w14:paraId="0F6B5D8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33" w:hRule="atLeast"/>
          <w:tblHeader/>
          <w:jc w:val="center"/>
        </w:trPr>
        <w:tc>
          <w:tcPr>
            <w:tcW w:w="1068" w:type="dxa"/>
            <w:gridSpan w:val="2"/>
            <w:noWrap/>
            <w:vAlign w:val="center"/>
          </w:tcPr>
          <w:p w14:paraId="7068E40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工作内容</w:t>
            </w:r>
          </w:p>
        </w:tc>
        <w:tc>
          <w:tcPr>
            <w:tcW w:w="7448" w:type="dxa"/>
            <w:gridSpan w:val="12"/>
            <w:noWrap/>
            <w:vAlign w:val="center"/>
          </w:tcPr>
          <w:p w14:paraId="1BD3504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自查项目</w:t>
            </w:r>
          </w:p>
        </w:tc>
      </w:tr>
      <w:tr w14:paraId="4905FB1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restart"/>
            <w:noWrap/>
            <w:textDirection w:val="tbRlV"/>
            <w:vAlign w:val="center"/>
          </w:tcPr>
          <w:p w14:paraId="03C189B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影响识别</w:t>
            </w:r>
          </w:p>
        </w:tc>
        <w:tc>
          <w:tcPr>
            <w:tcW w:w="649" w:type="dxa"/>
            <w:vAlign w:val="center"/>
          </w:tcPr>
          <w:p w14:paraId="7025B54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影响类型</w:t>
            </w:r>
          </w:p>
        </w:tc>
        <w:tc>
          <w:tcPr>
            <w:tcW w:w="7448" w:type="dxa"/>
            <w:gridSpan w:val="12"/>
            <w:noWrap/>
            <w:vAlign w:val="center"/>
          </w:tcPr>
          <w:p w14:paraId="700F51E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水污染影响型</w:t>
            </w:r>
            <w:r>
              <w:rPr>
                <w:color w:val="000000" w:themeColor="text1"/>
                <w:kern w:val="0"/>
                <w:sz w:val="21"/>
                <w:szCs w:val="21"/>
                <w:highlight w:val="none"/>
              </w:rPr>
              <w:fldChar w:fldCharType="begin"/>
            </w:r>
            <w:r>
              <w:rPr>
                <w:color w:val="000000" w:themeColor="text1"/>
                <w:kern w:val="0"/>
                <w:sz w:val="21"/>
                <w:szCs w:val="21"/>
                <w:highlight w:val="none"/>
              </w:rPr>
              <w:instrText xml:space="preserve"> eq \o\ac(□,</w:instrText>
            </w:r>
            <w:r>
              <w:rPr>
                <w:color w:val="000000" w:themeColor="text1"/>
                <w:kern w:val="0"/>
                <w:position w:val="1"/>
                <w:sz w:val="21"/>
                <w:szCs w:val="21"/>
                <w:highlight w:val="none"/>
              </w:rPr>
              <w:instrText xml:space="preserve">√</w:instrText>
            </w:r>
            <w:r>
              <w:rPr>
                <w:color w:val="000000" w:themeColor="text1"/>
                <w:kern w:val="0"/>
                <w:sz w:val="21"/>
                <w:szCs w:val="21"/>
                <w:highlight w:val="none"/>
              </w:rPr>
              <w:instrText xml:space="preserve">)</w:instrText>
            </w:r>
            <w:r>
              <w:rPr>
                <w:color w:val="000000" w:themeColor="text1"/>
                <w:kern w:val="0"/>
                <w:sz w:val="21"/>
                <w:szCs w:val="21"/>
                <w:highlight w:val="none"/>
              </w:rPr>
              <w:fldChar w:fldCharType="end"/>
            </w:r>
            <w:r>
              <w:rPr>
                <w:color w:val="000000" w:themeColor="text1"/>
                <w:kern w:val="0"/>
                <w:sz w:val="21"/>
                <w:szCs w:val="21"/>
                <w:highlight w:val="none"/>
              </w:rPr>
              <w:t xml:space="preserve">；水文要素影响型 </w:t>
            </w:r>
            <w:r>
              <w:rPr>
                <w:rFonts w:hint="eastAsia"/>
                <w:color w:val="000000" w:themeColor="text1"/>
                <w:kern w:val="0"/>
                <w:sz w:val="21"/>
                <w:szCs w:val="21"/>
                <w:highlight w:val="none"/>
                <w:lang w:eastAsia="zh-CN"/>
              </w:rPr>
              <w:t>□</w:t>
            </w:r>
          </w:p>
        </w:tc>
      </w:tr>
      <w:tr w14:paraId="25CB3A0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97" w:hRule="atLeast"/>
          <w:jc w:val="center"/>
        </w:trPr>
        <w:tc>
          <w:tcPr>
            <w:tcW w:w="419" w:type="dxa"/>
            <w:vMerge w:val="continue"/>
            <w:vAlign w:val="center"/>
          </w:tcPr>
          <w:p w14:paraId="73599BB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606646B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水环境保护目标</w:t>
            </w:r>
          </w:p>
        </w:tc>
        <w:tc>
          <w:tcPr>
            <w:tcW w:w="7448" w:type="dxa"/>
            <w:gridSpan w:val="12"/>
            <w:vAlign w:val="center"/>
          </w:tcPr>
          <w:p w14:paraId="2A3BB0F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 xml:space="preserve">饮用水水源保护区 </w:t>
            </w:r>
            <w:r>
              <w:rPr>
                <w:rFonts w:hint="eastAsia"/>
                <w:color w:val="000000" w:themeColor="text1"/>
                <w:kern w:val="0"/>
                <w:sz w:val="21"/>
                <w:szCs w:val="21"/>
                <w:highlight w:val="none"/>
                <w:lang w:eastAsia="zh-CN"/>
              </w:rPr>
              <w:t>□</w:t>
            </w:r>
            <w:r>
              <w:rPr>
                <w:color w:val="000000" w:themeColor="text1"/>
                <w:kern w:val="0"/>
                <w:sz w:val="21"/>
                <w:szCs w:val="21"/>
                <w:highlight w:val="none"/>
              </w:rPr>
              <w:t xml:space="preserve">；饮用水取水口 □；涉水的自然保护区 </w:t>
            </w:r>
            <w:r>
              <w:rPr>
                <w:rFonts w:hint="eastAsia"/>
                <w:color w:val="000000" w:themeColor="text1"/>
                <w:kern w:val="0"/>
                <w:sz w:val="21"/>
                <w:szCs w:val="21"/>
                <w:highlight w:val="none"/>
                <w:lang w:eastAsia="zh-CN"/>
              </w:rPr>
              <w:t>☑</w:t>
            </w:r>
            <w:r>
              <w:rPr>
                <w:color w:val="000000" w:themeColor="text1"/>
                <w:kern w:val="0"/>
                <w:sz w:val="21"/>
                <w:szCs w:val="21"/>
                <w:highlight w:val="none"/>
              </w:rPr>
              <w:t>；涉水的风景名胜区 □；重要湿地 □；</w:t>
            </w:r>
          </w:p>
          <w:p w14:paraId="336B5D1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重点保护与珍稀水生生物的栖息地 □；重要水生生物的自然产卵场及索饵场、越冬场和洄游通道□；天然渔场等渔业水体 □；水产种质资源保护区□；其他□</w:t>
            </w:r>
          </w:p>
        </w:tc>
      </w:tr>
      <w:tr w14:paraId="78BABE5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77AF8EB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4E2F87C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影响途径</w:t>
            </w:r>
          </w:p>
        </w:tc>
        <w:tc>
          <w:tcPr>
            <w:tcW w:w="3141" w:type="dxa"/>
            <w:gridSpan w:val="5"/>
            <w:vAlign w:val="center"/>
          </w:tcPr>
          <w:p w14:paraId="4076B34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水污染影响型</w:t>
            </w:r>
          </w:p>
        </w:tc>
        <w:tc>
          <w:tcPr>
            <w:tcW w:w="4307" w:type="dxa"/>
            <w:gridSpan w:val="7"/>
            <w:vAlign w:val="center"/>
          </w:tcPr>
          <w:p w14:paraId="1416D3D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水文要素影响型</w:t>
            </w:r>
          </w:p>
        </w:tc>
      </w:tr>
      <w:tr w14:paraId="02D4362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4B5E1D3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0320BBC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3141" w:type="dxa"/>
            <w:gridSpan w:val="5"/>
            <w:vAlign w:val="center"/>
          </w:tcPr>
          <w:p w14:paraId="37C94C7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直接排放□；间接排放□；其他</w:t>
            </w:r>
            <w:r>
              <w:rPr>
                <w:rFonts w:hint="eastAsia"/>
                <w:color w:val="000000" w:themeColor="text1"/>
                <w:kern w:val="0"/>
                <w:sz w:val="21"/>
                <w:szCs w:val="21"/>
                <w:highlight w:val="none"/>
                <w:lang w:eastAsia="zh-CN"/>
              </w:rPr>
              <w:t>☑</w:t>
            </w:r>
          </w:p>
        </w:tc>
        <w:tc>
          <w:tcPr>
            <w:tcW w:w="4307" w:type="dxa"/>
            <w:gridSpan w:val="7"/>
            <w:vAlign w:val="center"/>
          </w:tcPr>
          <w:p w14:paraId="116A5B2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水温 □；径流 □；水域面积 □</w:t>
            </w:r>
          </w:p>
        </w:tc>
      </w:tr>
      <w:tr w14:paraId="2268C2D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36" w:hRule="atLeast"/>
          <w:jc w:val="center"/>
        </w:trPr>
        <w:tc>
          <w:tcPr>
            <w:tcW w:w="419" w:type="dxa"/>
            <w:vMerge w:val="continue"/>
            <w:vAlign w:val="center"/>
          </w:tcPr>
          <w:p w14:paraId="57255AF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733BCED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影响因子</w:t>
            </w:r>
          </w:p>
        </w:tc>
        <w:tc>
          <w:tcPr>
            <w:tcW w:w="3141" w:type="dxa"/>
            <w:gridSpan w:val="5"/>
            <w:vAlign w:val="center"/>
          </w:tcPr>
          <w:p w14:paraId="644A70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持久性污染物□；有毒有害污染物 □；非持久性污染物</w:t>
            </w:r>
            <w:r>
              <w:rPr>
                <w:rFonts w:hint="eastAsia"/>
                <w:color w:val="000000" w:themeColor="text1"/>
                <w:kern w:val="0"/>
                <w:sz w:val="21"/>
                <w:szCs w:val="21"/>
                <w:highlight w:val="none"/>
                <w:lang w:eastAsia="zh-CN"/>
              </w:rPr>
              <w:t>☑</w:t>
            </w:r>
            <w:r>
              <w:rPr>
                <w:color w:val="000000" w:themeColor="text1"/>
                <w:kern w:val="0"/>
                <w:sz w:val="21"/>
                <w:szCs w:val="21"/>
                <w:highlight w:val="none"/>
              </w:rPr>
              <w:t>；pH值 □；热污染 □；富营养化 □；其他</w:t>
            </w:r>
            <w:r>
              <w:rPr>
                <w:rFonts w:hint="eastAsia"/>
                <w:color w:val="000000" w:themeColor="text1"/>
                <w:kern w:val="0"/>
                <w:sz w:val="21"/>
                <w:szCs w:val="21"/>
                <w:highlight w:val="none"/>
                <w:lang w:eastAsia="zh-CN"/>
              </w:rPr>
              <w:t>☑</w:t>
            </w:r>
          </w:p>
        </w:tc>
        <w:tc>
          <w:tcPr>
            <w:tcW w:w="4307" w:type="dxa"/>
            <w:gridSpan w:val="7"/>
            <w:vAlign w:val="center"/>
          </w:tcPr>
          <w:p w14:paraId="3DFD260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水温 □；水位（水深） □；流速 □；流量 □；其他 □</w:t>
            </w:r>
          </w:p>
        </w:tc>
      </w:tr>
      <w:tr w14:paraId="7C62B9B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1068" w:type="dxa"/>
            <w:gridSpan w:val="2"/>
            <w:vMerge w:val="restart"/>
            <w:noWrap/>
            <w:vAlign w:val="center"/>
          </w:tcPr>
          <w:p w14:paraId="6E83554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评价等级</w:t>
            </w:r>
          </w:p>
        </w:tc>
        <w:tc>
          <w:tcPr>
            <w:tcW w:w="3141" w:type="dxa"/>
            <w:gridSpan w:val="5"/>
            <w:noWrap/>
            <w:vAlign w:val="center"/>
          </w:tcPr>
          <w:p w14:paraId="4CCC9AC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水污染影响型</w:t>
            </w:r>
          </w:p>
        </w:tc>
        <w:tc>
          <w:tcPr>
            <w:tcW w:w="4307" w:type="dxa"/>
            <w:gridSpan w:val="7"/>
            <w:vAlign w:val="center"/>
          </w:tcPr>
          <w:p w14:paraId="0E03866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水文要素影响型</w:t>
            </w:r>
          </w:p>
        </w:tc>
      </w:tr>
      <w:tr w14:paraId="1A21759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1068" w:type="dxa"/>
            <w:gridSpan w:val="2"/>
            <w:vMerge w:val="continue"/>
            <w:noWrap/>
            <w:vAlign w:val="center"/>
          </w:tcPr>
          <w:p w14:paraId="5EE8036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3141" w:type="dxa"/>
            <w:gridSpan w:val="5"/>
            <w:noWrap/>
            <w:vAlign w:val="center"/>
          </w:tcPr>
          <w:p w14:paraId="122C92A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xml:space="preserve">一级 □；二级□；三级A □；三级B </w:t>
            </w:r>
            <w:r>
              <w:rPr>
                <w:color w:val="000000" w:themeColor="text1"/>
                <w:kern w:val="0"/>
                <w:sz w:val="21"/>
                <w:szCs w:val="21"/>
                <w:highlight w:val="none"/>
              </w:rPr>
              <w:fldChar w:fldCharType="begin"/>
            </w:r>
            <w:r>
              <w:rPr>
                <w:color w:val="000000" w:themeColor="text1"/>
                <w:kern w:val="0"/>
                <w:sz w:val="21"/>
                <w:szCs w:val="21"/>
                <w:highlight w:val="none"/>
              </w:rPr>
              <w:instrText xml:space="preserve"> eq \o\ac(□,</w:instrText>
            </w:r>
            <w:r>
              <w:rPr>
                <w:color w:val="000000" w:themeColor="text1"/>
                <w:kern w:val="0"/>
                <w:position w:val="1"/>
                <w:sz w:val="21"/>
                <w:szCs w:val="21"/>
                <w:highlight w:val="none"/>
              </w:rPr>
              <w:instrText xml:space="preserve">√</w:instrText>
            </w:r>
            <w:r>
              <w:rPr>
                <w:color w:val="000000" w:themeColor="text1"/>
                <w:kern w:val="0"/>
                <w:sz w:val="21"/>
                <w:szCs w:val="21"/>
                <w:highlight w:val="none"/>
              </w:rPr>
              <w:instrText xml:space="preserve">)</w:instrText>
            </w:r>
            <w:r>
              <w:rPr>
                <w:color w:val="000000" w:themeColor="text1"/>
                <w:kern w:val="0"/>
                <w:sz w:val="21"/>
                <w:szCs w:val="21"/>
                <w:highlight w:val="none"/>
              </w:rPr>
              <w:fldChar w:fldCharType="end"/>
            </w:r>
          </w:p>
        </w:tc>
        <w:tc>
          <w:tcPr>
            <w:tcW w:w="4307" w:type="dxa"/>
            <w:gridSpan w:val="7"/>
            <w:vAlign w:val="center"/>
          </w:tcPr>
          <w:p w14:paraId="20589B5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一级 □；二级 □；三级 □</w:t>
            </w:r>
          </w:p>
        </w:tc>
      </w:tr>
      <w:tr w14:paraId="0B1A71B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restart"/>
            <w:noWrap/>
            <w:textDirection w:val="tbRlV"/>
            <w:vAlign w:val="center"/>
          </w:tcPr>
          <w:p w14:paraId="3166E42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现状调查</w:t>
            </w:r>
          </w:p>
        </w:tc>
        <w:tc>
          <w:tcPr>
            <w:tcW w:w="649" w:type="dxa"/>
            <w:vMerge w:val="restart"/>
            <w:vAlign w:val="center"/>
          </w:tcPr>
          <w:p w14:paraId="622F15E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区域污染源</w:t>
            </w:r>
          </w:p>
        </w:tc>
        <w:tc>
          <w:tcPr>
            <w:tcW w:w="3141" w:type="dxa"/>
            <w:gridSpan w:val="5"/>
            <w:noWrap/>
            <w:vAlign w:val="center"/>
          </w:tcPr>
          <w:p w14:paraId="764E391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调查项目</w:t>
            </w:r>
          </w:p>
        </w:tc>
        <w:tc>
          <w:tcPr>
            <w:tcW w:w="4307" w:type="dxa"/>
            <w:gridSpan w:val="7"/>
            <w:noWrap/>
            <w:vAlign w:val="center"/>
          </w:tcPr>
          <w:p w14:paraId="617998C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数据来源</w:t>
            </w:r>
          </w:p>
        </w:tc>
      </w:tr>
      <w:tr w14:paraId="24BAF90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36" w:hRule="atLeast"/>
          <w:jc w:val="center"/>
        </w:trPr>
        <w:tc>
          <w:tcPr>
            <w:tcW w:w="419" w:type="dxa"/>
            <w:vMerge w:val="continue"/>
            <w:vAlign w:val="center"/>
          </w:tcPr>
          <w:p w14:paraId="6120D97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077C242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1502" w:type="dxa"/>
            <w:gridSpan w:val="2"/>
            <w:vAlign w:val="center"/>
          </w:tcPr>
          <w:p w14:paraId="6E94A5A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已建□；在建 □；拟建 □；其他 □</w:t>
            </w:r>
          </w:p>
        </w:tc>
        <w:tc>
          <w:tcPr>
            <w:tcW w:w="1639" w:type="dxa"/>
            <w:gridSpan w:val="3"/>
            <w:vAlign w:val="center"/>
          </w:tcPr>
          <w:p w14:paraId="4765653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拟替代的污染源 □</w:t>
            </w:r>
          </w:p>
        </w:tc>
        <w:tc>
          <w:tcPr>
            <w:tcW w:w="4307" w:type="dxa"/>
            <w:gridSpan w:val="7"/>
            <w:vAlign w:val="center"/>
          </w:tcPr>
          <w:p w14:paraId="3B2B5EF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排污许可证 □；环评 □；环保验收 □；既有实测 □；现场监测 □；入河排放口数据 □；其他 □</w:t>
            </w:r>
          </w:p>
        </w:tc>
      </w:tr>
      <w:tr w14:paraId="5777FA3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7BFDD28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4150C9E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受影响水体水环境质量　</w:t>
            </w:r>
          </w:p>
        </w:tc>
        <w:tc>
          <w:tcPr>
            <w:tcW w:w="3141" w:type="dxa"/>
            <w:gridSpan w:val="5"/>
            <w:noWrap/>
            <w:vAlign w:val="center"/>
          </w:tcPr>
          <w:p w14:paraId="0B028D1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调查时期</w:t>
            </w:r>
          </w:p>
        </w:tc>
        <w:tc>
          <w:tcPr>
            <w:tcW w:w="4307" w:type="dxa"/>
            <w:gridSpan w:val="7"/>
            <w:noWrap/>
            <w:vAlign w:val="center"/>
          </w:tcPr>
          <w:p w14:paraId="12E839F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数据来源</w:t>
            </w:r>
          </w:p>
        </w:tc>
      </w:tr>
      <w:tr w14:paraId="463A324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85" w:hRule="atLeast"/>
          <w:jc w:val="center"/>
        </w:trPr>
        <w:tc>
          <w:tcPr>
            <w:tcW w:w="419" w:type="dxa"/>
            <w:vMerge w:val="continue"/>
            <w:vAlign w:val="center"/>
          </w:tcPr>
          <w:p w14:paraId="29424A8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5E29753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3141" w:type="dxa"/>
            <w:gridSpan w:val="5"/>
            <w:vAlign w:val="center"/>
          </w:tcPr>
          <w:p w14:paraId="2608548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 xml:space="preserve">丰水期 □；平水期 </w:t>
            </w:r>
            <w:r>
              <w:rPr>
                <w:rFonts w:hint="eastAsia"/>
                <w:color w:val="000000" w:themeColor="text1"/>
                <w:kern w:val="0"/>
                <w:sz w:val="21"/>
                <w:szCs w:val="21"/>
                <w:highlight w:val="none"/>
                <w:lang w:eastAsia="zh-CN"/>
              </w:rPr>
              <w:t>☑</w:t>
            </w:r>
            <w:r>
              <w:rPr>
                <w:color w:val="000000" w:themeColor="text1"/>
                <w:kern w:val="0"/>
                <w:sz w:val="21"/>
                <w:szCs w:val="21"/>
                <w:highlight w:val="none"/>
              </w:rPr>
              <w:t>；枯水期□；冰封期 □</w:t>
            </w:r>
          </w:p>
          <w:p w14:paraId="5FED99D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xml:space="preserve">春季 □；夏季 </w:t>
            </w:r>
            <w:r>
              <w:rPr>
                <w:rFonts w:hint="eastAsia"/>
                <w:color w:val="000000" w:themeColor="text1"/>
                <w:kern w:val="0"/>
                <w:sz w:val="21"/>
                <w:szCs w:val="21"/>
                <w:highlight w:val="none"/>
                <w:lang w:eastAsia="zh-CN"/>
              </w:rPr>
              <w:t>☑</w:t>
            </w:r>
            <w:r>
              <w:rPr>
                <w:color w:val="000000" w:themeColor="text1"/>
                <w:kern w:val="0"/>
                <w:sz w:val="21"/>
                <w:szCs w:val="21"/>
                <w:highlight w:val="none"/>
              </w:rPr>
              <w:t>；秋季 □；冬季 □</w:t>
            </w:r>
          </w:p>
        </w:tc>
        <w:tc>
          <w:tcPr>
            <w:tcW w:w="4307" w:type="dxa"/>
            <w:gridSpan w:val="7"/>
            <w:noWrap/>
            <w:vAlign w:val="center"/>
          </w:tcPr>
          <w:p w14:paraId="67B155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生态环境保护主管部门</w:t>
            </w:r>
            <w:r>
              <w:rPr>
                <w:rFonts w:hint="eastAsia"/>
                <w:color w:val="000000" w:themeColor="text1"/>
                <w:kern w:val="0"/>
                <w:sz w:val="21"/>
                <w:szCs w:val="21"/>
                <w:highlight w:val="none"/>
                <w:lang w:eastAsia="zh-CN"/>
              </w:rPr>
              <w:t>☑</w:t>
            </w:r>
            <w:r>
              <w:rPr>
                <w:color w:val="000000" w:themeColor="text1"/>
                <w:kern w:val="0"/>
                <w:sz w:val="21"/>
                <w:szCs w:val="21"/>
                <w:highlight w:val="none"/>
              </w:rPr>
              <w:t xml:space="preserve">；补充监测 </w:t>
            </w:r>
            <w:r>
              <w:rPr>
                <w:rFonts w:hint="eastAsia"/>
                <w:color w:val="000000" w:themeColor="text1"/>
                <w:kern w:val="0"/>
                <w:sz w:val="21"/>
                <w:szCs w:val="21"/>
                <w:highlight w:val="none"/>
                <w:lang w:eastAsia="zh-CN"/>
              </w:rPr>
              <w:t>☑</w:t>
            </w:r>
            <w:r>
              <w:rPr>
                <w:color w:val="000000" w:themeColor="text1"/>
                <w:kern w:val="0"/>
                <w:sz w:val="21"/>
                <w:szCs w:val="21"/>
                <w:highlight w:val="none"/>
              </w:rPr>
              <w:t>；其他 □</w:t>
            </w:r>
          </w:p>
        </w:tc>
      </w:tr>
      <w:tr w14:paraId="6B15676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7D39C3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0BF43BB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区域水资源开发利用状况</w:t>
            </w:r>
          </w:p>
        </w:tc>
        <w:tc>
          <w:tcPr>
            <w:tcW w:w="7448" w:type="dxa"/>
            <w:gridSpan w:val="12"/>
            <w:noWrap/>
            <w:vAlign w:val="center"/>
          </w:tcPr>
          <w:p w14:paraId="1A43394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未开发 □；开发量40%以下 □；开发量40%以上 □</w:t>
            </w:r>
          </w:p>
        </w:tc>
      </w:tr>
      <w:tr w14:paraId="5D5D15C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2F78B6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6E90D6B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水文情势调查　</w:t>
            </w:r>
          </w:p>
        </w:tc>
        <w:tc>
          <w:tcPr>
            <w:tcW w:w="3141" w:type="dxa"/>
            <w:gridSpan w:val="5"/>
            <w:noWrap/>
            <w:vAlign w:val="center"/>
          </w:tcPr>
          <w:p w14:paraId="4455A88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调查时期</w:t>
            </w:r>
          </w:p>
        </w:tc>
        <w:tc>
          <w:tcPr>
            <w:tcW w:w="4307" w:type="dxa"/>
            <w:gridSpan w:val="7"/>
            <w:noWrap/>
            <w:vAlign w:val="center"/>
          </w:tcPr>
          <w:p w14:paraId="1D59657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数据来源</w:t>
            </w:r>
          </w:p>
        </w:tc>
      </w:tr>
      <w:tr w14:paraId="4D21AD1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85" w:hRule="atLeast"/>
          <w:jc w:val="center"/>
        </w:trPr>
        <w:tc>
          <w:tcPr>
            <w:tcW w:w="419" w:type="dxa"/>
            <w:vMerge w:val="continue"/>
            <w:vAlign w:val="center"/>
          </w:tcPr>
          <w:p w14:paraId="45B55E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2D2B69D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3141" w:type="dxa"/>
            <w:gridSpan w:val="5"/>
            <w:vAlign w:val="center"/>
          </w:tcPr>
          <w:p w14:paraId="4080D99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丰水期 □；平水期 □；枯水期□；冰封期 □</w:t>
            </w:r>
          </w:p>
          <w:p w14:paraId="5228FB0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春季 □；夏季 □；秋季 □；冬季 □</w:t>
            </w:r>
          </w:p>
        </w:tc>
        <w:tc>
          <w:tcPr>
            <w:tcW w:w="4307" w:type="dxa"/>
            <w:gridSpan w:val="7"/>
            <w:noWrap/>
            <w:vAlign w:val="center"/>
          </w:tcPr>
          <w:p w14:paraId="445A711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水行政主管部门 □；补充监测 □；其他 □</w:t>
            </w:r>
          </w:p>
        </w:tc>
      </w:tr>
      <w:tr w14:paraId="294A958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343E243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1FE6F66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补充监测　</w:t>
            </w:r>
          </w:p>
        </w:tc>
        <w:tc>
          <w:tcPr>
            <w:tcW w:w="3141" w:type="dxa"/>
            <w:gridSpan w:val="5"/>
            <w:vAlign w:val="center"/>
          </w:tcPr>
          <w:p w14:paraId="47EA21C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监测时期</w:t>
            </w:r>
          </w:p>
        </w:tc>
        <w:tc>
          <w:tcPr>
            <w:tcW w:w="2150" w:type="dxa"/>
            <w:gridSpan w:val="5"/>
            <w:noWrap/>
            <w:vAlign w:val="center"/>
          </w:tcPr>
          <w:p w14:paraId="47A9D85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监测因子</w:t>
            </w:r>
          </w:p>
        </w:tc>
        <w:tc>
          <w:tcPr>
            <w:tcW w:w="2157" w:type="dxa"/>
            <w:gridSpan w:val="2"/>
            <w:noWrap/>
            <w:vAlign w:val="center"/>
          </w:tcPr>
          <w:p w14:paraId="6F6CC79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监测断面或点位</w:t>
            </w:r>
          </w:p>
        </w:tc>
      </w:tr>
      <w:tr w14:paraId="4A889B1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85" w:hRule="atLeast"/>
          <w:jc w:val="center"/>
        </w:trPr>
        <w:tc>
          <w:tcPr>
            <w:tcW w:w="419" w:type="dxa"/>
            <w:vMerge w:val="continue"/>
            <w:vAlign w:val="center"/>
          </w:tcPr>
          <w:p w14:paraId="3A2C04A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12C205B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3141" w:type="dxa"/>
            <w:gridSpan w:val="5"/>
            <w:vAlign w:val="center"/>
          </w:tcPr>
          <w:p w14:paraId="4DFBA2D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xml:space="preserve">丰水期 □；平水期 </w:t>
            </w:r>
            <w:r>
              <w:rPr>
                <w:rFonts w:hint="eastAsia"/>
                <w:color w:val="000000" w:themeColor="text1"/>
                <w:kern w:val="0"/>
                <w:sz w:val="21"/>
                <w:szCs w:val="21"/>
                <w:highlight w:val="none"/>
                <w:lang w:eastAsia="zh-CN"/>
              </w:rPr>
              <w:t>☑</w:t>
            </w:r>
            <w:r>
              <w:rPr>
                <w:color w:val="000000" w:themeColor="text1"/>
                <w:kern w:val="0"/>
                <w:sz w:val="21"/>
                <w:szCs w:val="21"/>
                <w:highlight w:val="none"/>
              </w:rPr>
              <w:t xml:space="preserve">；枯水期 □；冰封期□；春季 □；夏季 </w:t>
            </w:r>
            <w:r>
              <w:rPr>
                <w:rFonts w:hint="eastAsia"/>
                <w:color w:val="000000" w:themeColor="text1"/>
                <w:kern w:val="0"/>
                <w:sz w:val="21"/>
                <w:szCs w:val="21"/>
                <w:highlight w:val="none"/>
                <w:lang w:eastAsia="zh-CN"/>
              </w:rPr>
              <w:t>☑</w:t>
            </w:r>
            <w:r>
              <w:rPr>
                <w:color w:val="000000" w:themeColor="text1"/>
                <w:kern w:val="0"/>
                <w:sz w:val="21"/>
                <w:szCs w:val="21"/>
                <w:highlight w:val="none"/>
              </w:rPr>
              <w:t>；秋季 □；冬季 □</w:t>
            </w:r>
          </w:p>
        </w:tc>
        <w:tc>
          <w:tcPr>
            <w:tcW w:w="2150" w:type="dxa"/>
            <w:gridSpan w:val="5"/>
            <w:noWrap/>
            <w:vAlign w:val="center"/>
          </w:tcPr>
          <w:p w14:paraId="46B9A2E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w:t>
            </w:r>
            <w:r>
              <w:rPr>
                <w:rFonts w:hint="eastAsia"/>
                <w:color w:val="000000" w:themeColor="text1"/>
                <w:sz w:val="21"/>
                <w:szCs w:val="21"/>
                <w:highlight w:val="none"/>
              </w:rPr>
              <w:t>pH、流量、高锰酸盐指数、BOD</w:t>
            </w:r>
            <w:r>
              <w:rPr>
                <w:rFonts w:hint="eastAsia"/>
                <w:color w:val="000000" w:themeColor="text1"/>
                <w:sz w:val="21"/>
                <w:szCs w:val="21"/>
                <w:highlight w:val="none"/>
                <w:vertAlign w:val="subscript"/>
              </w:rPr>
              <w:t>5</w:t>
            </w:r>
            <w:r>
              <w:rPr>
                <w:rFonts w:hint="eastAsia"/>
                <w:color w:val="000000" w:themeColor="text1"/>
                <w:sz w:val="21"/>
                <w:szCs w:val="21"/>
                <w:highlight w:val="none"/>
              </w:rPr>
              <w:t>、氨氮、石油类、悬浮物、总磷、总氮、溶解氧</w:t>
            </w:r>
            <w:r>
              <w:rPr>
                <w:color w:val="000000" w:themeColor="text1"/>
                <w:kern w:val="0"/>
                <w:sz w:val="21"/>
                <w:szCs w:val="21"/>
                <w:highlight w:val="none"/>
              </w:rPr>
              <w:t>）</w:t>
            </w:r>
          </w:p>
        </w:tc>
        <w:tc>
          <w:tcPr>
            <w:tcW w:w="2157" w:type="dxa"/>
            <w:gridSpan w:val="2"/>
            <w:noWrap/>
            <w:vAlign w:val="center"/>
          </w:tcPr>
          <w:p w14:paraId="4B0A11B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监测断面或点位个数（</w:t>
            </w:r>
            <w:r>
              <w:rPr>
                <w:rFonts w:hint="eastAsia"/>
                <w:color w:val="000000" w:themeColor="text1"/>
                <w:kern w:val="0"/>
                <w:sz w:val="21"/>
                <w:szCs w:val="21"/>
                <w:highlight w:val="none"/>
                <w:lang w:val="en-US" w:eastAsia="zh-CN"/>
              </w:rPr>
              <w:t>2</w:t>
            </w:r>
            <w:r>
              <w:rPr>
                <w:color w:val="000000" w:themeColor="text1"/>
                <w:kern w:val="0"/>
                <w:sz w:val="21"/>
                <w:szCs w:val="21"/>
                <w:highlight w:val="none"/>
              </w:rPr>
              <w:t>）个</w:t>
            </w:r>
          </w:p>
        </w:tc>
      </w:tr>
      <w:tr w14:paraId="2F817D6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restart"/>
            <w:noWrap/>
            <w:textDirection w:val="tbRlV"/>
            <w:vAlign w:val="center"/>
          </w:tcPr>
          <w:p w14:paraId="346DB3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现状评价</w:t>
            </w:r>
          </w:p>
        </w:tc>
        <w:tc>
          <w:tcPr>
            <w:tcW w:w="649" w:type="dxa"/>
            <w:vAlign w:val="center"/>
          </w:tcPr>
          <w:p w14:paraId="5B36E78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评价范围</w:t>
            </w:r>
          </w:p>
        </w:tc>
        <w:tc>
          <w:tcPr>
            <w:tcW w:w="7448" w:type="dxa"/>
            <w:gridSpan w:val="12"/>
            <w:noWrap/>
            <w:vAlign w:val="center"/>
          </w:tcPr>
          <w:p w14:paraId="37D1B7F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河流：长度（</w:t>
            </w:r>
            <w:r>
              <w:rPr>
                <w:rFonts w:hint="eastAsia"/>
                <w:color w:val="000000" w:themeColor="text1"/>
                <w:kern w:val="0"/>
                <w:sz w:val="21"/>
                <w:szCs w:val="21"/>
                <w:highlight w:val="none"/>
                <w:lang w:val="en-US" w:eastAsia="zh-CN"/>
              </w:rPr>
              <w:t>55.6</w:t>
            </w:r>
            <w:r>
              <w:rPr>
                <w:color w:val="000000" w:themeColor="text1"/>
                <w:kern w:val="0"/>
                <w:sz w:val="21"/>
                <w:szCs w:val="21"/>
                <w:highlight w:val="none"/>
              </w:rPr>
              <w:t>）km；湖库、河口及近岸海域：面积（   ）km</w:t>
            </w:r>
            <w:r>
              <w:rPr>
                <w:color w:val="000000" w:themeColor="text1"/>
                <w:kern w:val="0"/>
                <w:sz w:val="21"/>
                <w:szCs w:val="21"/>
                <w:highlight w:val="none"/>
                <w:vertAlign w:val="superscript"/>
              </w:rPr>
              <w:t>2</w:t>
            </w:r>
          </w:p>
        </w:tc>
      </w:tr>
      <w:tr w14:paraId="023211A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469BA59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64B0DBB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评价因子</w:t>
            </w:r>
          </w:p>
        </w:tc>
        <w:tc>
          <w:tcPr>
            <w:tcW w:w="7448" w:type="dxa"/>
            <w:gridSpan w:val="12"/>
            <w:noWrap/>
            <w:vAlign w:val="center"/>
          </w:tcPr>
          <w:p w14:paraId="593D430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pH、COD、五日生化需氧量、高锰酸盐指数、氨氮、总氮、总磷 ）</w:t>
            </w:r>
          </w:p>
        </w:tc>
      </w:tr>
      <w:tr w14:paraId="152EB75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97" w:hRule="atLeast"/>
          <w:jc w:val="center"/>
        </w:trPr>
        <w:tc>
          <w:tcPr>
            <w:tcW w:w="419" w:type="dxa"/>
            <w:vMerge w:val="continue"/>
            <w:vAlign w:val="center"/>
          </w:tcPr>
          <w:p w14:paraId="1056080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5DDDB1C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评价标准</w:t>
            </w:r>
          </w:p>
        </w:tc>
        <w:tc>
          <w:tcPr>
            <w:tcW w:w="7448" w:type="dxa"/>
            <w:gridSpan w:val="12"/>
            <w:noWrap/>
            <w:vAlign w:val="center"/>
          </w:tcPr>
          <w:p w14:paraId="30A30D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xml:space="preserve">河流、湖库、河口：Ⅰ类 □；Ⅱ类 □；Ⅲ类 </w:t>
            </w:r>
            <w:r>
              <w:rPr>
                <w:color w:val="000000" w:themeColor="text1"/>
                <w:kern w:val="0"/>
                <w:sz w:val="21"/>
                <w:szCs w:val="21"/>
                <w:highlight w:val="none"/>
              </w:rPr>
              <w:fldChar w:fldCharType="begin"/>
            </w:r>
            <w:r>
              <w:rPr>
                <w:color w:val="000000" w:themeColor="text1"/>
                <w:kern w:val="0"/>
                <w:sz w:val="21"/>
                <w:szCs w:val="21"/>
                <w:highlight w:val="none"/>
              </w:rPr>
              <w:instrText xml:space="preserve"> eq \o\ac(□)</w:instrText>
            </w:r>
            <w:r>
              <w:rPr>
                <w:color w:val="000000" w:themeColor="text1"/>
                <w:kern w:val="0"/>
                <w:sz w:val="21"/>
                <w:szCs w:val="21"/>
                <w:highlight w:val="none"/>
              </w:rPr>
              <w:fldChar w:fldCharType="end"/>
            </w:r>
            <w:r>
              <w:rPr>
                <w:color w:val="000000" w:themeColor="text1"/>
                <w:kern w:val="0"/>
                <w:sz w:val="21"/>
                <w:szCs w:val="21"/>
                <w:highlight w:val="none"/>
              </w:rPr>
              <w:t>；Ⅳ类</w:t>
            </w:r>
            <w:r>
              <w:rPr>
                <w:rFonts w:hint="eastAsia"/>
                <w:color w:val="000000" w:themeColor="text1"/>
                <w:kern w:val="0"/>
                <w:sz w:val="21"/>
                <w:szCs w:val="21"/>
                <w:highlight w:val="none"/>
                <w:lang w:eastAsia="zh-CN"/>
              </w:rPr>
              <w:t>☑</w:t>
            </w:r>
            <w:r>
              <w:rPr>
                <w:color w:val="000000" w:themeColor="text1"/>
                <w:kern w:val="0"/>
                <w:sz w:val="21"/>
                <w:szCs w:val="21"/>
                <w:highlight w:val="none"/>
              </w:rPr>
              <w:t>；Ⅴ类 □</w:t>
            </w:r>
          </w:p>
          <w:p w14:paraId="70ADD0D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近岸海域：第一类 □；第二类 □；第三类 □；第四类 □</w:t>
            </w:r>
          </w:p>
          <w:p w14:paraId="661A324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xml:space="preserve">规划年评价标准（  </w:t>
            </w:r>
            <w:r>
              <w:rPr>
                <w:rFonts w:hint="default"/>
                <w:color w:val="000000" w:themeColor="text1"/>
                <w:kern w:val="0"/>
                <w:sz w:val="21"/>
                <w:szCs w:val="21"/>
                <w:highlight w:val="none"/>
                <w:lang w:val="en-US" w:eastAsia="zh-CN"/>
              </w:rPr>
              <w:t>Ⅳ</w:t>
            </w:r>
            <w:r>
              <w:rPr>
                <w:color w:val="000000" w:themeColor="text1"/>
                <w:kern w:val="0"/>
                <w:sz w:val="21"/>
                <w:szCs w:val="21"/>
                <w:highlight w:val="none"/>
              </w:rPr>
              <w:t>类 ）</w:t>
            </w:r>
          </w:p>
        </w:tc>
      </w:tr>
      <w:tr w14:paraId="4256949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36" w:hRule="atLeast"/>
          <w:jc w:val="center"/>
        </w:trPr>
        <w:tc>
          <w:tcPr>
            <w:tcW w:w="419" w:type="dxa"/>
            <w:vMerge w:val="continue"/>
            <w:vAlign w:val="center"/>
          </w:tcPr>
          <w:p w14:paraId="4482B7A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27192F5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评价时期</w:t>
            </w:r>
          </w:p>
        </w:tc>
        <w:tc>
          <w:tcPr>
            <w:tcW w:w="7448" w:type="dxa"/>
            <w:gridSpan w:val="12"/>
            <w:vAlign w:val="center"/>
          </w:tcPr>
          <w:p w14:paraId="7709ED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丰水期 □；平水期 □；枯水期□；冰封期 □</w:t>
            </w:r>
          </w:p>
          <w:p w14:paraId="2E6C478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春季□；夏季 □；秋季 □；冬季 □</w:t>
            </w:r>
          </w:p>
        </w:tc>
      </w:tr>
      <w:tr w14:paraId="7F36B28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627" w:hRule="atLeast"/>
          <w:jc w:val="center"/>
        </w:trPr>
        <w:tc>
          <w:tcPr>
            <w:tcW w:w="419" w:type="dxa"/>
            <w:vMerge w:val="continue"/>
            <w:vAlign w:val="center"/>
          </w:tcPr>
          <w:p w14:paraId="6AD0D3D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5965415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评价结论</w:t>
            </w:r>
          </w:p>
        </w:tc>
        <w:tc>
          <w:tcPr>
            <w:tcW w:w="5794" w:type="dxa"/>
            <w:gridSpan w:val="11"/>
            <w:vAlign w:val="center"/>
          </w:tcPr>
          <w:p w14:paraId="40B013B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水环境功能区或水功能区、近岸海域环境功能区水质达标状况 ：达标</w:t>
            </w:r>
            <w:r>
              <w:rPr>
                <w:rFonts w:hint="eastAsia"/>
                <w:color w:val="000000" w:themeColor="text1"/>
                <w:kern w:val="0"/>
                <w:sz w:val="21"/>
                <w:szCs w:val="21"/>
                <w:highlight w:val="none"/>
                <w:lang w:eastAsia="zh-CN"/>
              </w:rPr>
              <w:t>☑</w:t>
            </w:r>
            <w:r>
              <w:rPr>
                <w:color w:val="000000" w:themeColor="text1"/>
                <w:kern w:val="0"/>
                <w:sz w:val="21"/>
                <w:szCs w:val="21"/>
                <w:highlight w:val="none"/>
              </w:rPr>
              <w:t>；不达标 □</w:t>
            </w:r>
          </w:p>
          <w:p w14:paraId="2DFACC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水环境控制单元或断面水质达标状况 ：达标</w:t>
            </w:r>
            <w:r>
              <w:rPr>
                <w:rFonts w:hint="eastAsia"/>
                <w:color w:val="000000" w:themeColor="text1"/>
                <w:kern w:val="0"/>
                <w:sz w:val="21"/>
                <w:szCs w:val="21"/>
                <w:highlight w:val="none"/>
                <w:lang w:eastAsia="zh-CN"/>
              </w:rPr>
              <w:t>☑</w:t>
            </w:r>
            <w:r>
              <w:rPr>
                <w:color w:val="000000" w:themeColor="text1"/>
                <w:kern w:val="0"/>
                <w:sz w:val="21"/>
                <w:szCs w:val="21"/>
                <w:highlight w:val="none"/>
              </w:rPr>
              <w:t>；不达标 □</w:t>
            </w:r>
          </w:p>
          <w:p w14:paraId="5FA1ACE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水环境保护目标质量状况 ：达标□；不达标 □</w:t>
            </w:r>
          </w:p>
          <w:p w14:paraId="4FEDB7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对照断面、控制断面等代表性断面的水质状况 ：达标□；不达标 □</w:t>
            </w:r>
          </w:p>
          <w:p w14:paraId="384FA5E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底泥污染评价 □</w:t>
            </w:r>
          </w:p>
          <w:p w14:paraId="113820A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水资源与开发利用程度及其水文情势评价 □</w:t>
            </w:r>
          </w:p>
          <w:p w14:paraId="3169A16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水环境质量回顾评价 □</w:t>
            </w:r>
          </w:p>
          <w:p w14:paraId="646C687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流域（区域）水资源（包括水能资源）与开发利用总体状况、生态流量管理要求与现状满足程度、建设项目占用水域空间的水流状况与河湖演变状况 □</w:t>
            </w:r>
          </w:p>
          <w:p w14:paraId="001F684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依托污水处理设施稳定达标排放评价 □</w:t>
            </w:r>
          </w:p>
        </w:tc>
        <w:tc>
          <w:tcPr>
            <w:tcW w:w="1654" w:type="dxa"/>
            <w:vAlign w:val="center"/>
          </w:tcPr>
          <w:p w14:paraId="777F35A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达标区</w:t>
            </w:r>
            <w:r>
              <w:rPr>
                <w:rFonts w:hint="eastAsia"/>
                <w:color w:val="000000" w:themeColor="text1"/>
                <w:kern w:val="0"/>
                <w:sz w:val="21"/>
                <w:szCs w:val="21"/>
                <w:highlight w:val="none"/>
                <w:lang w:eastAsia="zh-CN"/>
              </w:rPr>
              <w:t>☑</w:t>
            </w:r>
          </w:p>
          <w:p w14:paraId="50E1DD6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不达标区 □</w:t>
            </w:r>
          </w:p>
        </w:tc>
      </w:tr>
      <w:tr w14:paraId="5E4D9FA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restart"/>
            <w:noWrap/>
            <w:textDirection w:val="tbRlV"/>
            <w:vAlign w:val="center"/>
          </w:tcPr>
          <w:p w14:paraId="4FD84E3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影响预测</w:t>
            </w:r>
          </w:p>
        </w:tc>
        <w:tc>
          <w:tcPr>
            <w:tcW w:w="649" w:type="dxa"/>
            <w:vAlign w:val="center"/>
          </w:tcPr>
          <w:p w14:paraId="69FD493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预测范围</w:t>
            </w:r>
          </w:p>
        </w:tc>
        <w:tc>
          <w:tcPr>
            <w:tcW w:w="7448" w:type="dxa"/>
            <w:gridSpan w:val="12"/>
            <w:noWrap/>
            <w:vAlign w:val="center"/>
          </w:tcPr>
          <w:p w14:paraId="3059816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河流：长度（   ）km；湖库、河口及近岸海域：面积（   ）km</w:t>
            </w:r>
            <w:r>
              <w:rPr>
                <w:color w:val="000000" w:themeColor="text1"/>
                <w:kern w:val="0"/>
                <w:sz w:val="21"/>
                <w:szCs w:val="21"/>
                <w:highlight w:val="none"/>
                <w:vertAlign w:val="superscript"/>
              </w:rPr>
              <w:t>2</w:t>
            </w:r>
          </w:p>
        </w:tc>
      </w:tr>
      <w:tr w14:paraId="12F2189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1464BEB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70776B0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预测因子</w:t>
            </w:r>
          </w:p>
        </w:tc>
        <w:tc>
          <w:tcPr>
            <w:tcW w:w="7448" w:type="dxa"/>
            <w:gridSpan w:val="12"/>
            <w:noWrap/>
            <w:vAlign w:val="center"/>
          </w:tcPr>
          <w:p w14:paraId="1D61656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r>
      <w:tr w14:paraId="0F44C1A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797" w:hRule="atLeast"/>
          <w:jc w:val="center"/>
        </w:trPr>
        <w:tc>
          <w:tcPr>
            <w:tcW w:w="419" w:type="dxa"/>
            <w:vMerge w:val="continue"/>
            <w:vAlign w:val="center"/>
          </w:tcPr>
          <w:p w14:paraId="7794432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0A63EFF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预测时期</w:t>
            </w:r>
          </w:p>
        </w:tc>
        <w:tc>
          <w:tcPr>
            <w:tcW w:w="7448" w:type="dxa"/>
            <w:gridSpan w:val="12"/>
            <w:vAlign w:val="center"/>
          </w:tcPr>
          <w:p w14:paraId="3235527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丰水期 □；平水期 □；枯水期□；冰封期 □</w:t>
            </w:r>
          </w:p>
          <w:p w14:paraId="08B560E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春季 □；夏季 □；秋季 □；冬季 □</w:t>
            </w:r>
          </w:p>
          <w:p w14:paraId="55D8AAC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设计水文条件 □</w:t>
            </w:r>
          </w:p>
        </w:tc>
      </w:tr>
      <w:tr w14:paraId="3F0FA16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59" w:hRule="atLeast"/>
          <w:jc w:val="center"/>
        </w:trPr>
        <w:tc>
          <w:tcPr>
            <w:tcW w:w="419" w:type="dxa"/>
            <w:vMerge w:val="continue"/>
            <w:vAlign w:val="center"/>
          </w:tcPr>
          <w:p w14:paraId="7454132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75A3667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预测情景</w:t>
            </w:r>
          </w:p>
        </w:tc>
        <w:tc>
          <w:tcPr>
            <w:tcW w:w="7448" w:type="dxa"/>
            <w:gridSpan w:val="12"/>
            <w:vAlign w:val="center"/>
          </w:tcPr>
          <w:p w14:paraId="6B8BB0C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建设期 □；生产运行期□；服务期满后 □</w:t>
            </w:r>
          </w:p>
          <w:p w14:paraId="3E34C81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正常工况□；非正常工况□</w:t>
            </w:r>
          </w:p>
          <w:p w14:paraId="292E236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污染控制和减缓措施方案 □</w:t>
            </w:r>
          </w:p>
          <w:p w14:paraId="1645A3E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区（流）域环境质量改善目标要求情景 □</w:t>
            </w:r>
          </w:p>
        </w:tc>
      </w:tr>
      <w:tr w14:paraId="25EF862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5D1AF71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0291978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预测方法</w:t>
            </w:r>
          </w:p>
        </w:tc>
        <w:tc>
          <w:tcPr>
            <w:tcW w:w="7448" w:type="dxa"/>
            <w:gridSpan w:val="12"/>
            <w:noWrap/>
            <w:vAlign w:val="center"/>
          </w:tcPr>
          <w:p w14:paraId="361D55F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color w:val="000000" w:themeColor="text1"/>
                <w:kern w:val="0"/>
                <w:sz w:val="21"/>
                <w:szCs w:val="21"/>
                <w:highlight w:val="none"/>
              </w:rPr>
            </w:pPr>
            <w:r>
              <w:rPr>
                <w:color w:val="000000" w:themeColor="text1"/>
                <w:kern w:val="0"/>
                <w:sz w:val="21"/>
                <w:szCs w:val="21"/>
                <w:highlight w:val="none"/>
              </w:rPr>
              <w:t>数值解 □：解析解 □；其他 □</w:t>
            </w:r>
          </w:p>
          <w:p w14:paraId="3E26501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color w:val="000000" w:themeColor="text1"/>
                <w:kern w:val="0"/>
                <w:sz w:val="21"/>
                <w:szCs w:val="21"/>
                <w:highlight w:val="none"/>
              </w:rPr>
            </w:pPr>
            <w:r>
              <w:rPr>
                <w:color w:val="000000" w:themeColor="text1"/>
                <w:kern w:val="0"/>
                <w:sz w:val="21"/>
                <w:szCs w:val="21"/>
                <w:highlight w:val="none"/>
              </w:rPr>
              <w:t>导则推荐模式□：其他 □</w:t>
            </w:r>
          </w:p>
        </w:tc>
      </w:tr>
      <w:tr w14:paraId="5FF72F9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36" w:hRule="atLeast"/>
          <w:jc w:val="center"/>
        </w:trPr>
        <w:tc>
          <w:tcPr>
            <w:tcW w:w="419" w:type="dxa"/>
            <w:vMerge w:val="restart"/>
            <w:noWrap/>
            <w:textDirection w:val="tbRlV"/>
            <w:vAlign w:val="center"/>
          </w:tcPr>
          <w:p w14:paraId="32FBFA0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影响评价</w:t>
            </w:r>
          </w:p>
        </w:tc>
        <w:tc>
          <w:tcPr>
            <w:tcW w:w="649" w:type="dxa"/>
            <w:vAlign w:val="center"/>
          </w:tcPr>
          <w:p w14:paraId="11B4D37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水污染控制和水环境影响减缓措施有效性评价</w:t>
            </w:r>
          </w:p>
        </w:tc>
        <w:tc>
          <w:tcPr>
            <w:tcW w:w="7448" w:type="dxa"/>
            <w:gridSpan w:val="12"/>
            <w:noWrap/>
            <w:vAlign w:val="center"/>
          </w:tcPr>
          <w:p w14:paraId="3A78BCE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区（流）域水环境质量改善目标□；替代削减源 □</w:t>
            </w:r>
          </w:p>
        </w:tc>
      </w:tr>
      <w:tr w14:paraId="188C6A0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800" w:hRule="atLeast"/>
          <w:jc w:val="center"/>
        </w:trPr>
        <w:tc>
          <w:tcPr>
            <w:tcW w:w="419" w:type="dxa"/>
            <w:vMerge w:val="continue"/>
            <w:vAlign w:val="center"/>
          </w:tcPr>
          <w:p w14:paraId="704F835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1592607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水环境影响评价</w:t>
            </w:r>
          </w:p>
        </w:tc>
        <w:tc>
          <w:tcPr>
            <w:tcW w:w="7448" w:type="dxa"/>
            <w:gridSpan w:val="12"/>
            <w:vAlign w:val="center"/>
          </w:tcPr>
          <w:p w14:paraId="47C44A1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排放口混合区外满足水环境管理要求□</w:t>
            </w:r>
          </w:p>
          <w:p w14:paraId="7D2E60A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 xml:space="preserve">水环境功能区或水功能区、近岸海域环境功能区水质达标 </w:t>
            </w:r>
            <w:r>
              <w:rPr>
                <w:rFonts w:hint="eastAsia"/>
                <w:color w:val="000000" w:themeColor="text1"/>
                <w:kern w:val="0"/>
                <w:sz w:val="21"/>
                <w:szCs w:val="21"/>
                <w:highlight w:val="none"/>
                <w:lang w:eastAsia="zh-CN"/>
              </w:rPr>
              <w:t>☑</w:t>
            </w:r>
          </w:p>
          <w:p w14:paraId="4D690B5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满足水环境保护目标水域水环境质量要求□</w:t>
            </w:r>
          </w:p>
          <w:p w14:paraId="62B840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水环境控制单元或断面水质达标</w:t>
            </w:r>
            <w:r>
              <w:rPr>
                <w:rFonts w:hint="eastAsia"/>
                <w:color w:val="000000" w:themeColor="text1"/>
                <w:kern w:val="0"/>
                <w:sz w:val="21"/>
                <w:szCs w:val="21"/>
                <w:highlight w:val="none"/>
                <w:lang w:eastAsia="zh-CN"/>
              </w:rPr>
              <w:t>☑</w:t>
            </w:r>
          </w:p>
          <w:p w14:paraId="04B4DF9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满足重点水污染物排放总量控制指标要求，重点行业建设项目， 主要污染物排放满足等量或减量替代要求 □</w:t>
            </w:r>
          </w:p>
          <w:p w14:paraId="11CB1D4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满足区（流）域水环境质量改善目标要求 □</w:t>
            </w:r>
          </w:p>
          <w:p w14:paraId="1F5B8F5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水文要素影响型建设项目同时应包括水文情势变化评价、主要水文特征值影响评价、生态流量符合性评价 □</w:t>
            </w:r>
          </w:p>
          <w:p w14:paraId="1FC29D7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对于新设或调整入河（湖库、近岸海域）排放口的建设项目，应包括排放口设置的环境合理性评价 □</w:t>
            </w:r>
          </w:p>
          <w:p w14:paraId="6B2E30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 xml:space="preserve">满足生态保护红线、水环境质量底线、资源利用上线和环境准入清单管理要求 </w:t>
            </w:r>
            <w:r>
              <w:rPr>
                <w:rFonts w:hint="eastAsia"/>
                <w:color w:val="000000" w:themeColor="text1"/>
                <w:kern w:val="0"/>
                <w:sz w:val="21"/>
                <w:szCs w:val="21"/>
                <w:highlight w:val="none"/>
                <w:lang w:eastAsia="zh-CN"/>
              </w:rPr>
              <w:t>☑</w:t>
            </w:r>
          </w:p>
        </w:tc>
      </w:tr>
      <w:tr w14:paraId="71ED1CC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6E40978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672A027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污染源排放量核算</w:t>
            </w:r>
          </w:p>
        </w:tc>
        <w:tc>
          <w:tcPr>
            <w:tcW w:w="2048" w:type="dxa"/>
            <w:gridSpan w:val="3"/>
            <w:noWrap/>
            <w:vAlign w:val="center"/>
          </w:tcPr>
          <w:p w14:paraId="4BFD408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污染物名称</w:t>
            </w:r>
          </w:p>
        </w:tc>
        <w:tc>
          <w:tcPr>
            <w:tcW w:w="2204" w:type="dxa"/>
            <w:gridSpan w:val="5"/>
            <w:vAlign w:val="center"/>
          </w:tcPr>
          <w:p w14:paraId="607A351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排放量/（</w:t>
            </w:r>
            <w:r>
              <w:rPr>
                <w:color w:val="000000" w:themeColor="text1"/>
                <w:sz w:val="21"/>
                <w:szCs w:val="21"/>
                <w:highlight w:val="none"/>
              </w:rPr>
              <w:t>t/a</w:t>
            </w:r>
            <w:r>
              <w:rPr>
                <w:color w:val="000000" w:themeColor="text1"/>
                <w:kern w:val="0"/>
                <w:sz w:val="21"/>
                <w:szCs w:val="21"/>
                <w:highlight w:val="none"/>
              </w:rPr>
              <w:t>）</w:t>
            </w:r>
          </w:p>
        </w:tc>
        <w:tc>
          <w:tcPr>
            <w:tcW w:w="3196" w:type="dxa"/>
            <w:gridSpan w:val="4"/>
            <w:vAlign w:val="center"/>
          </w:tcPr>
          <w:p w14:paraId="7CC0197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排放浓度/（mg/L）</w:t>
            </w:r>
          </w:p>
        </w:tc>
      </w:tr>
      <w:tr w14:paraId="75745C3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773B5E3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446E6C4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2048" w:type="dxa"/>
            <w:gridSpan w:val="3"/>
            <w:noWrap/>
            <w:vAlign w:val="center"/>
          </w:tcPr>
          <w:p w14:paraId="2B8EC6D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c>
          <w:tcPr>
            <w:tcW w:w="2204" w:type="dxa"/>
            <w:gridSpan w:val="5"/>
            <w:vAlign w:val="center"/>
          </w:tcPr>
          <w:p w14:paraId="171DD16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c>
          <w:tcPr>
            <w:tcW w:w="3196" w:type="dxa"/>
            <w:gridSpan w:val="4"/>
            <w:vAlign w:val="center"/>
          </w:tcPr>
          <w:p w14:paraId="2111D6A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r>
      <w:tr w14:paraId="532470B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4EB483A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0B88447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替代源排放情况</w:t>
            </w:r>
          </w:p>
        </w:tc>
        <w:tc>
          <w:tcPr>
            <w:tcW w:w="1169" w:type="dxa"/>
            <w:noWrap/>
            <w:vAlign w:val="center"/>
          </w:tcPr>
          <w:p w14:paraId="1B7ECA3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污染源名称</w:t>
            </w:r>
          </w:p>
        </w:tc>
        <w:tc>
          <w:tcPr>
            <w:tcW w:w="1320" w:type="dxa"/>
            <w:gridSpan w:val="3"/>
            <w:vAlign w:val="center"/>
          </w:tcPr>
          <w:p w14:paraId="2C362D8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排污许可证编号</w:t>
            </w:r>
          </w:p>
        </w:tc>
        <w:tc>
          <w:tcPr>
            <w:tcW w:w="1304" w:type="dxa"/>
            <w:gridSpan w:val="2"/>
            <w:vAlign w:val="center"/>
          </w:tcPr>
          <w:p w14:paraId="0BCD70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污染物名称</w:t>
            </w:r>
          </w:p>
        </w:tc>
        <w:tc>
          <w:tcPr>
            <w:tcW w:w="1320" w:type="dxa"/>
            <w:gridSpan w:val="3"/>
            <w:vAlign w:val="center"/>
          </w:tcPr>
          <w:p w14:paraId="5FD3C3D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排放量/（</w:t>
            </w:r>
            <w:r>
              <w:rPr>
                <w:color w:val="000000" w:themeColor="text1"/>
                <w:sz w:val="21"/>
                <w:szCs w:val="21"/>
                <w:highlight w:val="none"/>
              </w:rPr>
              <w:t>t/a</w:t>
            </w:r>
            <w:r>
              <w:rPr>
                <w:color w:val="000000" w:themeColor="text1"/>
                <w:kern w:val="0"/>
                <w:sz w:val="21"/>
                <w:szCs w:val="21"/>
                <w:highlight w:val="none"/>
              </w:rPr>
              <w:t>）</w:t>
            </w:r>
          </w:p>
        </w:tc>
        <w:tc>
          <w:tcPr>
            <w:tcW w:w="2335" w:type="dxa"/>
            <w:gridSpan w:val="3"/>
            <w:vAlign w:val="center"/>
          </w:tcPr>
          <w:p w14:paraId="404A86B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排放浓度/（mg/L）</w:t>
            </w:r>
          </w:p>
        </w:tc>
      </w:tr>
      <w:tr w14:paraId="0054827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1706771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6BB915A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1169" w:type="dxa"/>
            <w:noWrap/>
            <w:vAlign w:val="center"/>
          </w:tcPr>
          <w:p w14:paraId="375799C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c>
          <w:tcPr>
            <w:tcW w:w="1320" w:type="dxa"/>
            <w:gridSpan w:val="3"/>
            <w:vAlign w:val="center"/>
          </w:tcPr>
          <w:p w14:paraId="5406CF5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c>
          <w:tcPr>
            <w:tcW w:w="1304" w:type="dxa"/>
            <w:gridSpan w:val="2"/>
            <w:vAlign w:val="center"/>
          </w:tcPr>
          <w:p w14:paraId="2E64E60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c>
          <w:tcPr>
            <w:tcW w:w="1320" w:type="dxa"/>
            <w:gridSpan w:val="3"/>
            <w:vAlign w:val="center"/>
          </w:tcPr>
          <w:p w14:paraId="0F025C7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c>
          <w:tcPr>
            <w:tcW w:w="2335" w:type="dxa"/>
            <w:gridSpan w:val="3"/>
            <w:vAlign w:val="center"/>
          </w:tcPr>
          <w:p w14:paraId="64E2369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   ）</w:t>
            </w:r>
          </w:p>
        </w:tc>
      </w:tr>
      <w:tr w14:paraId="64E5CA9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36" w:hRule="atLeast"/>
          <w:jc w:val="center"/>
        </w:trPr>
        <w:tc>
          <w:tcPr>
            <w:tcW w:w="419" w:type="dxa"/>
            <w:vMerge w:val="continue"/>
            <w:vAlign w:val="center"/>
          </w:tcPr>
          <w:p w14:paraId="6C6D189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207C550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生态流量确定</w:t>
            </w:r>
          </w:p>
        </w:tc>
        <w:tc>
          <w:tcPr>
            <w:tcW w:w="7448" w:type="dxa"/>
            <w:gridSpan w:val="12"/>
            <w:noWrap/>
            <w:vAlign w:val="center"/>
          </w:tcPr>
          <w:p w14:paraId="5E83276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生态流量：一般水期（   ）m</w:t>
            </w:r>
            <w:r>
              <w:rPr>
                <w:color w:val="000000" w:themeColor="text1"/>
                <w:kern w:val="0"/>
                <w:sz w:val="21"/>
                <w:szCs w:val="21"/>
                <w:highlight w:val="none"/>
                <w:vertAlign w:val="superscript"/>
              </w:rPr>
              <w:t>3</w:t>
            </w:r>
            <w:r>
              <w:rPr>
                <w:color w:val="000000" w:themeColor="text1"/>
                <w:kern w:val="0"/>
                <w:sz w:val="21"/>
                <w:szCs w:val="21"/>
                <w:highlight w:val="none"/>
              </w:rPr>
              <w:t>/s；鱼类繁殖期（   ）m</w:t>
            </w:r>
            <w:r>
              <w:rPr>
                <w:color w:val="000000" w:themeColor="text1"/>
                <w:kern w:val="0"/>
                <w:sz w:val="21"/>
                <w:szCs w:val="21"/>
                <w:highlight w:val="none"/>
                <w:vertAlign w:val="superscript"/>
              </w:rPr>
              <w:t>3</w:t>
            </w:r>
            <w:r>
              <w:rPr>
                <w:color w:val="000000" w:themeColor="text1"/>
                <w:kern w:val="0"/>
                <w:sz w:val="21"/>
                <w:szCs w:val="21"/>
                <w:highlight w:val="none"/>
              </w:rPr>
              <w:t>/s；其他（   ）m</w:t>
            </w:r>
            <w:r>
              <w:rPr>
                <w:color w:val="000000" w:themeColor="text1"/>
                <w:kern w:val="0"/>
                <w:sz w:val="21"/>
                <w:szCs w:val="21"/>
                <w:highlight w:val="none"/>
                <w:vertAlign w:val="superscript"/>
              </w:rPr>
              <w:t>3</w:t>
            </w:r>
            <w:r>
              <w:rPr>
                <w:color w:val="000000" w:themeColor="text1"/>
                <w:kern w:val="0"/>
                <w:sz w:val="21"/>
                <w:szCs w:val="21"/>
                <w:highlight w:val="none"/>
              </w:rPr>
              <w:t>/s</w:t>
            </w:r>
          </w:p>
          <w:p w14:paraId="50773AE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生态水位：一般水期（   ）m；鱼类繁殖期（   ）m；其他（   ）m</w:t>
            </w:r>
          </w:p>
        </w:tc>
      </w:tr>
      <w:tr w14:paraId="4D8C2FA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restart"/>
            <w:noWrap/>
            <w:textDirection w:val="tbRlV"/>
            <w:vAlign w:val="center"/>
          </w:tcPr>
          <w:p w14:paraId="31F7FF7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防治措施</w:t>
            </w:r>
          </w:p>
        </w:tc>
        <w:tc>
          <w:tcPr>
            <w:tcW w:w="649" w:type="dxa"/>
            <w:vAlign w:val="center"/>
          </w:tcPr>
          <w:p w14:paraId="391B2BA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环保措施</w:t>
            </w:r>
          </w:p>
        </w:tc>
        <w:tc>
          <w:tcPr>
            <w:tcW w:w="7448" w:type="dxa"/>
            <w:gridSpan w:val="12"/>
            <w:noWrap/>
            <w:vAlign w:val="center"/>
          </w:tcPr>
          <w:p w14:paraId="7ACA63A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污水处理设施□；水文减缓设施 □；生态流量保障设施 □；区域削减 □；依托其他工程措施 □；其他</w:t>
            </w:r>
            <w:r>
              <w:rPr>
                <w:rFonts w:hint="eastAsia"/>
                <w:color w:val="000000" w:themeColor="text1"/>
                <w:kern w:val="0"/>
                <w:sz w:val="21"/>
                <w:szCs w:val="21"/>
                <w:highlight w:val="none"/>
                <w:lang w:eastAsia="zh-CN"/>
              </w:rPr>
              <w:t>☑</w:t>
            </w:r>
          </w:p>
        </w:tc>
      </w:tr>
      <w:tr w14:paraId="4BFEBE2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5658E2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restart"/>
            <w:vAlign w:val="center"/>
          </w:tcPr>
          <w:p w14:paraId="65E6C5B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监测计划</w:t>
            </w:r>
          </w:p>
        </w:tc>
        <w:tc>
          <w:tcPr>
            <w:tcW w:w="1502" w:type="dxa"/>
            <w:gridSpan w:val="2"/>
            <w:noWrap/>
            <w:vAlign w:val="center"/>
          </w:tcPr>
          <w:p w14:paraId="3AE14E9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2473" w:type="dxa"/>
            <w:gridSpan w:val="5"/>
            <w:vAlign w:val="center"/>
          </w:tcPr>
          <w:p w14:paraId="2A1DDEE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环境质量</w:t>
            </w:r>
          </w:p>
        </w:tc>
        <w:tc>
          <w:tcPr>
            <w:tcW w:w="3473" w:type="dxa"/>
            <w:gridSpan w:val="5"/>
            <w:vAlign w:val="center"/>
          </w:tcPr>
          <w:p w14:paraId="0AE8AD7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污染源</w:t>
            </w:r>
          </w:p>
        </w:tc>
      </w:tr>
      <w:tr w14:paraId="410B6B6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5846E36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602EA01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1502" w:type="dxa"/>
            <w:gridSpan w:val="2"/>
            <w:noWrap/>
            <w:vAlign w:val="center"/>
          </w:tcPr>
          <w:p w14:paraId="60300BE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监测方式</w:t>
            </w:r>
          </w:p>
        </w:tc>
        <w:tc>
          <w:tcPr>
            <w:tcW w:w="2473" w:type="dxa"/>
            <w:gridSpan w:val="5"/>
            <w:vAlign w:val="center"/>
          </w:tcPr>
          <w:p w14:paraId="61500F5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b/>
                <w:color w:val="000000" w:themeColor="text1"/>
                <w:kern w:val="0"/>
                <w:sz w:val="21"/>
                <w:szCs w:val="21"/>
                <w:highlight w:val="none"/>
              </w:rPr>
            </w:pPr>
            <w:r>
              <w:rPr>
                <w:color w:val="000000" w:themeColor="text1"/>
                <w:kern w:val="0"/>
                <w:sz w:val="21"/>
                <w:szCs w:val="21"/>
                <w:highlight w:val="none"/>
              </w:rPr>
              <w:t>手动</w:t>
            </w:r>
            <w:r>
              <w:rPr>
                <w:rFonts w:hint="eastAsia"/>
                <w:color w:val="000000" w:themeColor="text1"/>
                <w:kern w:val="0"/>
                <w:sz w:val="21"/>
                <w:szCs w:val="21"/>
                <w:highlight w:val="none"/>
                <w:lang w:eastAsia="zh-CN"/>
              </w:rPr>
              <w:t>☑</w:t>
            </w:r>
            <w:r>
              <w:rPr>
                <w:color w:val="000000" w:themeColor="text1"/>
                <w:kern w:val="0"/>
                <w:sz w:val="21"/>
                <w:szCs w:val="21"/>
                <w:highlight w:val="none"/>
              </w:rPr>
              <w:t>；自动 □；无监测 □</w:t>
            </w:r>
          </w:p>
        </w:tc>
        <w:tc>
          <w:tcPr>
            <w:tcW w:w="3473" w:type="dxa"/>
            <w:gridSpan w:val="5"/>
            <w:vAlign w:val="center"/>
          </w:tcPr>
          <w:p w14:paraId="419EC4A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kern w:val="0"/>
                <w:sz w:val="21"/>
                <w:szCs w:val="21"/>
                <w:highlight w:val="none"/>
                <w:lang w:eastAsia="zh-CN"/>
              </w:rPr>
            </w:pPr>
            <w:r>
              <w:rPr>
                <w:color w:val="000000" w:themeColor="text1"/>
                <w:kern w:val="0"/>
                <w:sz w:val="21"/>
                <w:szCs w:val="21"/>
                <w:highlight w:val="none"/>
              </w:rPr>
              <w:t xml:space="preserve">手动 □；自动□；无监测 </w:t>
            </w:r>
            <w:r>
              <w:rPr>
                <w:rFonts w:hint="eastAsia"/>
                <w:color w:val="000000" w:themeColor="text1"/>
                <w:kern w:val="0"/>
                <w:sz w:val="21"/>
                <w:szCs w:val="21"/>
                <w:highlight w:val="none"/>
                <w:lang w:eastAsia="zh-CN"/>
              </w:rPr>
              <w:t>☑</w:t>
            </w:r>
          </w:p>
        </w:tc>
      </w:tr>
      <w:tr w14:paraId="7CFBDC6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20B9020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303651D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1502" w:type="dxa"/>
            <w:gridSpan w:val="2"/>
            <w:noWrap/>
            <w:vAlign w:val="center"/>
          </w:tcPr>
          <w:p w14:paraId="7EAB035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监测点位</w:t>
            </w:r>
          </w:p>
        </w:tc>
        <w:tc>
          <w:tcPr>
            <w:tcW w:w="2473" w:type="dxa"/>
            <w:gridSpan w:val="5"/>
            <w:vAlign w:val="center"/>
          </w:tcPr>
          <w:p w14:paraId="30B659F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 xml:space="preserve">（ </w:t>
            </w:r>
            <w:r>
              <w:rPr>
                <w:rFonts w:hint="eastAsia"/>
                <w:color w:val="000000" w:themeColor="text1"/>
                <w:spacing w:val="4"/>
                <w:kern w:val="0"/>
                <w:sz w:val="21"/>
                <w:szCs w:val="21"/>
                <w:highlight w:val="none"/>
                <w:lang w:val="en-US" w:eastAsia="zh-CN"/>
              </w:rPr>
              <w:t>朝鲜河</w:t>
            </w:r>
            <w:r>
              <w:rPr>
                <w:color w:val="000000" w:themeColor="text1"/>
                <w:kern w:val="0"/>
                <w:sz w:val="21"/>
                <w:szCs w:val="21"/>
                <w:highlight w:val="none"/>
              </w:rPr>
              <w:t xml:space="preserve"> ）</w:t>
            </w:r>
          </w:p>
        </w:tc>
        <w:tc>
          <w:tcPr>
            <w:tcW w:w="3473" w:type="dxa"/>
            <w:gridSpan w:val="5"/>
            <w:vAlign w:val="center"/>
          </w:tcPr>
          <w:p w14:paraId="3992AF9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   ）</w:t>
            </w:r>
          </w:p>
        </w:tc>
      </w:tr>
      <w:tr w14:paraId="174783B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0B173CE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Merge w:val="continue"/>
            <w:vAlign w:val="center"/>
          </w:tcPr>
          <w:p w14:paraId="6D206C1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p>
        </w:tc>
        <w:tc>
          <w:tcPr>
            <w:tcW w:w="1502" w:type="dxa"/>
            <w:gridSpan w:val="2"/>
            <w:noWrap/>
            <w:vAlign w:val="center"/>
          </w:tcPr>
          <w:p w14:paraId="2644A4D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监测因子</w:t>
            </w:r>
          </w:p>
        </w:tc>
        <w:tc>
          <w:tcPr>
            <w:tcW w:w="2473" w:type="dxa"/>
            <w:gridSpan w:val="5"/>
          </w:tcPr>
          <w:p w14:paraId="01320F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 pH、</w:t>
            </w:r>
            <w:r>
              <w:rPr>
                <w:rFonts w:hint="eastAsia"/>
                <w:color w:val="000000" w:themeColor="text1"/>
                <w:kern w:val="0"/>
                <w:sz w:val="21"/>
                <w:szCs w:val="21"/>
                <w:highlight w:val="none"/>
              </w:rPr>
              <w:t>BOD</w:t>
            </w:r>
            <w:r>
              <w:rPr>
                <w:rFonts w:hint="eastAsia"/>
                <w:color w:val="000000" w:themeColor="text1"/>
                <w:kern w:val="0"/>
                <w:sz w:val="21"/>
                <w:szCs w:val="21"/>
                <w:highlight w:val="none"/>
                <w:vertAlign w:val="subscript"/>
              </w:rPr>
              <w:t>5</w:t>
            </w:r>
            <w:r>
              <w:rPr>
                <w:color w:val="000000" w:themeColor="text1"/>
                <w:kern w:val="0"/>
                <w:sz w:val="21"/>
                <w:szCs w:val="21"/>
                <w:highlight w:val="none"/>
              </w:rPr>
              <w:t>、</w:t>
            </w:r>
            <w:r>
              <w:rPr>
                <w:rFonts w:hint="eastAsia"/>
                <w:color w:val="000000" w:themeColor="text1"/>
                <w:kern w:val="0"/>
                <w:sz w:val="21"/>
                <w:szCs w:val="21"/>
                <w:highlight w:val="none"/>
              </w:rPr>
              <w:t>COD</w:t>
            </w:r>
            <w:r>
              <w:rPr>
                <w:color w:val="000000" w:themeColor="text1"/>
                <w:kern w:val="0"/>
                <w:sz w:val="21"/>
                <w:szCs w:val="21"/>
                <w:highlight w:val="none"/>
              </w:rPr>
              <w:t>、</w:t>
            </w:r>
            <w:r>
              <w:rPr>
                <w:rFonts w:hint="eastAsia"/>
                <w:color w:val="000000" w:themeColor="text1"/>
                <w:kern w:val="0"/>
                <w:sz w:val="21"/>
                <w:szCs w:val="21"/>
                <w:highlight w:val="none"/>
              </w:rPr>
              <w:t>NH</w:t>
            </w:r>
            <w:r>
              <w:rPr>
                <w:rFonts w:hint="eastAsia"/>
                <w:color w:val="000000" w:themeColor="text1"/>
                <w:kern w:val="0"/>
                <w:sz w:val="21"/>
                <w:szCs w:val="21"/>
                <w:highlight w:val="none"/>
                <w:vertAlign w:val="subscript"/>
              </w:rPr>
              <w:t>3</w:t>
            </w:r>
            <w:r>
              <w:rPr>
                <w:rFonts w:hint="eastAsia"/>
                <w:color w:val="000000" w:themeColor="text1"/>
                <w:kern w:val="0"/>
                <w:sz w:val="21"/>
                <w:szCs w:val="21"/>
                <w:highlight w:val="none"/>
              </w:rPr>
              <w:t>-N</w:t>
            </w:r>
            <w:r>
              <w:rPr>
                <w:color w:val="000000" w:themeColor="text1"/>
                <w:kern w:val="0"/>
                <w:sz w:val="21"/>
                <w:szCs w:val="21"/>
                <w:highlight w:val="none"/>
              </w:rPr>
              <w:t>、</w:t>
            </w:r>
            <w:r>
              <w:rPr>
                <w:rFonts w:hint="eastAsia"/>
                <w:color w:val="000000" w:themeColor="text1"/>
                <w:kern w:val="0"/>
                <w:sz w:val="21"/>
                <w:szCs w:val="21"/>
                <w:highlight w:val="none"/>
              </w:rPr>
              <w:t>总磷、总氮、石油类</w:t>
            </w:r>
            <w:r>
              <w:rPr>
                <w:color w:val="000000" w:themeColor="text1"/>
                <w:kern w:val="0"/>
                <w:sz w:val="21"/>
                <w:szCs w:val="21"/>
                <w:highlight w:val="none"/>
              </w:rPr>
              <w:t xml:space="preserve">  ）</w:t>
            </w:r>
          </w:p>
        </w:tc>
        <w:tc>
          <w:tcPr>
            <w:tcW w:w="3473" w:type="dxa"/>
            <w:gridSpan w:val="5"/>
          </w:tcPr>
          <w:p w14:paraId="1168234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  ）</w:t>
            </w:r>
          </w:p>
        </w:tc>
      </w:tr>
      <w:tr w14:paraId="0DF76DF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419" w:type="dxa"/>
            <w:vMerge w:val="continue"/>
            <w:vAlign w:val="center"/>
          </w:tcPr>
          <w:p w14:paraId="561977D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p>
        </w:tc>
        <w:tc>
          <w:tcPr>
            <w:tcW w:w="649" w:type="dxa"/>
            <w:vAlign w:val="center"/>
          </w:tcPr>
          <w:p w14:paraId="3B5E692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污染物排放清单</w:t>
            </w:r>
          </w:p>
        </w:tc>
        <w:tc>
          <w:tcPr>
            <w:tcW w:w="7448" w:type="dxa"/>
            <w:gridSpan w:val="12"/>
            <w:noWrap/>
            <w:vAlign w:val="center"/>
          </w:tcPr>
          <w:p w14:paraId="793CF00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color w:val="000000" w:themeColor="text1"/>
                <w:kern w:val="0"/>
                <w:sz w:val="21"/>
                <w:szCs w:val="21"/>
                <w:highlight w:val="none"/>
                <w:lang w:eastAsia="zh-CN"/>
              </w:rPr>
            </w:pPr>
            <w:r>
              <w:rPr>
                <w:rFonts w:hint="eastAsia"/>
                <w:color w:val="000000" w:themeColor="text1"/>
                <w:kern w:val="0"/>
                <w:sz w:val="21"/>
                <w:szCs w:val="21"/>
                <w:highlight w:val="none"/>
                <w:lang w:eastAsia="zh-CN"/>
              </w:rPr>
              <w:t>☑</w:t>
            </w:r>
          </w:p>
        </w:tc>
      </w:tr>
      <w:tr w14:paraId="2348C8E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74" w:hRule="atLeast"/>
          <w:jc w:val="center"/>
        </w:trPr>
        <w:tc>
          <w:tcPr>
            <w:tcW w:w="1068" w:type="dxa"/>
            <w:gridSpan w:val="2"/>
            <w:noWrap/>
            <w:vAlign w:val="center"/>
          </w:tcPr>
          <w:p w14:paraId="713BC9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kern w:val="0"/>
                <w:sz w:val="21"/>
                <w:szCs w:val="21"/>
                <w:highlight w:val="none"/>
              </w:rPr>
            </w:pPr>
            <w:r>
              <w:rPr>
                <w:color w:val="000000" w:themeColor="text1"/>
                <w:kern w:val="0"/>
                <w:sz w:val="21"/>
                <w:szCs w:val="21"/>
                <w:highlight w:val="none"/>
              </w:rPr>
              <w:t>评价结论</w:t>
            </w:r>
          </w:p>
        </w:tc>
        <w:tc>
          <w:tcPr>
            <w:tcW w:w="7448" w:type="dxa"/>
            <w:gridSpan w:val="12"/>
            <w:noWrap/>
            <w:vAlign w:val="center"/>
          </w:tcPr>
          <w:p w14:paraId="1418088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可以接受</w:t>
            </w:r>
            <w:r>
              <w:rPr>
                <w:rFonts w:hint="eastAsia"/>
                <w:color w:val="000000" w:themeColor="text1"/>
                <w:kern w:val="0"/>
                <w:sz w:val="21"/>
                <w:szCs w:val="21"/>
                <w:highlight w:val="none"/>
                <w:lang w:eastAsia="zh-CN"/>
              </w:rPr>
              <w:t>☑</w:t>
            </w:r>
            <w:r>
              <w:rPr>
                <w:color w:val="000000" w:themeColor="text1"/>
                <w:kern w:val="0"/>
                <w:sz w:val="21"/>
                <w:szCs w:val="21"/>
                <w:highlight w:val="none"/>
              </w:rPr>
              <w:t>；不可以接受 □</w:t>
            </w:r>
          </w:p>
        </w:tc>
      </w:tr>
      <w:tr w14:paraId="53AEE40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31" w:hRule="atLeast"/>
          <w:jc w:val="center"/>
        </w:trPr>
        <w:tc>
          <w:tcPr>
            <w:tcW w:w="8516" w:type="dxa"/>
            <w:gridSpan w:val="14"/>
            <w:noWrap/>
            <w:vAlign w:val="center"/>
          </w:tcPr>
          <w:p w14:paraId="1292D18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kern w:val="0"/>
                <w:sz w:val="21"/>
                <w:szCs w:val="21"/>
                <w:highlight w:val="none"/>
              </w:rPr>
            </w:pPr>
            <w:r>
              <w:rPr>
                <w:color w:val="000000" w:themeColor="text1"/>
                <w:kern w:val="0"/>
                <w:sz w:val="21"/>
                <w:szCs w:val="21"/>
                <w:highlight w:val="none"/>
              </w:rPr>
              <w:t>注：</w:t>
            </w:r>
            <w:r>
              <w:rPr>
                <w:rFonts w:hint="eastAsia"/>
                <w:color w:val="000000" w:themeColor="text1"/>
                <w:kern w:val="0"/>
                <w:sz w:val="21"/>
                <w:szCs w:val="21"/>
                <w:highlight w:val="none"/>
                <w:lang w:eastAsia="zh-CN"/>
              </w:rPr>
              <w:t>“</w:t>
            </w:r>
            <w:r>
              <w:rPr>
                <w:color w:val="000000" w:themeColor="text1"/>
                <w:kern w:val="0"/>
                <w:sz w:val="21"/>
                <w:szCs w:val="21"/>
                <w:highlight w:val="none"/>
              </w:rPr>
              <w:t>□</w:t>
            </w:r>
            <w:r>
              <w:rPr>
                <w:rFonts w:hint="eastAsia"/>
                <w:color w:val="000000" w:themeColor="text1"/>
                <w:kern w:val="0"/>
                <w:sz w:val="21"/>
                <w:szCs w:val="21"/>
                <w:highlight w:val="none"/>
                <w:lang w:eastAsia="zh-CN"/>
              </w:rPr>
              <w:t>”</w:t>
            </w:r>
            <w:r>
              <w:rPr>
                <w:color w:val="000000" w:themeColor="text1"/>
                <w:kern w:val="0"/>
                <w:sz w:val="21"/>
                <w:szCs w:val="21"/>
                <w:highlight w:val="none"/>
              </w:rPr>
              <w:t>为勾选项，可打√；</w:t>
            </w:r>
            <w:r>
              <w:rPr>
                <w:rFonts w:hint="eastAsia"/>
                <w:color w:val="000000" w:themeColor="text1"/>
                <w:kern w:val="0"/>
                <w:sz w:val="21"/>
                <w:szCs w:val="21"/>
                <w:highlight w:val="none"/>
                <w:lang w:eastAsia="zh-CN"/>
              </w:rPr>
              <w:t>“</w:t>
            </w:r>
            <w:r>
              <w:rPr>
                <w:color w:val="000000" w:themeColor="text1"/>
                <w:kern w:val="0"/>
                <w:sz w:val="21"/>
                <w:szCs w:val="21"/>
                <w:highlight w:val="none"/>
              </w:rPr>
              <w:t>（   ）</w:t>
            </w:r>
            <w:r>
              <w:rPr>
                <w:rFonts w:hint="eastAsia"/>
                <w:color w:val="000000" w:themeColor="text1"/>
                <w:kern w:val="0"/>
                <w:sz w:val="21"/>
                <w:szCs w:val="21"/>
                <w:highlight w:val="none"/>
                <w:lang w:eastAsia="zh-CN"/>
              </w:rPr>
              <w:t>”</w:t>
            </w:r>
            <w:r>
              <w:rPr>
                <w:color w:val="000000" w:themeColor="text1"/>
                <w:kern w:val="0"/>
                <w:sz w:val="21"/>
                <w:szCs w:val="21"/>
                <w:highlight w:val="none"/>
              </w:rPr>
              <w:t>为内容填写项；</w:t>
            </w:r>
            <w:r>
              <w:rPr>
                <w:rFonts w:hint="eastAsia"/>
                <w:color w:val="000000" w:themeColor="text1"/>
                <w:kern w:val="0"/>
                <w:sz w:val="21"/>
                <w:szCs w:val="21"/>
                <w:highlight w:val="none"/>
                <w:lang w:eastAsia="zh-CN"/>
              </w:rPr>
              <w:t>“</w:t>
            </w:r>
            <w:r>
              <w:rPr>
                <w:color w:val="000000" w:themeColor="text1"/>
                <w:kern w:val="0"/>
                <w:sz w:val="21"/>
                <w:szCs w:val="21"/>
                <w:highlight w:val="none"/>
              </w:rPr>
              <w:t>备注</w:t>
            </w:r>
            <w:r>
              <w:rPr>
                <w:rFonts w:hint="eastAsia"/>
                <w:color w:val="000000" w:themeColor="text1"/>
                <w:kern w:val="0"/>
                <w:sz w:val="21"/>
                <w:szCs w:val="21"/>
                <w:highlight w:val="none"/>
                <w:lang w:eastAsia="zh-CN"/>
              </w:rPr>
              <w:t>”</w:t>
            </w:r>
            <w:r>
              <w:rPr>
                <w:color w:val="000000" w:themeColor="text1"/>
                <w:kern w:val="0"/>
                <w:sz w:val="21"/>
                <w:szCs w:val="21"/>
                <w:highlight w:val="none"/>
              </w:rPr>
              <w:t>为其他补充内容。</w:t>
            </w:r>
          </w:p>
        </w:tc>
      </w:tr>
    </w:tbl>
    <w:p w14:paraId="08FF5D0E">
      <w:pPr>
        <w:pStyle w:val="13"/>
        <w:tabs>
          <w:tab w:val="left" w:pos="787"/>
        </w:tabs>
        <w:jc w:val="center"/>
        <w:rPr>
          <w:rFonts w:hint="default" w:ascii="Times New Roman" w:hAnsi="Times New Roman" w:eastAsia="宋体" w:cs="Times New Roman"/>
          <w:b/>
          <w:bCs/>
          <w:color w:val="000000" w:themeColor="text1"/>
          <w:sz w:val="24"/>
          <w:szCs w:val="24"/>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4C8E8602">
      <w:pPr>
        <w:pStyle w:val="13"/>
        <w:tabs>
          <w:tab w:val="left" w:pos="787"/>
        </w:tabs>
        <w:jc w:val="center"/>
        <w:rPr>
          <w:color w:val="000000" w:themeColor="text1"/>
          <w:highlight w:val="none"/>
        </w:rPr>
      </w:pPr>
      <w:r>
        <w:rPr>
          <w:rFonts w:hint="default" w:ascii="Times New Roman" w:hAnsi="Times New Roman" w:eastAsia="宋体" w:cs="Times New Roman"/>
          <w:b/>
          <w:bCs/>
          <w:color w:val="000000" w:themeColor="text1"/>
          <w:sz w:val="24"/>
          <w:szCs w:val="24"/>
          <w:highlight w:val="none"/>
        </w:rPr>
        <w:t>附表3</w:t>
      </w:r>
      <w:r>
        <w:rPr>
          <w:rFonts w:hint="default" w:ascii="Times New Roman" w:hAnsi="Times New Roman" w:eastAsia="宋体" w:cs="Times New Roman"/>
          <w:b/>
          <w:bCs/>
          <w:color w:val="000000" w:themeColor="text1"/>
          <w:sz w:val="24"/>
          <w:szCs w:val="24"/>
          <w:highlight w:val="none"/>
          <w:lang w:val="en-US" w:eastAsia="zh-CN"/>
        </w:rPr>
        <w:t xml:space="preserve"> </w:t>
      </w:r>
      <w:r>
        <w:rPr>
          <w:rFonts w:hint="default" w:ascii="Times New Roman" w:hAnsi="Times New Roman" w:eastAsia="宋体" w:cs="Times New Roman"/>
          <w:b/>
          <w:bCs/>
          <w:color w:val="000000" w:themeColor="text1"/>
          <w:sz w:val="24"/>
          <w:szCs w:val="24"/>
          <w:highlight w:val="none"/>
          <w:lang w:eastAsia="zh-CN"/>
        </w:rPr>
        <w:t>声环境影响评价自查表</w:t>
      </w:r>
    </w:p>
    <w:tbl>
      <w:tblPr>
        <w:tblStyle w:val="132"/>
        <w:tblW w:w="896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07"/>
        <w:gridCol w:w="1410"/>
        <w:gridCol w:w="1087"/>
        <w:gridCol w:w="546"/>
        <w:gridCol w:w="313"/>
        <w:gridCol w:w="233"/>
        <w:gridCol w:w="631"/>
        <w:gridCol w:w="462"/>
        <w:gridCol w:w="1089"/>
        <w:gridCol w:w="546"/>
        <w:gridCol w:w="467"/>
        <w:gridCol w:w="77"/>
        <w:gridCol w:w="1098"/>
      </w:tblGrid>
      <w:tr w14:paraId="333FEF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2417" w:type="dxa"/>
            <w:gridSpan w:val="2"/>
            <w:tcBorders>
              <w:tl2br w:val="nil"/>
              <w:tr2bl w:val="nil"/>
            </w:tcBorders>
            <w:vAlign w:val="center"/>
          </w:tcPr>
          <w:p w14:paraId="1C0999F7">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工作内</w:t>
            </w:r>
            <w:r>
              <w:rPr>
                <w:rFonts w:ascii="宋体" w:hAnsi="宋体" w:eastAsia="宋体" w:cs="宋体"/>
                <w:color w:val="000000" w:themeColor="text1"/>
                <w:spacing w:val="-1"/>
                <w:sz w:val="21"/>
                <w:szCs w:val="21"/>
                <w:highlight w:val="none"/>
              </w:rPr>
              <w:t>容</w:t>
            </w:r>
          </w:p>
        </w:tc>
        <w:tc>
          <w:tcPr>
            <w:tcW w:w="6549" w:type="dxa"/>
            <w:gridSpan w:val="11"/>
            <w:tcBorders>
              <w:tl2br w:val="nil"/>
              <w:tr2bl w:val="nil"/>
            </w:tcBorders>
            <w:vAlign w:val="center"/>
          </w:tcPr>
          <w:p w14:paraId="3447D330">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7"/>
                <w:sz w:val="21"/>
                <w:szCs w:val="21"/>
                <w:highlight w:val="none"/>
              </w:rPr>
              <w:t>自查项目</w:t>
            </w:r>
          </w:p>
        </w:tc>
      </w:tr>
      <w:tr w14:paraId="59B3D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jc w:val="center"/>
        </w:trPr>
        <w:tc>
          <w:tcPr>
            <w:tcW w:w="1007" w:type="dxa"/>
            <w:vMerge w:val="restart"/>
            <w:tcBorders>
              <w:tl2br w:val="nil"/>
              <w:tr2bl w:val="nil"/>
            </w:tcBorders>
            <w:vAlign w:val="center"/>
          </w:tcPr>
          <w:p w14:paraId="67329963">
            <w:pPr>
              <w:keepNext w:val="0"/>
              <w:keepLines w:val="0"/>
              <w:pageBreakBefore w:val="0"/>
              <w:widowControl w:val="0"/>
              <w:kinsoku/>
              <w:wordWrap/>
              <w:overflowPunct/>
              <w:topLinePunct w:val="0"/>
              <w:autoSpaceDE/>
              <w:autoSpaceDN/>
              <w:bidi w:val="0"/>
              <w:adjustRightInd/>
              <w:snapToGrid/>
              <w:spacing w:line="254"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评价等</w:t>
            </w:r>
            <w:r>
              <w:rPr>
                <w:rFonts w:ascii="宋体" w:hAnsi="宋体" w:eastAsia="宋体" w:cs="宋体"/>
                <w:color w:val="000000" w:themeColor="text1"/>
                <w:spacing w:val="-1"/>
                <w:sz w:val="21"/>
                <w:szCs w:val="21"/>
                <w:highlight w:val="none"/>
              </w:rPr>
              <w:t>级</w:t>
            </w:r>
            <w:r>
              <w:rPr>
                <w:rFonts w:ascii="宋体" w:hAnsi="宋体" w:eastAsia="宋体" w:cs="宋体"/>
                <w:color w:val="000000" w:themeColor="text1"/>
                <w:sz w:val="21"/>
                <w:szCs w:val="21"/>
                <w:highlight w:val="none"/>
              </w:rPr>
              <w:t xml:space="preserve"> </w:t>
            </w:r>
            <w:r>
              <w:rPr>
                <w:rFonts w:ascii="宋体" w:hAnsi="宋体" w:eastAsia="宋体" w:cs="宋体"/>
                <w:color w:val="000000" w:themeColor="text1"/>
                <w:spacing w:val="-4"/>
                <w:sz w:val="21"/>
                <w:szCs w:val="21"/>
                <w:highlight w:val="none"/>
              </w:rPr>
              <w:t>与</w:t>
            </w:r>
            <w:r>
              <w:rPr>
                <w:rFonts w:ascii="宋体" w:hAnsi="宋体" w:eastAsia="宋体" w:cs="宋体"/>
                <w:color w:val="000000" w:themeColor="text1"/>
                <w:spacing w:val="-2"/>
                <w:sz w:val="21"/>
                <w:szCs w:val="21"/>
                <w:highlight w:val="none"/>
              </w:rPr>
              <w:t>范围</w:t>
            </w:r>
          </w:p>
        </w:tc>
        <w:tc>
          <w:tcPr>
            <w:tcW w:w="1410" w:type="dxa"/>
            <w:tcBorders>
              <w:tl2br w:val="nil"/>
              <w:tr2bl w:val="nil"/>
            </w:tcBorders>
            <w:vAlign w:val="center"/>
          </w:tcPr>
          <w:p w14:paraId="596FDD11">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价等级</w:t>
            </w:r>
          </w:p>
        </w:tc>
        <w:tc>
          <w:tcPr>
            <w:tcW w:w="1946" w:type="dxa"/>
            <w:gridSpan w:val="3"/>
            <w:tcBorders>
              <w:tl2br w:val="nil"/>
              <w:tr2bl w:val="nil"/>
            </w:tcBorders>
            <w:vAlign w:val="center"/>
          </w:tcPr>
          <w:p w14:paraId="2F9BE582">
            <w:pPr>
              <w:keepNext w:val="0"/>
              <w:keepLines w:val="0"/>
              <w:pageBreakBefore w:val="0"/>
              <w:widowControl w:val="0"/>
              <w:kinsoku/>
              <w:wordWrap/>
              <w:overflowPunct/>
              <w:topLinePunct w:val="0"/>
              <w:autoSpaceDE/>
              <w:autoSpaceDN/>
              <w:bidi w:val="0"/>
              <w:adjustRightInd/>
              <w:snapToGrid/>
              <w:spacing w:line="222"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3"/>
                <w:sz w:val="21"/>
                <w:szCs w:val="21"/>
                <w:highlight w:val="none"/>
              </w:rPr>
              <w:t>一</w:t>
            </w:r>
            <w:r>
              <w:rPr>
                <w:rFonts w:ascii="宋体" w:hAnsi="宋体" w:eastAsia="宋体" w:cs="宋体"/>
                <w:color w:val="000000" w:themeColor="text1"/>
                <w:spacing w:val="-2"/>
                <w:sz w:val="21"/>
                <w:szCs w:val="21"/>
                <w:highlight w:val="none"/>
              </w:rPr>
              <w:t>级</w:t>
            </w:r>
            <w:r>
              <w:rPr>
                <w:color w:val="000000" w:themeColor="text1"/>
                <w:kern w:val="0"/>
                <w:sz w:val="21"/>
                <w:szCs w:val="21"/>
                <w:highlight w:val="none"/>
              </w:rPr>
              <w:t>□</w:t>
            </w:r>
          </w:p>
        </w:tc>
        <w:tc>
          <w:tcPr>
            <w:tcW w:w="2415" w:type="dxa"/>
            <w:gridSpan w:val="4"/>
            <w:tcBorders>
              <w:tl2br w:val="nil"/>
              <w:tr2bl w:val="nil"/>
            </w:tcBorders>
            <w:vAlign w:val="center"/>
          </w:tcPr>
          <w:p w14:paraId="7AB18CC4">
            <w:pPr>
              <w:keepNext w:val="0"/>
              <w:keepLines w:val="0"/>
              <w:pageBreakBefore w:val="0"/>
              <w:widowControl w:val="0"/>
              <w:kinsoku/>
              <w:wordWrap/>
              <w:overflowPunct/>
              <w:topLinePunct w:val="0"/>
              <w:autoSpaceDE/>
              <w:autoSpaceDN/>
              <w:bidi w:val="0"/>
              <w:adjustRightInd/>
              <w:snapToGrid/>
              <w:spacing w:line="222"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4"/>
                <w:sz w:val="21"/>
                <w:szCs w:val="21"/>
                <w:highlight w:val="none"/>
              </w:rPr>
              <w:t>二</w:t>
            </w:r>
            <w:r>
              <w:rPr>
                <w:rFonts w:ascii="宋体" w:hAnsi="宋体" w:eastAsia="宋体" w:cs="宋体"/>
                <w:color w:val="000000" w:themeColor="text1"/>
                <w:spacing w:val="-3"/>
                <w:sz w:val="21"/>
                <w:szCs w:val="21"/>
                <w:highlight w:val="none"/>
              </w:rPr>
              <w:t>级</w:t>
            </w:r>
            <w:r>
              <w:rPr>
                <w:rFonts w:hint="eastAsia"/>
                <w:color w:val="000000" w:themeColor="text1"/>
                <w:kern w:val="0"/>
                <w:sz w:val="21"/>
                <w:szCs w:val="21"/>
                <w:highlight w:val="none"/>
                <w:lang w:eastAsia="zh-CN"/>
              </w:rPr>
              <w:t>☑</w:t>
            </w:r>
          </w:p>
        </w:tc>
        <w:tc>
          <w:tcPr>
            <w:tcW w:w="2188" w:type="dxa"/>
            <w:gridSpan w:val="4"/>
            <w:tcBorders>
              <w:tl2br w:val="nil"/>
              <w:tr2bl w:val="nil"/>
            </w:tcBorders>
            <w:vAlign w:val="center"/>
          </w:tcPr>
          <w:p w14:paraId="1FD5BD84">
            <w:pPr>
              <w:keepNext w:val="0"/>
              <w:keepLines w:val="0"/>
              <w:pageBreakBefore w:val="0"/>
              <w:widowControl w:val="0"/>
              <w:kinsoku/>
              <w:wordWrap/>
              <w:overflowPunct/>
              <w:topLinePunct w:val="0"/>
              <w:autoSpaceDE/>
              <w:autoSpaceDN/>
              <w:bidi w:val="0"/>
              <w:adjustRightInd/>
              <w:snapToGrid/>
              <w:spacing w:line="222"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三级</w:t>
            </w:r>
            <w:r>
              <w:rPr>
                <w:color w:val="000000" w:themeColor="text1"/>
                <w:kern w:val="0"/>
                <w:sz w:val="21"/>
                <w:szCs w:val="21"/>
                <w:highlight w:val="none"/>
              </w:rPr>
              <w:t>□</w:t>
            </w:r>
          </w:p>
        </w:tc>
      </w:tr>
      <w:tr w14:paraId="36D9AB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9" w:hRule="atLeast"/>
          <w:jc w:val="center"/>
        </w:trPr>
        <w:tc>
          <w:tcPr>
            <w:tcW w:w="1007" w:type="dxa"/>
            <w:vMerge w:val="continue"/>
            <w:tcBorders>
              <w:tl2br w:val="nil"/>
              <w:tr2bl w:val="nil"/>
            </w:tcBorders>
            <w:vAlign w:val="center"/>
          </w:tcPr>
          <w:p w14:paraId="6DEB678F">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60156A07">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价范围</w:t>
            </w:r>
          </w:p>
        </w:tc>
        <w:tc>
          <w:tcPr>
            <w:tcW w:w="1087" w:type="dxa"/>
            <w:tcBorders>
              <w:tl2br w:val="nil"/>
              <w:tr2bl w:val="nil"/>
            </w:tcBorders>
            <w:vAlign w:val="center"/>
          </w:tcPr>
          <w:p w14:paraId="44E49E8A">
            <w:pPr>
              <w:keepNext w:val="0"/>
              <w:keepLines w:val="0"/>
              <w:pageBreakBefore w:val="0"/>
              <w:widowControl w:val="0"/>
              <w:kinsoku/>
              <w:wordWrap/>
              <w:overflowPunct/>
              <w:topLinePunct w:val="0"/>
              <w:autoSpaceDE/>
              <w:autoSpaceDN/>
              <w:bidi w:val="0"/>
              <w:adjustRightInd/>
              <w:snapToGrid/>
              <w:spacing w:line="244" w:lineRule="exact"/>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Times New Roman" w:hAnsi="Times New Roman" w:eastAsia="Times New Roman" w:cs="Times New Roman"/>
                <w:color w:val="000000" w:themeColor="text1"/>
                <w:spacing w:val="-1"/>
                <w:position w:val="1"/>
                <w:sz w:val="21"/>
                <w:szCs w:val="21"/>
                <w:highlight w:val="none"/>
              </w:rPr>
              <w:t>20</w:t>
            </w:r>
            <w:r>
              <w:rPr>
                <w:rFonts w:ascii="Times New Roman" w:hAnsi="Times New Roman" w:eastAsia="Times New Roman" w:cs="Times New Roman"/>
                <w:color w:val="000000" w:themeColor="text1"/>
                <w:position w:val="1"/>
                <w:sz w:val="21"/>
                <w:szCs w:val="21"/>
                <w:highlight w:val="none"/>
              </w:rPr>
              <w:t>0 m</w:t>
            </w:r>
            <w:r>
              <w:rPr>
                <w:rFonts w:hint="eastAsia"/>
                <w:color w:val="000000" w:themeColor="text1"/>
                <w:kern w:val="0"/>
                <w:sz w:val="21"/>
                <w:szCs w:val="21"/>
                <w:highlight w:val="none"/>
                <w:lang w:eastAsia="zh-CN"/>
              </w:rPr>
              <w:t>☑</w:t>
            </w:r>
          </w:p>
        </w:tc>
        <w:tc>
          <w:tcPr>
            <w:tcW w:w="3274" w:type="dxa"/>
            <w:gridSpan w:val="6"/>
            <w:tcBorders>
              <w:tl2br w:val="nil"/>
              <w:tr2bl w:val="nil"/>
            </w:tcBorders>
            <w:vAlign w:val="center"/>
          </w:tcPr>
          <w:p w14:paraId="78FD6ACA">
            <w:pPr>
              <w:keepNext w:val="0"/>
              <w:keepLines w:val="0"/>
              <w:pageBreakBefore w:val="0"/>
              <w:widowControl w:val="0"/>
              <w:kinsoku/>
              <w:wordWrap/>
              <w:overflowPunct/>
              <w:topLinePunct w:val="0"/>
              <w:autoSpaceDE/>
              <w:autoSpaceDN/>
              <w:bidi w:val="0"/>
              <w:adjustRightInd/>
              <w:snapToGrid/>
              <w:spacing w:line="234"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7"/>
                <w:sz w:val="21"/>
                <w:szCs w:val="21"/>
                <w:highlight w:val="none"/>
              </w:rPr>
              <w:t>大</w:t>
            </w:r>
            <w:r>
              <w:rPr>
                <w:rFonts w:ascii="宋体" w:hAnsi="宋体" w:eastAsia="宋体" w:cs="宋体"/>
                <w:color w:val="000000" w:themeColor="text1"/>
                <w:spacing w:val="-6"/>
                <w:sz w:val="21"/>
                <w:szCs w:val="21"/>
                <w:highlight w:val="none"/>
              </w:rPr>
              <w:t xml:space="preserve">于 </w:t>
            </w:r>
            <w:r>
              <w:rPr>
                <w:rFonts w:ascii="Times New Roman" w:hAnsi="Times New Roman" w:eastAsia="Times New Roman" w:cs="Times New Roman"/>
                <w:color w:val="000000" w:themeColor="text1"/>
                <w:spacing w:val="-6"/>
                <w:sz w:val="21"/>
                <w:szCs w:val="21"/>
                <w:highlight w:val="none"/>
              </w:rPr>
              <w:t>200 m</w:t>
            </w:r>
            <w:r>
              <w:rPr>
                <w:rFonts w:ascii="宋体" w:hAnsi="宋体" w:eastAsia="宋体" w:cs="宋体"/>
                <w:color w:val="000000" w:themeColor="text1"/>
                <w:spacing w:val="-6"/>
                <w:sz w:val="21"/>
                <w:szCs w:val="21"/>
                <w:highlight w:val="none"/>
              </w:rPr>
              <w:t>□</w:t>
            </w:r>
          </w:p>
        </w:tc>
        <w:tc>
          <w:tcPr>
            <w:tcW w:w="2188" w:type="dxa"/>
            <w:gridSpan w:val="4"/>
            <w:tcBorders>
              <w:tl2br w:val="nil"/>
              <w:tr2bl w:val="nil"/>
            </w:tcBorders>
            <w:vAlign w:val="center"/>
          </w:tcPr>
          <w:p w14:paraId="2BC2C060">
            <w:pPr>
              <w:keepNext w:val="0"/>
              <w:keepLines w:val="0"/>
              <w:pageBreakBefore w:val="0"/>
              <w:widowControl w:val="0"/>
              <w:kinsoku/>
              <w:wordWrap/>
              <w:overflowPunct/>
              <w:topLinePunct w:val="0"/>
              <w:autoSpaceDE/>
              <w:autoSpaceDN/>
              <w:bidi w:val="0"/>
              <w:adjustRightInd/>
              <w:snapToGrid/>
              <w:spacing w:line="236"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9"/>
                <w:sz w:val="21"/>
                <w:szCs w:val="21"/>
                <w:highlight w:val="none"/>
              </w:rPr>
              <w:t>小</w:t>
            </w:r>
            <w:r>
              <w:rPr>
                <w:rFonts w:ascii="宋体" w:hAnsi="宋体" w:eastAsia="宋体" w:cs="宋体"/>
                <w:color w:val="000000" w:themeColor="text1"/>
                <w:spacing w:val="-6"/>
                <w:sz w:val="21"/>
                <w:szCs w:val="21"/>
                <w:highlight w:val="none"/>
              </w:rPr>
              <w:t xml:space="preserve">于 </w:t>
            </w:r>
            <w:r>
              <w:rPr>
                <w:rFonts w:ascii="Times New Roman" w:hAnsi="Times New Roman" w:eastAsia="Times New Roman" w:cs="Times New Roman"/>
                <w:color w:val="000000" w:themeColor="text1"/>
                <w:spacing w:val="-6"/>
                <w:sz w:val="21"/>
                <w:szCs w:val="21"/>
                <w:highlight w:val="none"/>
              </w:rPr>
              <w:t>200 m</w:t>
            </w:r>
            <w:r>
              <w:rPr>
                <w:rFonts w:ascii="宋体" w:hAnsi="宋体" w:eastAsia="宋体" w:cs="宋体"/>
                <w:color w:val="000000" w:themeColor="text1"/>
                <w:spacing w:val="-6"/>
                <w:sz w:val="21"/>
                <w:szCs w:val="21"/>
                <w:highlight w:val="none"/>
              </w:rPr>
              <w:t>□</w:t>
            </w:r>
          </w:p>
        </w:tc>
      </w:tr>
      <w:tr w14:paraId="3419E6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1007" w:type="dxa"/>
            <w:tcBorders>
              <w:tl2br w:val="nil"/>
              <w:tr2bl w:val="nil"/>
            </w:tcBorders>
            <w:vAlign w:val="center"/>
          </w:tcPr>
          <w:p w14:paraId="1A9957CC">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价因子</w:t>
            </w:r>
          </w:p>
        </w:tc>
        <w:tc>
          <w:tcPr>
            <w:tcW w:w="1410" w:type="dxa"/>
            <w:tcBorders>
              <w:tl2br w:val="nil"/>
              <w:tr2bl w:val="nil"/>
            </w:tcBorders>
            <w:vAlign w:val="center"/>
          </w:tcPr>
          <w:p w14:paraId="6C8EEADD">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价因子</w:t>
            </w:r>
          </w:p>
        </w:tc>
        <w:tc>
          <w:tcPr>
            <w:tcW w:w="6549" w:type="dxa"/>
            <w:gridSpan w:val="11"/>
            <w:tcBorders>
              <w:tl2br w:val="nil"/>
              <w:tr2bl w:val="nil"/>
            </w:tcBorders>
            <w:vAlign w:val="center"/>
          </w:tcPr>
          <w:p w14:paraId="28133881">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1"/>
                <w:sz w:val="21"/>
                <w:szCs w:val="21"/>
                <w:highlight w:val="none"/>
              </w:rPr>
              <w:t>等效</w:t>
            </w:r>
            <w:r>
              <w:rPr>
                <w:rFonts w:ascii="宋体" w:hAnsi="宋体" w:eastAsia="宋体" w:cs="宋体"/>
                <w:color w:val="000000" w:themeColor="text1"/>
                <w:sz w:val="21"/>
                <w:szCs w:val="21"/>
                <w:highlight w:val="none"/>
              </w:rPr>
              <w:t xml:space="preserve">连续 </w:t>
            </w:r>
            <w:r>
              <w:rPr>
                <w:rFonts w:ascii="Times New Roman" w:hAnsi="Times New Roman" w:eastAsia="Times New Roman" w:cs="Times New Roman"/>
                <w:color w:val="000000" w:themeColor="text1"/>
                <w:sz w:val="21"/>
                <w:szCs w:val="21"/>
                <w:highlight w:val="none"/>
              </w:rPr>
              <w:t xml:space="preserve">A </w:t>
            </w:r>
            <w:r>
              <w:rPr>
                <w:rFonts w:ascii="宋体" w:hAnsi="宋体" w:eastAsia="宋体" w:cs="宋体"/>
                <w:color w:val="000000" w:themeColor="text1"/>
                <w:sz w:val="21"/>
                <w:szCs w:val="21"/>
                <w:highlight w:val="none"/>
              </w:rPr>
              <w:t>声级</w:t>
            </w:r>
            <w:r>
              <w:rPr>
                <w:color w:val="000000" w:themeColor="text1"/>
                <w:kern w:val="0"/>
                <w:sz w:val="21"/>
                <w:szCs w:val="21"/>
                <w:highlight w:val="none"/>
              </w:rPr>
              <w:t>□</w:t>
            </w:r>
            <w:r>
              <w:rPr>
                <w:rFonts w:ascii="宋体" w:hAnsi="宋体" w:eastAsia="宋体" w:cs="宋体"/>
                <w:color w:val="000000" w:themeColor="text1"/>
                <w:sz w:val="21"/>
                <w:szCs w:val="21"/>
                <w:highlight w:val="none"/>
              </w:rPr>
              <w:t xml:space="preserve">   最大 </w:t>
            </w:r>
            <w:r>
              <w:rPr>
                <w:rFonts w:ascii="Times New Roman" w:hAnsi="Times New Roman" w:eastAsia="Times New Roman" w:cs="Times New Roman"/>
                <w:color w:val="000000" w:themeColor="text1"/>
                <w:sz w:val="21"/>
                <w:szCs w:val="21"/>
                <w:highlight w:val="none"/>
              </w:rPr>
              <w:t xml:space="preserve">A </w:t>
            </w:r>
            <w:r>
              <w:rPr>
                <w:rFonts w:ascii="宋体" w:hAnsi="宋体" w:eastAsia="宋体" w:cs="宋体"/>
                <w:color w:val="000000" w:themeColor="text1"/>
                <w:sz w:val="21"/>
                <w:szCs w:val="21"/>
                <w:highlight w:val="none"/>
              </w:rPr>
              <w:t>声级□    计权等效连续感觉噪声级□</w:t>
            </w:r>
          </w:p>
        </w:tc>
      </w:tr>
      <w:tr w14:paraId="780F29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jc w:val="center"/>
        </w:trPr>
        <w:tc>
          <w:tcPr>
            <w:tcW w:w="1007" w:type="dxa"/>
            <w:tcBorders>
              <w:tl2br w:val="nil"/>
              <w:tr2bl w:val="nil"/>
            </w:tcBorders>
            <w:vAlign w:val="center"/>
          </w:tcPr>
          <w:p w14:paraId="27F7EC9E">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价标准</w:t>
            </w:r>
          </w:p>
        </w:tc>
        <w:tc>
          <w:tcPr>
            <w:tcW w:w="1410" w:type="dxa"/>
            <w:tcBorders>
              <w:tl2br w:val="nil"/>
              <w:tr2bl w:val="nil"/>
            </w:tcBorders>
            <w:vAlign w:val="center"/>
          </w:tcPr>
          <w:p w14:paraId="47A4DD68">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价标准</w:t>
            </w:r>
          </w:p>
        </w:tc>
        <w:tc>
          <w:tcPr>
            <w:tcW w:w="1633" w:type="dxa"/>
            <w:gridSpan w:val="2"/>
            <w:tcBorders>
              <w:tl2br w:val="nil"/>
              <w:tr2bl w:val="nil"/>
            </w:tcBorders>
            <w:vAlign w:val="center"/>
          </w:tcPr>
          <w:p w14:paraId="3830BC14">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4"/>
                <w:sz w:val="21"/>
                <w:szCs w:val="21"/>
                <w:highlight w:val="none"/>
              </w:rPr>
              <w:t>国家标准</w:t>
            </w:r>
            <w:r>
              <w:rPr>
                <w:rFonts w:hint="eastAsia"/>
                <w:color w:val="000000" w:themeColor="text1"/>
                <w:kern w:val="0"/>
                <w:sz w:val="21"/>
                <w:szCs w:val="21"/>
                <w:highlight w:val="none"/>
                <w:lang w:eastAsia="zh-CN"/>
              </w:rPr>
              <w:t>☑</w:t>
            </w:r>
          </w:p>
        </w:tc>
        <w:tc>
          <w:tcPr>
            <w:tcW w:w="2728" w:type="dxa"/>
            <w:gridSpan w:val="5"/>
            <w:tcBorders>
              <w:tl2br w:val="nil"/>
              <w:tr2bl w:val="nil"/>
            </w:tcBorders>
            <w:vAlign w:val="center"/>
          </w:tcPr>
          <w:p w14:paraId="495F1A67">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地</w:t>
            </w:r>
            <w:r>
              <w:rPr>
                <w:rFonts w:ascii="宋体" w:hAnsi="宋体" w:eastAsia="宋体" w:cs="宋体"/>
                <w:color w:val="000000" w:themeColor="text1"/>
                <w:spacing w:val="-1"/>
                <w:sz w:val="21"/>
                <w:szCs w:val="21"/>
                <w:highlight w:val="none"/>
              </w:rPr>
              <w:t>方标准□</w:t>
            </w:r>
          </w:p>
        </w:tc>
        <w:tc>
          <w:tcPr>
            <w:tcW w:w="2188" w:type="dxa"/>
            <w:gridSpan w:val="4"/>
            <w:tcBorders>
              <w:tl2br w:val="nil"/>
              <w:tr2bl w:val="nil"/>
            </w:tcBorders>
            <w:vAlign w:val="center"/>
          </w:tcPr>
          <w:p w14:paraId="76618271">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4"/>
                <w:sz w:val="21"/>
                <w:szCs w:val="21"/>
                <w:highlight w:val="none"/>
              </w:rPr>
              <w:t>国外标准□</w:t>
            </w:r>
          </w:p>
        </w:tc>
      </w:tr>
      <w:tr w14:paraId="5B5CDF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2" w:hRule="atLeast"/>
          <w:jc w:val="center"/>
        </w:trPr>
        <w:tc>
          <w:tcPr>
            <w:tcW w:w="1007" w:type="dxa"/>
            <w:vMerge w:val="restart"/>
            <w:tcBorders>
              <w:tl2br w:val="nil"/>
              <w:tr2bl w:val="nil"/>
            </w:tcBorders>
            <w:vAlign w:val="center"/>
          </w:tcPr>
          <w:p w14:paraId="7F24E1B9">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现状评</w:t>
            </w:r>
            <w:r>
              <w:rPr>
                <w:rFonts w:ascii="宋体" w:hAnsi="宋体" w:eastAsia="宋体" w:cs="宋体"/>
                <w:color w:val="000000" w:themeColor="text1"/>
                <w:spacing w:val="-1"/>
                <w:sz w:val="21"/>
                <w:szCs w:val="21"/>
                <w:highlight w:val="none"/>
              </w:rPr>
              <w:t>价</w:t>
            </w:r>
          </w:p>
        </w:tc>
        <w:tc>
          <w:tcPr>
            <w:tcW w:w="1410" w:type="dxa"/>
            <w:tcBorders>
              <w:tl2br w:val="nil"/>
              <w:tr2bl w:val="nil"/>
            </w:tcBorders>
            <w:vAlign w:val="center"/>
          </w:tcPr>
          <w:p w14:paraId="7C810A3D">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环</w:t>
            </w:r>
            <w:r>
              <w:rPr>
                <w:rFonts w:ascii="宋体" w:hAnsi="宋体" w:eastAsia="宋体" w:cs="宋体"/>
                <w:color w:val="000000" w:themeColor="text1"/>
                <w:spacing w:val="-1"/>
                <w:sz w:val="21"/>
                <w:szCs w:val="21"/>
                <w:highlight w:val="none"/>
              </w:rPr>
              <w:t>境功能区</w:t>
            </w:r>
          </w:p>
        </w:tc>
        <w:tc>
          <w:tcPr>
            <w:tcW w:w="1087" w:type="dxa"/>
            <w:tcBorders>
              <w:tl2br w:val="nil"/>
              <w:tr2bl w:val="nil"/>
            </w:tcBorders>
            <w:vAlign w:val="center"/>
          </w:tcPr>
          <w:p w14:paraId="29876FCD">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Times New Roman" w:hAnsi="Times New Roman" w:eastAsia="Times New Roman" w:cs="Times New Roman"/>
                <w:color w:val="000000" w:themeColor="text1"/>
                <w:spacing w:val="-1"/>
                <w:sz w:val="21"/>
                <w:szCs w:val="21"/>
                <w:highlight w:val="none"/>
              </w:rPr>
              <w:t xml:space="preserve">0 </w:t>
            </w:r>
            <w:r>
              <w:rPr>
                <w:rFonts w:ascii="宋体" w:hAnsi="宋体" w:eastAsia="宋体" w:cs="宋体"/>
                <w:color w:val="000000" w:themeColor="text1"/>
                <w:spacing w:val="-1"/>
                <w:sz w:val="21"/>
                <w:szCs w:val="21"/>
                <w:highlight w:val="none"/>
              </w:rPr>
              <w:t>类</w:t>
            </w:r>
            <w:r>
              <w:rPr>
                <w:rFonts w:ascii="宋体" w:hAnsi="宋体" w:eastAsia="宋体" w:cs="宋体"/>
                <w:color w:val="000000" w:themeColor="text1"/>
                <w:sz w:val="21"/>
                <w:szCs w:val="21"/>
                <w:highlight w:val="none"/>
              </w:rPr>
              <w:t>区□</w:t>
            </w:r>
          </w:p>
        </w:tc>
        <w:tc>
          <w:tcPr>
            <w:tcW w:w="1092" w:type="dxa"/>
            <w:gridSpan w:val="3"/>
            <w:tcBorders>
              <w:tl2br w:val="nil"/>
              <w:tr2bl w:val="nil"/>
            </w:tcBorders>
            <w:vAlign w:val="center"/>
          </w:tcPr>
          <w:p w14:paraId="5CEF865D">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Times New Roman" w:hAnsi="Times New Roman" w:eastAsia="Times New Roman" w:cs="Times New Roman"/>
                <w:color w:val="000000" w:themeColor="text1"/>
                <w:spacing w:val="-5"/>
                <w:sz w:val="21"/>
                <w:szCs w:val="21"/>
                <w:highlight w:val="none"/>
              </w:rPr>
              <w:t>1</w:t>
            </w:r>
            <w:r>
              <w:rPr>
                <w:rFonts w:ascii="Times New Roman" w:hAnsi="Times New Roman" w:eastAsia="Times New Roman" w:cs="Times New Roman"/>
                <w:color w:val="000000" w:themeColor="text1"/>
                <w:spacing w:val="-3"/>
                <w:sz w:val="21"/>
                <w:szCs w:val="21"/>
                <w:highlight w:val="none"/>
              </w:rPr>
              <w:t xml:space="preserve"> </w:t>
            </w:r>
            <w:r>
              <w:rPr>
                <w:rFonts w:ascii="宋体" w:hAnsi="宋体" w:eastAsia="宋体" w:cs="宋体"/>
                <w:color w:val="000000" w:themeColor="text1"/>
                <w:spacing w:val="-3"/>
                <w:sz w:val="21"/>
                <w:szCs w:val="21"/>
                <w:highlight w:val="none"/>
              </w:rPr>
              <w:t>类区</w:t>
            </w:r>
            <w:r>
              <w:rPr>
                <w:rFonts w:hint="eastAsia"/>
                <w:color w:val="000000" w:themeColor="text1"/>
                <w:kern w:val="0"/>
                <w:sz w:val="21"/>
                <w:szCs w:val="21"/>
                <w:highlight w:val="none"/>
                <w:lang w:eastAsia="zh-CN"/>
              </w:rPr>
              <w:t>□</w:t>
            </w:r>
          </w:p>
        </w:tc>
        <w:tc>
          <w:tcPr>
            <w:tcW w:w="1093" w:type="dxa"/>
            <w:gridSpan w:val="2"/>
            <w:tcBorders>
              <w:tl2br w:val="nil"/>
              <w:tr2bl w:val="nil"/>
            </w:tcBorders>
            <w:vAlign w:val="center"/>
          </w:tcPr>
          <w:p w14:paraId="0A539D6E">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Times New Roman" w:hAnsi="Times New Roman" w:eastAsia="Times New Roman" w:cs="Times New Roman"/>
                <w:color w:val="000000" w:themeColor="text1"/>
                <w:sz w:val="21"/>
                <w:szCs w:val="21"/>
                <w:highlight w:val="none"/>
              </w:rPr>
              <w:t xml:space="preserve">2 </w:t>
            </w:r>
            <w:r>
              <w:rPr>
                <w:rFonts w:ascii="宋体" w:hAnsi="宋体" w:eastAsia="宋体" w:cs="宋体"/>
                <w:color w:val="000000" w:themeColor="text1"/>
                <w:sz w:val="21"/>
                <w:szCs w:val="21"/>
                <w:highlight w:val="none"/>
              </w:rPr>
              <w:t>类区</w:t>
            </w:r>
            <w:r>
              <w:rPr>
                <w:rFonts w:hint="eastAsia"/>
                <w:color w:val="000000" w:themeColor="text1"/>
                <w:kern w:val="0"/>
                <w:sz w:val="21"/>
                <w:szCs w:val="21"/>
                <w:highlight w:val="none"/>
                <w:lang w:eastAsia="zh-CN"/>
              </w:rPr>
              <w:t>☑</w:t>
            </w:r>
          </w:p>
        </w:tc>
        <w:tc>
          <w:tcPr>
            <w:tcW w:w="1089" w:type="dxa"/>
            <w:tcBorders>
              <w:tl2br w:val="nil"/>
              <w:tr2bl w:val="nil"/>
            </w:tcBorders>
            <w:vAlign w:val="center"/>
          </w:tcPr>
          <w:p w14:paraId="09D23519">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Times New Roman" w:hAnsi="Times New Roman" w:eastAsia="Times New Roman" w:cs="Times New Roman"/>
                <w:color w:val="000000" w:themeColor="text1"/>
                <w:spacing w:val="-1"/>
                <w:sz w:val="21"/>
                <w:szCs w:val="21"/>
                <w:highlight w:val="none"/>
              </w:rPr>
              <w:t xml:space="preserve">3 </w:t>
            </w:r>
            <w:r>
              <w:rPr>
                <w:rFonts w:ascii="宋体" w:hAnsi="宋体" w:eastAsia="宋体" w:cs="宋体"/>
                <w:color w:val="000000" w:themeColor="text1"/>
                <w:spacing w:val="-1"/>
                <w:sz w:val="21"/>
                <w:szCs w:val="21"/>
                <w:highlight w:val="none"/>
              </w:rPr>
              <w:t>类区</w:t>
            </w:r>
            <w:r>
              <w:rPr>
                <w:color w:val="000000" w:themeColor="text1"/>
                <w:kern w:val="0"/>
                <w:sz w:val="21"/>
                <w:szCs w:val="21"/>
                <w:highlight w:val="none"/>
              </w:rPr>
              <w:t>□</w:t>
            </w:r>
          </w:p>
        </w:tc>
        <w:tc>
          <w:tcPr>
            <w:tcW w:w="1090" w:type="dxa"/>
            <w:gridSpan w:val="3"/>
            <w:tcBorders>
              <w:tl2br w:val="nil"/>
              <w:tr2bl w:val="nil"/>
            </w:tcBorders>
            <w:vAlign w:val="center"/>
          </w:tcPr>
          <w:p w14:paraId="13A69E8C">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Times New Roman" w:hAnsi="Times New Roman" w:eastAsia="Times New Roman" w:cs="Times New Roman"/>
                <w:color w:val="000000" w:themeColor="text1"/>
                <w:spacing w:val="1"/>
                <w:sz w:val="21"/>
                <w:szCs w:val="21"/>
                <w:highlight w:val="none"/>
              </w:rPr>
              <w:t>4</w:t>
            </w:r>
            <w:r>
              <w:rPr>
                <w:rFonts w:ascii="Times New Roman" w:hAnsi="Times New Roman" w:eastAsia="Times New Roman" w:cs="Times New Roman"/>
                <w:color w:val="000000" w:themeColor="text1"/>
                <w:sz w:val="21"/>
                <w:szCs w:val="21"/>
                <w:highlight w:val="none"/>
              </w:rPr>
              <w:t xml:space="preserve">a </w:t>
            </w:r>
            <w:r>
              <w:rPr>
                <w:rFonts w:ascii="宋体" w:hAnsi="宋体" w:eastAsia="宋体" w:cs="宋体"/>
                <w:color w:val="000000" w:themeColor="text1"/>
                <w:sz w:val="21"/>
                <w:szCs w:val="21"/>
                <w:highlight w:val="none"/>
              </w:rPr>
              <w:t>类区</w:t>
            </w:r>
            <w:r>
              <w:rPr>
                <w:rFonts w:hint="eastAsia"/>
                <w:color w:val="000000" w:themeColor="text1"/>
                <w:kern w:val="0"/>
                <w:sz w:val="21"/>
                <w:szCs w:val="21"/>
                <w:highlight w:val="none"/>
                <w:lang w:eastAsia="zh-CN"/>
              </w:rPr>
              <w:t>☑</w:t>
            </w:r>
          </w:p>
        </w:tc>
        <w:tc>
          <w:tcPr>
            <w:tcW w:w="1098" w:type="dxa"/>
            <w:tcBorders>
              <w:tl2br w:val="nil"/>
              <w:tr2bl w:val="nil"/>
            </w:tcBorders>
            <w:vAlign w:val="center"/>
          </w:tcPr>
          <w:p w14:paraId="1F9B9E75">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Times New Roman" w:hAnsi="Times New Roman" w:eastAsia="Times New Roman" w:cs="Times New Roman"/>
                <w:color w:val="000000" w:themeColor="text1"/>
                <w:spacing w:val="1"/>
                <w:sz w:val="21"/>
                <w:szCs w:val="21"/>
                <w:highlight w:val="none"/>
              </w:rPr>
              <w:t>4</w:t>
            </w:r>
            <w:r>
              <w:rPr>
                <w:rFonts w:ascii="Times New Roman" w:hAnsi="Times New Roman" w:eastAsia="Times New Roman" w:cs="Times New Roman"/>
                <w:color w:val="000000" w:themeColor="text1"/>
                <w:sz w:val="21"/>
                <w:szCs w:val="21"/>
                <w:highlight w:val="none"/>
              </w:rPr>
              <w:t>b</w:t>
            </w:r>
            <w:r>
              <w:rPr>
                <w:rFonts w:ascii="Times New Roman" w:hAnsi="Times New Roman" w:eastAsia="Times New Roman" w:cs="Times New Roman"/>
                <w:color w:val="000000" w:themeColor="text1"/>
                <w:spacing w:val="1"/>
                <w:sz w:val="21"/>
                <w:szCs w:val="21"/>
                <w:highlight w:val="none"/>
              </w:rPr>
              <w:t xml:space="preserve"> </w:t>
            </w:r>
            <w:r>
              <w:rPr>
                <w:rFonts w:ascii="宋体" w:hAnsi="宋体" w:eastAsia="宋体" w:cs="宋体"/>
                <w:color w:val="000000" w:themeColor="text1"/>
                <w:sz w:val="21"/>
                <w:szCs w:val="21"/>
                <w:highlight w:val="none"/>
              </w:rPr>
              <w:t>类区□</w:t>
            </w:r>
          </w:p>
        </w:tc>
      </w:tr>
      <w:tr w14:paraId="7A0F48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 w:hRule="atLeast"/>
          <w:jc w:val="center"/>
        </w:trPr>
        <w:tc>
          <w:tcPr>
            <w:tcW w:w="1007" w:type="dxa"/>
            <w:vMerge w:val="continue"/>
            <w:tcBorders>
              <w:tl2br w:val="nil"/>
              <w:tr2bl w:val="nil"/>
            </w:tcBorders>
            <w:vAlign w:val="center"/>
          </w:tcPr>
          <w:p w14:paraId="40CFE09B">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67E4FED7">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价年度</w:t>
            </w:r>
          </w:p>
        </w:tc>
        <w:tc>
          <w:tcPr>
            <w:tcW w:w="1633" w:type="dxa"/>
            <w:gridSpan w:val="2"/>
            <w:tcBorders>
              <w:tl2br w:val="nil"/>
              <w:tr2bl w:val="nil"/>
            </w:tcBorders>
            <w:vAlign w:val="center"/>
          </w:tcPr>
          <w:p w14:paraId="53EB850D">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2"/>
                <w:sz w:val="21"/>
                <w:szCs w:val="21"/>
                <w:highlight w:val="none"/>
              </w:rPr>
              <w:t>初期</w:t>
            </w:r>
            <w:r>
              <w:rPr>
                <w:rFonts w:hint="eastAsia"/>
                <w:color w:val="000000" w:themeColor="text1"/>
                <w:kern w:val="0"/>
                <w:sz w:val="21"/>
                <w:szCs w:val="21"/>
                <w:highlight w:val="none"/>
                <w:lang w:eastAsia="zh-CN"/>
              </w:rPr>
              <w:t>☑</w:t>
            </w:r>
          </w:p>
        </w:tc>
        <w:tc>
          <w:tcPr>
            <w:tcW w:w="1639" w:type="dxa"/>
            <w:gridSpan w:val="4"/>
            <w:tcBorders>
              <w:tl2br w:val="nil"/>
              <w:tr2bl w:val="nil"/>
            </w:tcBorders>
            <w:vAlign w:val="center"/>
          </w:tcPr>
          <w:p w14:paraId="4CC81857">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近期</w:t>
            </w:r>
            <w:r>
              <w:rPr>
                <w:rFonts w:ascii="宋体" w:hAnsi="宋体" w:eastAsia="宋体" w:cs="宋体"/>
                <w:color w:val="000000" w:themeColor="text1"/>
                <w:spacing w:val="-1"/>
                <w:sz w:val="21"/>
                <w:szCs w:val="21"/>
                <w:highlight w:val="none"/>
              </w:rPr>
              <w:t>□</w:t>
            </w:r>
          </w:p>
        </w:tc>
        <w:tc>
          <w:tcPr>
            <w:tcW w:w="1635" w:type="dxa"/>
            <w:gridSpan w:val="2"/>
            <w:tcBorders>
              <w:tl2br w:val="nil"/>
              <w:tr2bl w:val="nil"/>
            </w:tcBorders>
            <w:vAlign w:val="center"/>
          </w:tcPr>
          <w:p w14:paraId="482F3BFA">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6"/>
                <w:sz w:val="21"/>
                <w:szCs w:val="21"/>
                <w:highlight w:val="none"/>
              </w:rPr>
              <w:t>中</w:t>
            </w:r>
            <w:r>
              <w:rPr>
                <w:rFonts w:ascii="宋体" w:hAnsi="宋体" w:eastAsia="宋体" w:cs="宋体"/>
                <w:color w:val="000000" w:themeColor="text1"/>
                <w:spacing w:val="-5"/>
                <w:sz w:val="21"/>
                <w:szCs w:val="21"/>
                <w:highlight w:val="none"/>
              </w:rPr>
              <w:t>期□</w:t>
            </w:r>
          </w:p>
        </w:tc>
        <w:tc>
          <w:tcPr>
            <w:tcW w:w="1642" w:type="dxa"/>
            <w:gridSpan w:val="3"/>
            <w:tcBorders>
              <w:tl2br w:val="nil"/>
              <w:tr2bl w:val="nil"/>
            </w:tcBorders>
            <w:vAlign w:val="center"/>
          </w:tcPr>
          <w:p w14:paraId="08F13046">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远期</w:t>
            </w:r>
            <w:r>
              <w:rPr>
                <w:rFonts w:ascii="宋体" w:hAnsi="宋体" w:eastAsia="宋体" w:cs="宋体"/>
                <w:color w:val="000000" w:themeColor="text1"/>
                <w:spacing w:val="-1"/>
                <w:sz w:val="21"/>
                <w:szCs w:val="21"/>
                <w:highlight w:val="none"/>
              </w:rPr>
              <w:t>□</w:t>
            </w:r>
          </w:p>
        </w:tc>
      </w:tr>
      <w:tr w14:paraId="3F1D81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jc w:val="center"/>
        </w:trPr>
        <w:tc>
          <w:tcPr>
            <w:tcW w:w="1007" w:type="dxa"/>
            <w:vMerge w:val="continue"/>
            <w:tcBorders>
              <w:tl2br w:val="nil"/>
              <w:tr2bl w:val="nil"/>
            </w:tcBorders>
            <w:vAlign w:val="center"/>
          </w:tcPr>
          <w:p w14:paraId="35F7570F">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73370BC7">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现状</w:t>
            </w:r>
            <w:r>
              <w:rPr>
                <w:rFonts w:ascii="宋体" w:hAnsi="宋体" w:eastAsia="宋体" w:cs="宋体"/>
                <w:color w:val="000000" w:themeColor="text1"/>
                <w:spacing w:val="-1"/>
                <w:sz w:val="21"/>
                <w:szCs w:val="21"/>
                <w:highlight w:val="none"/>
              </w:rPr>
              <w:t>调查方法</w:t>
            </w:r>
          </w:p>
        </w:tc>
        <w:tc>
          <w:tcPr>
            <w:tcW w:w="6549" w:type="dxa"/>
            <w:gridSpan w:val="11"/>
            <w:tcBorders>
              <w:tl2br w:val="nil"/>
              <w:tr2bl w:val="nil"/>
            </w:tcBorders>
            <w:vAlign w:val="center"/>
          </w:tcPr>
          <w:p w14:paraId="7F045A88">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现场实测法</w:t>
            </w:r>
            <w:r>
              <w:rPr>
                <w:rFonts w:hint="eastAsia"/>
                <w:color w:val="000000" w:themeColor="text1"/>
                <w:kern w:val="0"/>
                <w:sz w:val="21"/>
                <w:szCs w:val="21"/>
                <w:highlight w:val="none"/>
                <w:lang w:eastAsia="zh-CN"/>
              </w:rPr>
              <w:t>☑</w:t>
            </w:r>
            <w:r>
              <w:rPr>
                <w:rFonts w:ascii="宋体" w:hAnsi="宋体" w:eastAsia="宋体" w:cs="宋体"/>
                <w:color w:val="000000" w:themeColor="text1"/>
                <w:spacing w:val="2"/>
                <w:sz w:val="21"/>
                <w:szCs w:val="21"/>
                <w:highlight w:val="none"/>
              </w:rPr>
              <w:t xml:space="preserve">     </w:t>
            </w:r>
            <w:r>
              <w:rPr>
                <w:rFonts w:ascii="宋体" w:hAnsi="宋体" w:eastAsia="宋体" w:cs="宋体"/>
                <w:color w:val="000000" w:themeColor="text1"/>
                <w:spacing w:val="1"/>
                <w:sz w:val="21"/>
                <w:szCs w:val="21"/>
                <w:highlight w:val="none"/>
              </w:rPr>
              <w:t xml:space="preserve">     现场实测加模型计算法□     收集资料□</w:t>
            </w:r>
          </w:p>
        </w:tc>
      </w:tr>
      <w:tr w14:paraId="1A7D4A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9" w:hRule="atLeast"/>
          <w:jc w:val="center"/>
        </w:trPr>
        <w:tc>
          <w:tcPr>
            <w:tcW w:w="1007" w:type="dxa"/>
            <w:vMerge w:val="continue"/>
            <w:tcBorders>
              <w:tl2br w:val="nil"/>
              <w:tr2bl w:val="nil"/>
            </w:tcBorders>
            <w:vAlign w:val="center"/>
          </w:tcPr>
          <w:p w14:paraId="7C709B1F">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7B58188C">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现状评</w:t>
            </w:r>
            <w:r>
              <w:rPr>
                <w:rFonts w:ascii="宋体" w:hAnsi="宋体" w:eastAsia="宋体" w:cs="宋体"/>
                <w:color w:val="000000" w:themeColor="text1"/>
                <w:spacing w:val="-1"/>
                <w:sz w:val="21"/>
                <w:szCs w:val="21"/>
                <w:highlight w:val="none"/>
              </w:rPr>
              <w:t>价</w:t>
            </w:r>
          </w:p>
        </w:tc>
        <w:tc>
          <w:tcPr>
            <w:tcW w:w="1946" w:type="dxa"/>
            <w:gridSpan w:val="3"/>
            <w:tcBorders>
              <w:tl2br w:val="nil"/>
              <w:tr2bl w:val="nil"/>
            </w:tcBorders>
            <w:vAlign w:val="center"/>
          </w:tcPr>
          <w:p w14:paraId="6A81A8A4">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达</w:t>
            </w:r>
            <w:r>
              <w:rPr>
                <w:rFonts w:ascii="宋体" w:hAnsi="宋体" w:eastAsia="宋体" w:cs="宋体"/>
                <w:color w:val="000000" w:themeColor="text1"/>
                <w:spacing w:val="-1"/>
                <w:sz w:val="21"/>
                <w:szCs w:val="21"/>
                <w:highlight w:val="none"/>
              </w:rPr>
              <w:t>标百分比</w:t>
            </w:r>
          </w:p>
        </w:tc>
        <w:tc>
          <w:tcPr>
            <w:tcW w:w="4603" w:type="dxa"/>
            <w:gridSpan w:val="8"/>
            <w:tcBorders>
              <w:tl2br w:val="nil"/>
              <w:tr2bl w:val="nil"/>
            </w:tcBorders>
            <w:vAlign w:val="center"/>
          </w:tcPr>
          <w:p w14:paraId="07594E6F">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hint="default" w:ascii="Arial" w:eastAsia="宋体"/>
                <w:color w:val="000000" w:themeColor="text1"/>
                <w:sz w:val="21"/>
                <w:szCs w:val="21"/>
                <w:highlight w:val="none"/>
                <w:lang w:val="en-US" w:eastAsia="zh-CN"/>
              </w:rPr>
            </w:pPr>
            <w:r>
              <w:rPr>
                <w:rFonts w:hint="default" w:ascii="Times New Roman" w:hAnsi="Times New Roman" w:cs="Times New Roman"/>
                <w:color w:val="000000" w:themeColor="text1"/>
                <w:sz w:val="21"/>
                <w:szCs w:val="21"/>
                <w:highlight w:val="none"/>
                <w:lang w:val="en-US" w:eastAsia="zh-CN"/>
              </w:rPr>
              <w:t>100%</w:t>
            </w:r>
          </w:p>
        </w:tc>
      </w:tr>
      <w:tr w14:paraId="2A1A50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6" w:hRule="atLeast"/>
          <w:jc w:val="center"/>
        </w:trPr>
        <w:tc>
          <w:tcPr>
            <w:tcW w:w="1007" w:type="dxa"/>
            <w:tcBorders>
              <w:tl2br w:val="nil"/>
              <w:tr2bl w:val="nil"/>
            </w:tcBorders>
            <w:vAlign w:val="center"/>
          </w:tcPr>
          <w:p w14:paraId="59B0315F">
            <w:pPr>
              <w:keepNext w:val="0"/>
              <w:keepLines w:val="0"/>
              <w:pageBreakBefore w:val="0"/>
              <w:widowControl w:val="0"/>
              <w:kinsoku/>
              <w:wordWrap/>
              <w:overflowPunct/>
              <w:topLinePunct w:val="0"/>
              <w:autoSpaceDE/>
              <w:autoSpaceDN/>
              <w:bidi w:val="0"/>
              <w:adjustRightInd/>
              <w:snapToGrid/>
              <w:spacing w:line="265" w:lineRule="exact"/>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5"/>
                <w:position w:val="6"/>
                <w:sz w:val="21"/>
                <w:szCs w:val="21"/>
                <w:highlight w:val="none"/>
              </w:rPr>
              <w:t>噪</w:t>
            </w:r>
            <w:r>
              <w:rPr>
                <w:rFonts w:ascii="宋体" w:hAnsi="宋体" w:eastAsia="宋体" w:cs="宋体"/>
                <w:color w:val="000000" w:themeColor="text1"/>
                <w:spacing w:val="-3"/>
                <w:position w:val="6"/>
                <w:sz w:val="21"/>
                <w:szCs w:val="21"/>
                <w:highlight w:val="none"/>
              </w:rPr>
              <w:t>声源</w:t>
            </w:r>
          </w:p>
          <w:p w14:paraId="074E9F4E">
            <w:pPr>
              <w:keepNext w:val="0"/>
              <w:keepLines w:val="0"/>
              <w:pageBreakBefore w:val="0"/>
              <w:widowControl w:val="0"/>
              <w:kinsoku/>
              <w:wordWrap/>
              <w:overflowPunct/>
              <w:topLinePunct w:val="0"/>
              <w:autoSpaceDE/>
              <w:autoSpaceDN/>
              <w:bidi w:val="0"/>
              <w:adjustRightInd/>
              <w:snapToGrid/>
              <w:spacing w:line="221"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3"/>
                <w:sz w:val="21"/>
                <w:szCs w:val="21"/>
                <w:highlight w:val="none"/>
              </w:rPr>
              <w:t>调</w:t>
            </w:r>
            <w:r>
              <w:rPr>
                <w:rFonts w:ascii="宋体" w:hAnsi="宋体" w:eastAsia="宋体" w:cs="宋体"/>
                <w:color w:val="000000" w:themeColor="text1"/>
                <w:spacing w:val="-2"/>
                <w:sz w:val="21"/>
                <w:szCs w:val="21"/>
                <w:highlight w:val="none"/>
              </w:rPr>
              <w:t>查</w:t>
            </w:r>
          </w:p>
        </w:tc>
        <w:tc>
          <w:tcPr>
            <w:tcW w:w="1410" w:type="dxa"/>
            <w:tcBorders>
              <w:tl2br w:val="nil"/>
              <w:tr2bl w:val="nil"/>
            </w:tcBorders>
            <w:vAlign w:val="center"/>
          </w:tcPr>
          <w:p w14:paraId="6DC1D4BC">
            <w:pPr>
              <w:keepNext w:val="0"/>
              <w:keepLines w:val="0"/>
              <w:pageBreakBefore w:val="0"/>
              <w:widowControl w:val="0"/>
              <w:kinsoku/>
              <w:wordWrap/>
              <w:overflowPunct/>
              <w:topLinePunct w:val="0"/>
              <w:autoSpaceDE/>
              <w:autoSpaceDN/>
              <w:bidi w:val="0"/>
              <w:adjustRightInd/>
              <w:snapToGrid/>
              <w:spacing w:line="257"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4"/>
                <w:sz w:val="21"/>
                <w:szCs w:val="21"/>
                <w:highlight w:val="none"/>
              </w:rPr>
              <w:t>噪声</w:t>
            </w:r>
            <w:r>
              <w:rPr>
                <w:rFonts w:ascii="宋体" w:hAnsi="宋体" w:eastAsia="宋体" w:cs="宋体"/>
                <w:color w:val="000000" w:themeColor="text1"/>
                <w:spacing w:val="-2"/>
                <w:sz w:val="21"/>
                <w:szCs w:val="21"/>
                <w:highlight w:val="none"/>
              </w:rPr>
              <w:t>源调查方</w:t>
            </w:r>
            <w:r>
              <w:rPr>
                <w:rFonts w:ascii="宋体" w:hAnsi="宋体" w:eastAsia="宋体" w:cs="宋体"/>
                <w:color w:val="000000" w:themeColor="text1"/>
                <w:sz w:val="21"/>
                <w:szCs w:val="21"/>
                <w:highlight w:val="none"/>
              </w:rPr>
              <w:t xml:space="preserve"> 法</w:t>
            </w:r>
          </w:p>
        </w:tc>
        <w:tc>
          <w:tcPr>
            <w:tcW w:w="1633" w:type="dxa"/>
            <w:gridSpan w:val="2"/>
            <w:tcBorders>
              <w:tl2br w:val="nil"/>
              <w:tr2bl w:val="nil"/>
            </w:tcBorders>
            <w:vAlign w:val="center"/>
          </w:tcPr>
          <w:p w14:paraId="564D3E77">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2"/>
                <w:sz w:val="21"/>
                <w:szCs w:val="21"/>
                <w:highlight w:val="none"/>
              </w:rPr>
              <w:t>现场</w:t>
            </w:r>
            <w:r>
              <w:rPr>
                <w:rFonts w:ascii="宋体" w:hAnsi="宋体" w:eastAsia="宋体" w:cs="宋体"/>
                <w:color w:val="000000" w:themeColor="text1"/>
                <w:spacing w:val="-1"/>
                <w:sz w:val="21"/>
                <w:szCs w:val="21"/>
                <w:highlight w:val="none"/>
              </w:rPr>
              <w:t>实测</w:t>
            </w:r>
            <w:r>
              <w:rPr>
                <w:rFonts w:hint="eastAsia"/>
                <w:color w:val="000000" w:themeColor="text1"/>
                <w:kern w:val="0"/>
                <w:sz w:val="21"/>
                <w:szCs w:val="21"/>
                <w:highlight w:val="none"/>
                <w:lang w:eastAsia="zh-CN"/>
              </w:rPr>
              <w:t>□</w:t>
            </w:r>
          </w:p>
        </w:tc>
        <w:tc>
          <w:tcPr>
            <w:tcW w:w="4916" w:type="dxa"/>
            <w:gridSpan w:val="9"/>
            <w:tcBorders>
              <w:tl2br w:val="nil"/>
              <w:tr2bl w:val="nil"/>
            </w:tcBorders>
            <w:vAlign w:val="center"/>
          </w:tcPr>
          <w:p w14:paraId="353D9440">
            <w:pPr>
              <w:keepNext w:val="0"/>
              <w:keepLines w:val="0"/>
              <w:pageBreakBefore w:val="0"/>
              <w:widowControl w:val="0"/>
              <w:kinsoku/>
              <w:wordWrap/>
              <w:overflowPunct/>
              <w:topLinePunct w:val="0"/>
              <w:autoSpaceDE/>
              <w:autoSpaceDN/>
              <w:bidi w:val="0"/>
              <w:adjustRightInd/>
              <w:snapToGrid/>
              <w:spacing w:line="219"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1"/>
                <w:sz w:val="21"/>
                <w:szCs w:val="21"/>
                <w:highlight w:val="none"/>
              </w:rPr>
              <w:t>已有资料</w:t>
            </w:r>
            <w:r>
              <w:rPr>
                <w:rFonts w:hint="eastAsia" w:ascii="宋体" w:hAnsi="宋体" w:cs="宋体"/>
                <w:color w:val="000000" w:themeColor="text1"/>
                <w:spacing w:val="1"/>
                <w:sz w:val="21"/>
                <w:szCs w:val="21"/>
                <w:highlight w:val="none"/>
                <w:lang w:eastAsia="zh-CN"/>
              </w:rPr>
              <w:t>☑</w:t>
            </w:r>
            <w:r>
              <w:rPr>
                <w:rFonts w:ascii="宋体" w:hAnsi="宋体" w:eastAsia="宋体" w:cs="宋体"/>
                <w:color w:val="000000" w:themeColor="text1"/>
                <w:spacing w:val="1"/>
                <w:sz w:val="21"/>
                <w:szCs w:val="21"/>
                <w:highlight w:val="none"/>
              </w:rPr>
              <w:t xml:space="preserve">               研究成果</w:t>
            </w:r>
            <w:r>
              <w:rPr>
                <w:rFonts w:ascii="宋体" w:hAnsi="宋体" w:eastAsia="宋体" w:cs="宋体"/>
                <w:color w:val="000000" w:themeColor="text1"/>
                <w:sz w:val="21"/>
                <w:szCs w:val="21"/>
                <w:highlight w:val="none"/>
              </w:rPr>
              <w:t>□</w:t>
            </w:r>
          </w:p>
        </w:tc>
      </w:tr>
      <w:tr w14:paraId="5897CF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0" w:hRule="atLeast"/>
          <w:jc w:val="center"/>
        </w:trPr>
        <w:tc>
          <w:tcPr>
            <w:tcW w:w="1007" w:type="dxa"/>
            <w:vMerge w:val="restart"/>
            <w:tcBorders>
              <w:tl2br w:val="nil"/>
              <w:tr2bl w:val="nil"/>
            </w:tcBorders>
            <w:vAlign w:val="center"/>
          </w:tcPr>
          <w:p w14:paraId="687DDAC6">
            <w:pPr>
              <w:keepNext w:val="0"/>
              <w:keepLines w:val="0"/>
              <w:pageBreakBefore w:val="0"/>
              <w:widowControl w:val="0"/>
              <w:kinsoku/>
              <w:wordWrap/>
              <w:overflowPunct/>
              <w:topLinePunct w:val="0"/>
              <w:autoSpaceDE/>
              <w:autoSpaceDN/>
              <w:bidi w:val="0"/>
              <w:adjustRightInd/>
              <w:snapToGrid/>
              <w:spacing w:line="267" w:lineRule="auto"/>
              <w:ind w:left="0" w:right="0" w:firstLine="0" w:firstLineChars="0"/>
              <w:jc w:val="center"/>
              <w:textAlignment w:val="auto"/>
              <w:rPr>
                <w:rFonts w:ascii="Arial"/>
                <w:color w:val="000000" w:themeColor="text1"/>
                <w:sz w:val="21"/>
                <w:szCs w:val="21"/>
                <w:highlight w:val="none"/>
              </w:rPr>
            </w:pPr>
          </w:p>
          <w:p w14:paraId="5774B9DD">
            <w:pPr>
              <w:keepNext w:val="0"/>
              <w:keepLines w:val="0"/>
              <w:pageBreakBefore w:val="0"/>
              <w:widowControl w:val="0"/>
              <w:kinsoku/>
              <w:wordWrap/>
              <w:overflowPunct/>
              <w:topLinePunct w:val="0"/>
              <w:autoSpaceDE/>
              <w:autoSpaceDN/>
              <w:bidi w:val="0"/>
              <w:adjustRightInd/>
              <w:snapToGrid/>
              <w:spacing w:line="267" w:lineRule="auto"/>
              <w:ind w:left="0" w:right="0" w:firstLine="0" w:firstLineChars="0"/>
              <w:jc w:val="center"/>
              <w:textAlignment w:val="auto"/>
              <w:rPr>
                <w:rFonts w:ascii="Arial"/>
                <w:color w:val="000000" w:themeColor="text1"/>
                <w:sz w:val="21"/>
                <w:szCs w:val="21"/>
                <w:highlight w:val="none"/>
              </w:rPr>
            </w:pPr>
          </w:p>
          <w:p w14:paraId="35706728">
            <w:pPr>
              <w:keepNext w:val="0"/>
              <w:keepLines w:val="0"/>
              <w:pageBreakBefore w:val="0"/>
              <w:widowControl w:val="0"/>
              <w:kinsoku/>
              <w:wordWrap/>
              <w:overflowPunct/>
              <w:topLinePunct w:val="0"/>
              <w:autoSpaceDE/>
              <w:autoSpaceDN/>
              <w:bidi w:val="0"/>
              <w:adjustRightInd/>
              <w:snapToGrid/>
              <w:spacing w:line="268" w:lineRule="auto"/>
              <w:ind w:left="0" w:right="0" w:firstLine="0" w:firstLineChars="0"/>
              <w:jc w:val="center"/>
              <w:textAlignment w:val="auto"/>
              <w:rPr>
                <w:rFonts w:ascii="Arial"/>
                <w:color w:val="000000" w:themeColor="text1"/>
                <w:sz w:val="21"/>
                <w:szCs w:val="21"/>
                <w:highlight w:val="none"/>
              </w:rPr>
            </w:pPr>
          </w:p>
          <w:p w14:paraId="2198C751">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声环境影</w:t>
            </w:r>
          </w:p>
          <w:p w14:paraId="78A77968">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4"/>
                <w:sz w:val="21"/>
                <w:szCs w:val="21"/>
                <w:highlight w:val="none"/>
              </w:rPr>
              <w:t>响</w:t>
            </w:r>
            <w:r>
              <w:rPr>
                <w:rFonts w:ascii="宋体" w:hAnsi="宋体" w:eastAsia="宋体" w:cs="宋体"/>
                <w:color w:val="000000" w:themeColor="text1"/>
                <w:spacing w:val="-3"/>
                <w:sz w:val="21"/>
                <w:szCs w:val="21"/>
                <w:highlight w:val="none"/>
              </w:rPr>
              <w:t>预测与</w:t>
            </w:r>
          </w:p>
          <w:p w14:paraId="5DECC7BD">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评价</w:t>
            </w:r>
          </w:p>
        </w:tc>
        <w:tc>
          <w:tcPr>
            <w:tcW w:w="1410" w:type="dxa"/>
            <w:tcBorders>
              <w:tl2br w:val="nil"/>
              <w:tr2bl w:val="nil"/>
            </w:tcBorders>
            <w:vAlign w:val="center"/>
          </w:tcPr>
          <w:p w14:paraId="698973BC">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预测模</w:t>
            </w:r>
            <w:r>
              <w:rPr>
                <w:rFonts w:ascii="宋体" w:hAnsi="宋体" w:eastAsia="宋体" w:cs="宋体"/>
                <w:color w:val="000000" w:themeColor="text1"/>
                <w:spacing w:val="-1"/>
                <w:sz w:val="21"/>
                <w:szCs w:val="21"/>
                <w:highlight w:val="none"/>
              </w:rPr>
              <w:t>型</w:t>
            </w:r>
          </w:p>
        </w:tc>
        <w:tc>
          <w:tcPr>
            <w:tcW w:w="1633" w:type="dxa"/>
            <w:gridSpan w:val="2"/>
            <w:tcBorders>
              <w:tl2br w:val="nil"/>
              <w:tr2bl w:val="nil"/>
            </w:tcBorders>
            <w:vAlign w:val="center"/>
          </w:tcPr>
          <w:p w14:paraId="62BF0839">
            <w:pPr>
              <w:keepNext w:val="0"/>
              <w:keepLines w:val="0"/>
              <w:pageBreakBefore w:val="0"/>
              <w:widowControl w:val="0"/>
              <w:kinsoku/>
              <w:wordWrap/>
              <w:overflowPunct/>
              <w:topLinePunct w:val="0"/>
              <w:autoSpaceDE/>
              <w:autoSpaceDN/>
              <w:bidi w:val="0"/>
              <w:adjustRightInd/>
              <w:snapToGrid/>
              <w:spacing w:line="219"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2"/>
                <w:sz w:val="21"/>
                <w:szCs w:val="21"/>
                <w:highlight w:val="none"/>
              </w:rPr>
              <w:t>导则推荐模</w:t>
            </w:r>
            <w:r>
              <w:rPr>
                <w:rFonts w:ascii="宋体" w:hAnsi="宋体" w:eastAsia="宋体" w:cs="宋体"/>
                <w:color w:val="000000" w:themeColor="text1"/>
                <w:spacing w:val="-1"/>
                <w:sz w:val="21"/>
                <w:szCs w:val="21"/>
                <w:highlight w:val="none"/>
              </w:rPr>
              <w:t>型</w:t>
            </w:r>
            <w:r>
              <w:rPr>
                <w:rFonts w:hint="eastAsia"/>
                <w:color w:val="000000" w:themeColor="text1"/>
                <w:kern w:val="0"/>
                <w:sz w:val="21"/>
                <w:szCs w:val="21"/>
                <w:highlight w:val="none"/>
                <w:lang w:eastAsia="zh-CN"/>
              </w:rPr>
              <w:t>☑</w:t>
            </w:r>
          </w:p>
        </w:tc>
        <w:tc>
          <w:tcPr>
            <w:tcW w:w="4916" w:type="dxa"/>
            <w:gridSpan w:val="9"/>
            <w:tcBorders>
              <w:tl2br w:val="nil"/>
              <w:tr2bl w:val="nil"/>
            </w:tcBorders>
            <w:vAlign w:val="center"/>
          </w:tcPr>
          <w:p w14:paraId="577F03B3">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4"/>
                <w:sz w:val="21"/>
                <w:szCs w:val="21"/>
                <w:highlight w:val="none"/>
              </w:rPr>
              <w:t>其</w:t>
            </w:r>
            <w:r>
              <w:rPr>
                <w:rFonts w:ascii="宋体" w:hAnsi="宋体" w:eastAsia="宋体" w:cs="宋体"/>
                <w:color w:val="000000" w:themeColor="text1"/>
                <w:spacing w:val="-2"/>
                <w:sz w:val="21"/>
                <w:szCs w:val="21"/>
                <w:highlight w:val="none"/>
              </w:rPr>
              <w:t>他□</w:t>
            </w:r>
          </w:p>
        </w:tc>
      </w:tr>
      <w:tr w14:paraId="2F1DDC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9" w:hRule="atLeast"/>
          <w:jc w:val="center"/>
        </w:trPr>
        <w:tc>
          <w:tcPr>
            <w:tcW w:w="1007" w:type="dxa"/>
            <w:vMerge w:val="continue"/>
            <w:tcBorders>
              <w:tl2br w:val="nil"/>
              <w:tr2bl w:val="nil"/>
            </w:tcBorders>
            <w:vAlign w:val="center"/>
          </w:tcPr>
          <w:p w14:paraId="17A6FDF4">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047C86BB">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预测范</w:t>
            </w:r>
            <w:r>
              <w:rPr>
                <w:rFonts w:ascii="宋体" w:hAnsi="宋体" w:eastAsia="宋体" w:cs="宋体"/>
                <w:color w:val="000000" w:themeColor="text1"/>
                <w:spacing w:val="-1"/>
                <w:sz w:val="21"/>
                <w:szCs w:val="21"/>
                <w:highlight w:val="none"/>
              </w:rPr>
              <w:t>围</w:t>
            </w:r>
          </w:p>
        </w:tc>
        <w:tc>
          <w:tcPr>
            <w:tcW w:w="6549" w:type="dxa"/>
            <w:gridSpan w:val="11"/>
            <w:tcBorders>
              <w:tl2br w:val="nil"/>
              <w:tr2bl w:val="nil"/>
            </w:tcBorders>
            <w:vAlign w:val="center"/>
          </w:tcPr>
          <w:p w14:paraId="4E83B301">
            <w:pPr>
              <w:keepNext w:val="0"/>
              <w:keepLines w:val="0"/>
              <w:pageBreakBefore w:val="0"/>
              <w:widowControl w:val="0"/>
              <w:kinsoku/>
              <w:wordWrap/>
              <w:overflowPunct/>
              <w:topLinePunct w:val="0"/>
              <w:autoSpaceDE/>
              <w:autoSpaceDN/>
              <w:bidi w:val="0"/>
              <w:adjustRightInd/>
              <w:snapToGrid/>
              <w:spacing w:line="234" w:lineRule="auto"/>
              <w:ind w:left="0" w:right="0" w:firstLine="0" w:firstLineChars="0"/>
              <w:jc w:val="center"/>
              <w:textAlignment w:val="auto"/>
              <w:rPr>
                <w:rFonts w:ascii="宋体" w:hAnsi="宋体" w:eastAsia="宋体" w:cs="宋体"/>
                <w:color w:val="000000" w:themeColor="text1"/>
                <w:sz w:val="21"/>
                <w:szCs w:val="21"/>
                <w:highlight w:val="none"/>
              </w:rPr>
            </w:pPr>
            <w:r>
              <w:rPr>
                <w:rFonts w:ascii="Times New Roman" w:hAnsi="Times New Roman" w:eastAsia="Times New Roman" w:cs="Times New Roman"/>
                <w:color w:val="000000" w:themeColor="text1"/>
                <w:spacing w:val="1"/>
                <w:sz w:val="21"/>
                <w:szCs w:val="21"/>
                <w:highlight w:val="none"/>
              </w:rPr>
              <w:t xml:space="preserve">200 </w:t>
            </w:r>
            <w:r>
              <w:rPr>
                <w:rFonts w:ascii="Times New Roman" w:hAnsi="Times New Roman" w:eastAsia="Times New Roman" w:cs="Times New Roman"/>
                <w:color w:val="000000" w:themeColor="text1"/>
                <w:sz w:val="21"/>
                <w:szCs w:val="21"/>
                <w:highlight w:val="none"/>
              </w:rPr>
              <w:t>m</w:t>
            </w:r>
            <w:r>
              <w:rPr>
                <w:rFonts w:hint="eastAsia"/>
                <w:color w:val="000000" w:themeColor="text1"/>
                <w:kern w:val="0"/>
                <w:sz w:val="21"/>
                <w:szCs w:val="21"/>
                <w:highlight w:val="none"/>
                <w:lang w:eastAsia="zh-CN"/>
              </w:rPr>
              <w:t>☑</w:t>
            </w:r>
            <w:r>
              <w:rPr>
                <w:rFonts w:ascii="宋体" w:hAnsi="宋体" w:eastAsia="宋体" w:cs="宋体"/>
                <w:color w:val="000000" w:themeColor="text1"/>
                <w:spacing w:val="1"/>
                <w:sz w:val="21"/>
                <w:szCs w:val="21"/>
                <w:highlight w:val="none"/>
              </w:rPr>
              <w:t xml:space="preserve">            大于 </w:t>
            </w:r>
            <w:r>
              <w:rPr>
                <w:rFonts w:ascii="Times New Roman" w:hAnsi="Times New Roman" w:eastAsia="Times New Roman" w:cs="Times New Roman"/>
                <w:color w:val="000000" w:themeColor="text1"/>
                <w:spacing w:val="1"/>
                <w:sz w:val="21"/>
                <w:szCs w:val="21"/>
                <w:highlight w:val="none"/>
              </w:rPr>
              <w:t xml:space="preserve">200 </w:t>
            </w:r>
            <w:r>
              <w:rPr>
                <w:rFonts w:ascii="Times New Roman" w:hAnsi="Times New Roman" w:eastAsia="Times New Roman" w:cs="Times New Roman"/>
                <w:color w:val="000000" w:themeColor="text1"/>
                <w:sz w:val="21"/>
                <w:szCs w:val="21"/>
                <w:highlight w:val="none"/>
              </w:rPr>
              <w:t>m</w:t>
            </w:r>
            <w:r>
              <w:rPr>
                <w:rFonts w:ascii="宋体" w:hAnsi="宋体" w:eastAsia="宋体" w:cs="宋体"/>
                <w:color w:val="000000" w:themeColor="text1"/>
                <w:spacing w:val="1"/>
                <w:sz w:val="21"/>
                <w:szCs w:val="21"/>
                <w:highlight w:val="none"/>
              </w:rPr>
              <w:t>□</w:t>
            </w:r>
            <w:r>
              <w:rPr>
                <w:rFonts w:ascii="宋体" w:hAnsi="宋体" w:eastAsia="宋体" w:cs="宋体"/>
                <w:color w:val="000000" w:themeColor="text1"/>
                <w:sz w:val="21"/>
                <w:szCs w:val="21"/>
                <w:highlight w:val="none"/>
              </w:rPr>
              <w:t xml:space="preserve">            小于 </w:t>
            </w:r>
            <w:r>
              <w:rPr>
                <w:rFonts w:ascii="Times New Roman" w:hAnsi="Times New Roman" w:eastAsia="Times New Roman" w:cs="Times New Roman"/>
                <w:color w:val="000000" w:themeColor="text1"/>
                <w:sz w:val="21"/>
                <w:szCs w:val="21"/>
                <w:highlight w:val="none"/>
              </w:rPr>
              <w:t>200 m</w:t>
            </w:r>
            <w:r>
              <w:rPr>
                <w:rFonts w:ascii="宋体" w:hAnsi="宋体" w:eastAsia="宋体" w:cs="宋体"/>
                <w:color w:val="000000" w:themeColor="text1"/>
                <w:sz w:val="21"/>
                <w:szCs w:val="21"/>
                <w:highlight w:val="none"/>
              </w:rPr>
              <w:t>□</w:t>
            </w:r>
          </w:p>
        </w:tc>
      </w:tr>
      <w:tr w14:paraId="5D5B8A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 w:hRule="atLeast"/>
          <w:jc w:val="center"/>
        </w:trPr>
        <w:tc>
          <w:tcPr>
            <w:tcW w:w="1007" w:type="dxa"/>
            <w:vMerge w:val="continue"/>
            <w:tcBorders>
              <w:tl2br w:val="nil"/>
              <w:tr2bl w:val="nil"/>
            </w:tcBorders>
            <w:vAlign w:val="center"/>
          </w:tcPr>
          <w:p w14:paraId="279B81AE">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0DF35388">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预测因</w:t>
            </w:r>
            <w:r>
              <w:rPr>
                <w:rFonts w:ascii="宋体" w:hAnsi="宋体" w:eastAsia="宋体" w:cs="宋体"/>
                <w:color w:val="000000" w:themeColor="text1"/>
                <w:spacing w:val="-1"/>
                <w:sz w:val="21"/>
                <w:szCs w:val="21"/>
                <w:highlight w:val="none"/>
              </w:rPr>
              <w:t>子</w:t>
            </w:r>
          </w:p>
        </w:tc>
        <w:tc>
          <w:tcPr>
            <w:tcW w:w="6549" w:type="dxa"/>
            <w:gridSpan w:val="11"/>
            <w:tcBorders>
              <w:tl2br w:val="nil"/>
              <w:tr2bl w:val="nil"/>
            </w:tcBorders>
            <w:vAlign w:val="center"/>
          </w:tcPr>
          <w:p w14:paraId="383FE44D">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1"/>
                <w:sz w:val="21"/>
                <w:szCs w:val="21"/>
                <w:highlight w:val="none"/>
              </w:rPr>
              <w:t xml:space="preserve">等效连续 </w:t>
            </w:r>
            <w:r>
              <w:rPr>
                <w:rFonts w:ascii="Times New Roman" w:hAnsi="Times New Roman" w:eastAsia="Times New Roman" w:cs="Times New Roman"/>
                <w:color w:val="000000" w:themeColor="text1"/>
                <w:sz w:val="21"/>
                <w:szCs w:val="21"/>
                <w:highlight w:val="none"/>
              </w:rPr>
              <w:t>A</w:t>
            </w:r>
            <w:r>
              <w:rPr>
                <w:rFonts w:ascii="Times New Roman" w:hAnsi="Times New Roman" w:eastAsia="Times New Roman" w:cs="Times New Roman"/>
                <w:color w:val="000000" w:themeColor="text1"/>
                <w:spacing w:val="-1"/>
                <w:sz w:val="21"/>
                <w:szCs w:val="21"/>
                <w:highlight w:val="none"/>
              </w:rPr>
              <w:t xml:space="preserve"> </w:t>
            </w:r>
            <w:r>
              <w:rPr>
                <w:rFonts w:ascii="宋体" w:hAnsi="宋体" w:eastAsia="宋体" w:cs="宋体"/>
                <w:color w:val="000000" w:themeColor="text1"/>
                <w:spacing w:val="-1"/>
                <w:sz w:val="21"/>
                <w:szCs w:val="21"/>
                <w:highlight w:val="none"/>
              </w:rPr>
              <w:t>声级</w:t>
            </w:r>
            <w:r>
              <w:rPr>
                <w:rFonts w:hint="eastAsia"/>
                <w:color w:val="000000" w:themeColor="text1"/>
                <w:kern w:val="0"/>
                <w:sz w:val="21"/>
                <w:szCs w:val="21"/>
                <w:highlight w:val="none"/>
                <w:lang w:eastAsia="zh-CN"/>
              </w:rPr>
              <w:t>☑</w:t>
            </w:r>
            <w:r>
              <w:rPr>
                <w:rFonts w:ascii="宋体" w:hAnsi="宋体" w:eastAsia="宋体" w:cs="宋体"/>
                <w:color w:val="000000" w:themeColor="text1"/>
                <w:spacing w:val="-1"/>
                <w:sz w:val="21"/>
                <w:szCs w:val="21"/>
                <w:highlight w:val="none"/>
              </w:rPr>
              <w:t xml:space="preserve">    最大 </w:t>
            </w:r>
            <w:r>
              <w:rPr>
                <w:rFonts w:ascii="Times New Roman" w:hAnsi="Times New Roman" w:eastAsia="Times New Roman" w:cs="Times New Roman"/>
                <w:color w:val="000000" w:themeColor="text1"/>
                <w:sz w:val="21"/>
                <w:szCs w:val="21"/>
                <w:highlight w:val="none"/>
              </w:rPr>
              <w:t>A</w:t>
            </w:r>
            <w:r>
              <w:rPr>
                <w:rFonts w:ascii="Times New Roman" w:hAnsi="Times New Roman" w:eastAsia="Times New Roman" w:cs="Times New Roman"/>
                <w:color w:val="000000" w:themeColor="text1"/>
                <w:spacing w:val="-1"/>
                <w:sz w:val="21"/>
                <w:szCs w:val="21"/>
                <w:highlight w:val="none"/>
              </w:rPr>
              <w:t xml:space="preserve"> </w:t>
            </w:r>
            <w:r>
              <w:rPr>
                <w:rFonts w:ascii="宋体" w:hAnsi="宋体" w:eastAsia="宋体" w:cs="宋体"/>
                <w:color w:val="000000" w:themeColor="text1"/>
                <w:spacing w:val="-1"/>
                <w:sz w:val="21"/>
                <w:szCs w:val="21"/>
                <w:highlight w:val="none"/>
              </w:rPr>
              <w:t xml:space="preserve">声级□ </w:t>
            </w:r>
            <w:r>
              <w:rPr>
                <w:rFonts w:ascii="宋体" w:hAnsi="宋体" w:eastAsia="宋体" w:cs="宋体"/>
                <w:color w:val="000000" w:themeColor="text1"/>
                <w:sz w:val="21"/>
                <w:szCs w:val="21"/>
                <w:highlight w:val="none"/>
              </w:rPr>
              <w:t xml:space="preserve">  计权等效连续感觉噪声级□</w:t>
            </w:r>
          </w:p>
        </w:tc>
      </w:tr>
      <w:tr w14:paraId="31C03D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1007" w:type="dxa"/>
            <w:vMerge w:val="continue"/>
            <w:tcBorders>
              <w:tl2br w:val="nil"/>
              <w:tr2bl w:val="nil"/>
            </w:tcBorders>
            <w:vAlign w:val="center"/>
          </w:tcPr>
          <w:p w14:paraId="629A5AF4">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526811F4">
            <w:pPr>
              <w:keepNext w:val="0"/>
              <w:keepLines w:val="0"/>
              <w:pageBreakBefore w:val="0"/>
              <w:widowControl w:val="0"/>
              <w:kinsoku/>
              <w:wordWrap/>
              <w:overflowPunct/>
              <w:topLinePunct w:val="0"/>
              <w:autoSpaceDE/>
              <w:autoSpaceDN/>
              <w:bidi w:val="0"/>
              <w:adjustRightInd/>
              <w:snapToGrid/>
              <w:spacing w:line="243"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厂界噪声</w:t>
            </w:r>
            <w:r>
              <w:rPr>
                <w:rFonts w:ascii="宋体" w:hAnsi="宋体" w:eastAsia="宋体" w:cs="宋体"/>
                <w:color w:val="000000" w:themeColor="text1"/>
                <w:spacing w:val="-1"/>
                <w:sz w:val="21"/>
                <w:szCs w:val="21"/>
                <w:highlight w:val="none"/>
              </w:rPr>
              <w:t>贡献</w:t>
            </w:r>
            <w:r>
              <w:rPr>
                <w:rFonts w:ascii="宋体" w:hAnsi="宋体" w:eastAsia="宋体" w:cs="宋体"/>
                <w:color w:val="000000" w:themeColor="text1"/>
                <w:sz w:val="21"/>
                <w:szCs w:val="21"/>
                <w:highlight w:val="none"/>
              </w:rPr>
              <w:t xml:space="preserve"> 值</w:t>
            </w:r>
          </w:p>
        </w:tc>
        <w:tc>
          <w:tcPr>
            <w:tcW w:w="1946" w:type="dxa"/>
            <w:gridSpan w:val="3"/>
            <w:tcBorders>
              <w:tl2br w:val="nil"/>
              <w:tr2bl w:val="nil"/>
            </w:tcBorders>
            <w:vAlign w:val="center"/>
          </w:tcPr>
          <w:p w14:paraId="027259F2">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2"/>
                <w:sz w:val="21"/>
                <w:szCs w:val="21"/>
                <w:highlight w:val="none"/>
              </w:rPr>
              <w:t>达标</w:t>
            </w:r>
            <w:r>
              <w:rPr>
                <w:rFonts w:ascii="宋体" w:hAnsi="宋体" w:eastAsia="宋体" w:cs="宋体"/>
                <w:color w:val="000000" w:themeColor="text1"/>
                <w:spacing w:val="-1"/>
                <w:sz w:val="21"/>
                <w:szCs w:val="21"/>
                <w:highlight w:val="none"/>
              </w:rPr>
              <w:t xml:space="preserve"> </w:t>
            </w:r>
            <w:r>
              <w:rPr>
                <w:rFonts w:hint="eastAsia"/>
                <w:color w:val="000000" w:themeColor="text1"/>
                <w:kern w:val="0"/>
                <w:sz w:val="21"/>
                <w:szCs w:val="21"/>
                <w:highlight w:val="none"/>
                <w:lang w:eastAsia="zh-CN"/>
              </w:rPr>
              <w:t>☑</w:t>
            </w:r>
          </w:p>
        </w:tc>
        <w:tc>
          <w:tcPr>
            <w:tcW w:w="4603" w:type="dxa"/>
            <w:gridSpan w:val="8"/>
            <w:tcBorders>
              <w:tl2br w:val="nil"/>
              <w:tr2bl w:val="nil"/>
            </w:tcBorders>
            <w:vAlign w:val="center"/>
          </w:tcPr>
          <w:p w14:paraId="0AFDDF93">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不达标□</w:t>
            </w:r>
          </w:p>
        </w:tc>
      </w:tr>
      <w:tr w14:paraId="626231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2" w:hRule="atLeast"/>
          <w:jc w:val="center"/>
        </w:trPr>
        <w:tc>
          <w:tcPr>
            <w:tcW w:w="1007" w:type="dxa"/>
            <w:vMerge w:val="continue"/>
            <w:tcBorders>
              <w:tl2br w:val="nil"/>
              <w:tr2bl w:val="nil"/>
            </w:tcBorders>
            <w:vAlign w:val="center"/>
          </w:tcPr>
          <w:p w14:paraId="482FA899">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289BEC52">
            <w:pPr>
              <w:keepNext w:val="0"/>
              <w:keepLines w:val="0"/>
              <w:pageBreakBefore w:val="0"/>
              <w:widowControl w:val="0"/>
              <w:kinsoku/>
              <w:wordWrap/>
              <w:overflowPunct/>
              <w:topLinePunct w:val="0"/>
              <w:autoSpaceDE/>
              <w:autoSpaceDN/>
              <w:bidi w:val="0"/>
              <w:adjustRightInd/>
              <w:snapToGrid/>
              <w:spacing w:line="242"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声环境保护</w:t>
            </w:r>
            <w:r>
              <w:rPr>
                <w:rFonts w:ascii="宋体" w:hAnsi="宋体" w:eastAsia="宋体" w:cs="宋体"/>
                <w:color w:val="000000" w:themeColor="text1"/>
                <w:spacing w:val="-1"/>
                <w:sz w:val="21"/>
                <w:szCs w:val="21"/>
                <w:highlight w:val="none"/>
              </w:rPr>
              <w:t>目</w:t>
            </w:r>
            <w:r>
              <w:rPr>
                <w:rFonts w:ascii="宋体" w:hAnsi="宋体" w:eastAsia="宋体" w:cs="宋体"/>
                <w:color w:val="000000" w:themeColor="text1"/>
                <w:sz w:val="21"/>
                <w:szCs w:val="21"/>
                <w:highlight w:val="none"/>
              </w:rPr>
              <w:t xml:space="preserve"> </w:t>
            </w:r>
            <w:r>
              <w:rPr>
                <w:rFonts w:ascii="宋体" w:hAnsi="宋体" w:eastAsia="宋体" w:cs="宋体"/>
                <w:color w:val="000000" w:themeColor="text1"/>
                <w:spacing w:val="-2"/>
                <w:sz w:val="21"/>
                <w:szCs w:val="21"/>
                <w:highlight w:val="none"/>
              </w:rPr>
              <w:t>标处</w:t>
            </w:r>
            <w:r>
              <w:rPr>
                <w:rFonts w:ascii="宋体" w:hAnsi="宋体" w:eastAsia="宋体" w:cs="宋体"/>
                <w:color w:val="000000" w:themeColor="text1"/>
                <w:spacing w:val="-1"/>
                <w:sz w:val="21"/>
                <w:szCs w:val="21"/>
                <w:highlight w:val="none"/>
              </w:rPr>
              <w:t>噪声值</w:t>
            </w:r>
          </w:p>
        </w:tc>
        <w:tc>
          <w:tcPr>
            <w:tcW w:w="1946" w:type="dxa"/>
            <w:gridSpan w:val="3"/>
            <w:tcBorders>
              <w:tl2br w:val="nil"/>
              <w:tr2bl w:val="nil"/>
            </w:tcBorders>
            <w:vAlign w:val="center"/>
          </w:tcPr>
          <w:p w14:paraId="662BC24C">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2"/>
                <w:sz w:val="21"/>
                <w:szCs w:val="21"/>
                <w:highlight w:val="none"/>
              </w:rPr>
              <w:t>达标</w:t>
            </w:r>
            <w:r>
              <w:rPr>
                <w:rFonts w:hint="eastAsia"/>
                <w:color w:val="000000" w:themeColor="text1"/>
                <w:kern w:val="0"/>
                <w:sz w:val="21"/>
                <w:szCs w:val="21"/>
                <w:highlight w:val="none"/>
                <w:lang w:eastAsia="zh-CN"/>
              </w:rPr>
              <w:t>☑</w:t>
            </w:r>
          </w:p>
        </w:tc>
        <w:tc>
          <w:tcPr>
            <w:tcW w:w="4603" w:type="dxa"/>
            <w:gridSpan w:val="8"/>
            <w:tcBorders>
              <w:tl2br w:val="nil"/>
              <w:tr2bl w:val="nil"/>
            </w:tcBorders>
            <w:vAlign w:val="center"/>
          </w:tcPr>
          <w:p w14:paraId="5C1B0A63">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不达标</w:t>
            </w:r>
            <w:r>
              <w:rPr>
                <w:color w:val="000000" w:themeColor="text1"/>
                <w:kern w:val="0"/>
                <w:sz w:val="21"/>
                <w:szCs w:val="21"/>
                <w:highlight w:val="none"/>
              </w:rPr>
              <w:t>□</w:t>
            </w:r>
          </w:p>
        </w:tc>
      </w:tr>
      <w:tr w14:paraId="0FB679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2" w:hRule="atLeast"/>
          <w:jc w:val="center"/>
        </w:trPr>
        <w:tc>
          <w:tcPr>
            <w:tcW w:w="1007" w:type="dxa"/>
            <w:vMerge w:val="restart"/>
            <w:tcBorders>
              <w:tl2br w:val="nil"/>
              <w:tr2bl w:val="nil"/>
            </w:tcBorders>
            <w:vAlign w:val="center"/>
          </w:tcPr>
          <w:p w14:paraId="6FE11EE4">
            <w:pPr>
              <w:keepNext w:val="0"/>
              <w:keepLines w:val="0"/>
              <w:pageBreakBefore w:val="0"/>
              <w:widowControl w:val="0"/>
              <w:kinsoku/>
              <w:wordWrap/>
              <w:overflowPunct/>
              <w:topLinePunct w:val="0"/>
              <w:autoSpaceDE/>
              <w:autoSpaceDN/>
              <w:bidi w:val="0"/>
              <w:adjustRightInd/>
              <w:snapToGrid/>
              <w:spacing w:line="255"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环境监测</w:t>
            </w:r>
            <w:r>
              <w:rPr>
                <w:rFonts w:ascii="宋体" w:hAnsi="宋体" w:eastAsia="宋体" w:cs="宋体"/>
                <w:color w:val="000000" w:themeColor="text1"/>
                <w:sz w:val="21"/>
                <w:szCs w:val="21"/>
                <w:highlight w:val="none"/>
              </w:rPr>
              <w:t xml:space="preserve"> </w:t>
            </w:r>
            <w:r>
              <w:rPr>
                <w:rFonts w:ascii="宋体" w:hAnsi="宋体" w:eastAsia="宋体" w:cs="宋体"/>
                <w:color w:val="000000" w:themeColor="text1"/>
                <w:spacing w:val="-2"/>
                <w:sz w:val="21"/>
                <w:szCs w:val="21"/>
                <w:highlight w:val="none"/>
              </w:rPr>
              <w:t>计划</w:t>
            </w:r>
          </w:p>
        </w:tc>
        <w:tc>
          <w:tcPr>
            <w:tcW w:w="1410" w:type="dxa"/>
            <w:tcBorders>
              <w:tl2br w:val="nil"/>
              <w:tr2bl w:val="nil"/>
            </w:tcBorders>
            <w:vAlign w:val="center"/>
          </w:tcPr>
          <w:p w14:paraId="45274E33">
            <w:pPr>
              <w:keepNext w:val="0"/>
              <w:keepLines w:val="0"/>
              <w:pageBreakBefore w:val="0"/>
              <w:widowControl w:val="0"/>
              <w:kinsoku/>
              <w:wordWrap/>
              <w:overflowPunct/>
              <w:topLinePunct w:val="0"/>
              <w:autoSpaceDE/>
              <w:autoSpaceDN/>
              <w:bidi w:val="0"/>
              <w:adjustRightInd/>
              <w:snapToGrid/>
              <w:spacing w:line="221"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排放</w:t>
            </w:r>
            <w:r>
              <w:rPr>
                <w:rFonts w:ascii="宋体" w:hAnsi="宋体" w:eastAsia="宋体" w:cs="宋体"/>
                <w:color w:val="000000" w:themeColor="text1"/>
                <w:spacing w:val="-1"/>
                <w:sz w:val="21"/>
                <w:szCs w:val="21"/>
                <w:highlight w:val="none"/>
              </w:rPr>
              <w:t>监测</w:t>
            </w:r>
          </w:p>
        </w:tc>
        <w:tc>
          <w:tcPr>
            <w:tcW w:w="6549" w:type="dxa"/>
            <w:gridSpan w:val="11"/>
            <w:tcBorders>
              <w:tl2br w:val="nil"/>
              <w:tr2bl w:val="nil"/>
            </w:tcBorders>
            <w:vAlign w:val="center"/>
          </w:tcPr>
          <w:p w14:paraId="33666929">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1"/>
                <w:sz w:val="21"/>
                <w:szCs w:val="21"/>
                <w:highlight w:val="none"/>
              </w:rPr>
              <w:t>厂界监测</w:t>
            </w:r>
            <w:r>
              <w:rPr>
                <w:rFonts w:hint="eastAsia"/>
                <w:color w:val="000000" w:themeColor="text1"/>
                <w:kern w:val="0"/>
                <w:sz w:val="21"/>
                <w:szCs w:val="21"/>
                <w:highlight w:val="none"/>
                <w:lang w:eastAsia="zh-CN"/>
              </w:rPr>
              <w:t>☑</w:t>
            </w:r>
            <w:r>
              <w:rPr>
                <w:rFonts w:ascii="宋体" w:hAnsi="宋体" w:eastAsia="宋体" w:cs="宋体"/>
                <w:color w:val="000000" w:themeColor="text1"/>
                <w:spacing w:val="1"/>
                <w:sz w:val="21"/>
                <w:szCs w:val="21"/>
                <w:highlight w:val="none"/>
              </w:rPr>
              <w:t xml:space="preserve">    固定位置监测</w:t>
            </w:r>
            <w:r>
              <w:rPr>
                <w:rFonts w:hint="eastAsia" w:ascii="宋体" w:hAnsi="宋体" w:cs="宋体"/>
                <w:color w:val="000000" w:themeColor="text1"/>
                <w:spacing w:val="1"/>
                <w:sz w:val="21"/>
                <w:szCs w:val="21"/>
                <w:highlight w:val="none"/>
                <w:lang w:eastAsia="zh-CN"/>
              </w:rPr>
              <w:t>□</w:t>
            </w:r>
            <w:r>
              <w:rPr>
                <w:rFonts w:ascii="宋体" w:hAnsi="宋体" w:eastAsia="宋体" w:cs="宋体"/>
                <w:color w:val="000000" w:themeColor="text1"/>
                <w:spacing w:val="1"/>
                <w:sz w:val="21"/>
                <w:szCs w:val="21"/>
                <w:highlight w:val="none"/>
              </w:rPr>
              <w:t xml:space="preserve">     自动监测□ 手动</w:t>
            </w:r>
            <w:r>
              <w:rPr>
                <w:rFonts w:ascii="宋体" w:hAnsi="宋体" w:eastAsia="宋体" w:cs="宋体"/>
                <w:color w:val="000000" w:themeColor="text1"/>
                <w:sz w:val="21"/>
                <w:szCs w:val="21"/>
                <w:highlight w:val="none"/>
              </w:rPr>
              <w:t>监测</w:t>
            </w:r>
            <w:r>
              <w:rPr>
                <w:rFonts w:hint="eastAsia"/>
                <w:color w:val="000000" w:themeColor="text1"/>
                <w:kern w:val="0"/>
                <w:sz w:val="21"/>
                <w:szCs w:val="21"/>
                <w:highlight w:val="none"/>
                <w:lang w:eastAsia="zh-CN"/>
              </w:rPr>
              <w:t>☑</w:t>
            </w:r>
            <w:r>
              <w:rPr>
                <w:rFonts w:ascii="宋体" w:hAnsi="宋体" w:eastAsia="宋体" w:cs="宋体"/>
                <w:color w:val="000000" w:themeColor="text1"/>
                <w:sz w:val="21"/>
                <w:szCs w:val="21"/>
                <w:highlight w:val="none"/>
              </w:rPr>
              <w:t xml:space="preserve">    无监测</w:t>
            </w:r>
            <w:r>
              <w:rPr>
                <w:rFonts w:hint="eastAsia" w:ascii="宋体" w:hAnsi="宋体" w:cs="宋体"/>
                <w:color w:val="000000" w:themeColor="text1"/>
                <w:sz w:val="21"/>
                <w:szCs w:val="21"/>
                <w:highlight w:val="none"/>
                <w:lang w:eastAsia="zh-CN"/>
              </w:rPr>
              <w:t>□</w:t>
            </w:r>
          </w:p>
        </w:tc>
      </w:tr>
      <w:tr w14:paraId="586C0C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3" w:hRule="atLeast"/>
          <w:jc w:val="center"/>
        </w:trPr>
        <w:tc>
          <w:tcPr>
            <w:tcW w:w="1007" w:type="dxa"/>
            <w:vMerge w:val="continue"/>
            <w:tcBorders>
              <w:tl2br w:val="nil"/>
              <w:tr2bl w:val="nil"/>
            </w:tcBorders>
            <w:vAlign w:val="center"/>
          </w:tcPr>
          <w:p w14:paraId="233A21CC">
            <w:pPr>
              <w:keepNext w:val="0"/>
              <w:keepLines w:val="0"/>
              <w:pageBreakBefore w:val="0"/>
              <w:widowControl w:val="0"/>
              <w:kinsoku/>
              <w:wordWrap/>
              <w:overflowPunct/>
              <w:topLinePunct w:val="0"/>
              <w:autoSpaceDE/>
              <w:autoSpaceDN/>
              <w:bidi w:val="0"/>
              <w:adjustRightInd/>
              <w:snapToGrid/>
              <w:ind w:left="0" w:right="0" w:firstLine="0" w:firstLineChars="0"/>
              <w:jc w:val="center"/>
              <w:textAlignment w:val="auto"/>
              <w:rPr>
                <w:rFonts w:ascii="Arial"/>
                <w:color w:val="000000" w:themeColor="text1"/>
                <w:sz w:val="21"/>
                <w:szCs w:val="21"/>
                <w:highlight w:val="none"/>
              </w:rPr>
            </w:pPr>
          </w:p>
        </w:tc>
        <w:tc>
          <w:tcPr>
            <w:tcW w:w="1410" w:type="dxa"/>
            <w:tcBorders>
              <w:tl2br w:val="nil"/>
              <w:tr2bl w:val="nil"/>
            </w:tcBorders>
            <w:vAlign w:val="center"/>
          </w:tcPr>
          <w:p w14:paraId="648F0843">
            <w:pPr>
              <w:keepNext w:val="0"/>
              <w:keepLines w:val="0"/>
              <w:pageBreakBefore w:val="0"/>
              <w:widowControl w:val="0"/>
              <w:kinsoku/>
              <w:wordWrap/>
              <w:overflowPunct/>
              <w:topLinePunct w:val="0"/>
              <w:autoSpaceDE/>
              <w:autoSpaceDN/>
              <w:bidi w:val="0"/>
              <w:adjustRightInd/>
              <w:snapToGrid/>
              <w:spacing w:line="241"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声环境保护</w:t>
            </w:r>
            <w:r>
              <w:rPr>
                <w:rFonts w:ascii="宋体" w:hAnsi="宋体" w:eastAsia="宋体" w:cs="宋体"/>
                <w:color w:val="000000" w:themeColor="text1"/>
                <w:spacing w:val="-1"/>
                <w:sz w:val="21"/>
                <w:szCs w:val="21"/>
                <w:highlight w:val="none"/>
              </w:rPr>
              <w:t>目</w:t>
            </w:r>
            <w:r>
              <w:rPr>
                <w:rFonts w:ascii="宋体" w:hAnsi="宋体" w:eastAsia="宋体" w:cs="宋体"/>
                <w:color w:val="000000" w:themeColor="text1"/>
                <w:sz w:val="21"/>
                <w:szCs w:val="21"/>
                <w:highlight w:val="none"/>
              </w:rPr>
              <w:t xml:space="preserve"> </w:t>
            </w:r>
            <w:r>
              <w:rPr>
                <w:rFonts w:ascii="宋体" w:hAnsi="宋体" w:eastAsia="宋体" w:cs="宋体"/>
                <w:color w:val="000000" w:themeColor="text1"/>
                <w:spacing w:val="-2"/>
                <w:sz w:val="21"/>
                <w:szCs w:val="21"/>
                <w:highlight w:val="none"/>
              </w:rPr>
              <w:t>标处</w:t>
            </w:r>
            <w:r>
              <w:rPr>
                <w:rFonts w:ascii="宋体" w:hAnsi="宋体" w:eastAsia="宋体" w:cs="宋体"/>
                <w:color w:val="000000" w:themeColor="text1"/>
                <w:spacing w:val="-1"/>
                <w:sz w:val="21"/>
                <w:szCs w:val="21"/>
                <w:highlight w:val="none"/>
              </w:rPr>
              <w:t>噪声监测</w:t>
            </w:r>
          </w:p>
        </w:tc>
        <w:tc>
          <w:tcPr>
            <w:tcW w:w="2810" w:type="dxa"/>
            <w:gridSpan w:val="5"/>
            <w:tcBorders>
              <w:tl2br w:val="nil"/>
              <w:tr2bl w:val="nil"/>
            </w:tcBorders>
            <w:vAlign w:val="center"/>
          </w:tcPr>
          <w:p w14:paraId="4626B820">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2"/>
                <w:sz w:val="21"/>
                <w:szCs w:val="21"/>
                <w:highlight w:val="none"/>
              </w:rPr>
              <w:t>监测因子：</w:t>
            </w:r>
            <w:r>
              <w:rPr>
                <w:rFonts w:hint="eastAsia" w:ascii="宋体" w:hAnsi="宋体" w:cs="宋体"/>
                <w:color w:val="000000" w:themeColor="text1"/>
                <w:spacing w:val="2"/>
                <w:sz w:val="21"/>
                <w:szCs w:val="21"/>
                <w:highlight w:val="none"/>
                <w:lang w:eastAsia="zh-CN"/>
              </w:rPr>
              <w:t>（</w:t>
            </w:r>
            <w:r>
              <w:rPr>
                <w:rFonts w:ascii="宋体" w:hAnsi="宋体" w:eastAsia="宋体" w:cs="宋体"/>
                <w:color w:val="000000" w:themeColor="text1"/>
                <w:spacing w:val="2"/>
                <w:sz w:val="21"/>
                <w:szCs w:val="21"/>
                <w:highlight w:val="none"/>
              </w:rPr>
              <w:t xml:space="preserve">   </w:t>
            </w:r>
            <w:r>
              <w:rPr>
                <w:color w:val="000000" w:themeColor="text1"/>
                <w:sz w:val="21"/>
                <w:szCs w:val="21"/>
                <w:highlight w:val="none"/>
              </w:rPr>
              <w:t>L</w:t>
            </w:r>
            <w:r>
              <w:rPr>
                <w:color w:val="000000" w:themeColor="text1"/>
                <w:sz w:val="21"/>
                <w:szCs w:val="21"/>
                <w:highlight w:val="none"/>
                <w:vertAlign w:val="subscript"/>
              </w:rPr>
              <w:t>Aeq</w:t>
            </w:r>
            <w:r>
              <w:rPr>
                <w:rFonts w:ascii="宋体" w:hAnsi="宋体" w:eastAsia="宋体" w:cs="宋体"/>
                <w:color w:val="000000" w:themeColor="text1"/>
                <w:spacing w:val="1"/>
                <w:sz w:val="21"/>
                <w:szCs w:val="21"/>
                <w:highlight w:val="none"/>
              </w:rPr>
              <w:t xml:space="preserve">  </w:t>
            </w:r>
            <w:r>
              <w:rPr>
                <w:rFonts w:hint="eastAsia" w:ascii="宋体" w:hAnsi="宋体" w:cs="宋体"/>
                <w:color w:val="000000" w:themeColor="text1"/>
                <w:spacing w:val="1"/>
                <w:sz w:val="21"/>
                <w:szCs w:val="21"/>
                <w:highlight w:val="none"/>
                <w:lang w:eastAsia="zh-CN"/>
              </w:rPr>
              <w:t>）</w:t>
            </w:r>
          </w:p>
        </w:tc>
        <w:tc>
          <w:tcPr>
            <w:tcW w:w="2564" w:type="dxa"/>
            <w:gridSpan w:val="4"/>
            <w:tcBorders>
              <w:tl2br w:val="nil"/>
              <w:tr2bl w:val="nil"/>
            </w:tcBorders>
            <w:vAlign w:val="center"/>
          </w:tcPr>
          <w:p w14:paraId="2B12587B">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hint="eastAsia" w:ascii="宋体" w:hAnsi="宋体" w:eastAsia="宋体" w:cs="宋体"/>
                <w:color w:val="000000" w:themeColor="text1"/>
                <w:sz w:val="21"/>
                <w:szCs w:val="21"/>
                <w:highlight w:val="none"/>
                <w:lang w:eastAsia="zh-CN"/>
              </w:rPr>
            </w:pPr>
            <w:r>
              <w:rPr>
                <w:rFonts w:ascii="宋体" w:hAnsi="宋体" w:eastAsia="宋体" w:cs="宋体"/>
                <w:color w:val="000000" w:themeColor="text1"/>
                <w:spacing w:val="13"/>
                <w:sz w:val="21"/>
                <w:szCs w:val="21"/>
                <w:highlight w:val="none"/>
              </w:rPr>
              <w:t>监</w:t>
            </w:r>
            <w:r>
              <w:rPr>
                <w:rFonts w:ascii="宋体" w:hAnsi="宋体" w:eastAsia="宋体" w:cs="宋体"/>
                <w:color w:val="000000" w:themeColor="text1"/>
                <w:spacing w:val="9"/>
                <w:sz w:val="21"/>
                <w:szCs w:val="21"/>
                <w:highlight w:val="none"/>
              </w:rPr>
              <w:t>测点位数</w:t>
            </w:r>
            <w:r>
              <w:rPr>
                <w:rFonts w:hint="eastAsia" w:ascii="宋体" w:hAnsi="宋体" w:cs="宋体"/>
                <w:color w:val="000000" w:themeColor="text1"/>
                <w:spacing w:val="9"/>
                <w:sz w:val="21"/>
                <w:szCs w:val="21"/>
                <w:highlight w:val="none"/>
                <w:lang w:eastAsia="zh-CN"/>
              </w:rPr>
              <w:t>（</w:t>
            </w:r>
            <w:r>
              <w:rPr>
                <w:rFonts w:hint="eastAsia"/>
                <w:bCs/>
                <w:color w:val="000000" w:themeColor="text1"/>
                <w:sz w:val="21"/>
                <w:szCs w:val="21"/>
                <w:highlight w:val="none"/>
                <w:lang w:val="en-US" w:eastAsia="zh-CN"/>
              </w:rPr>
              <w:t>宝泉岭农场二队</w:t>
            </w:r>
            <w:r>
              <w:rPr>
                <w:rFonts w:ascii="宋体" w:hAnsi="宋体" w:eastAsia="宋体" w:cs="宋体"/>
                <w:color w:val="000000" w:themeColor="text1"/>
                <w:spacing w:val="9"/>
                <w:sz w:val="21"/>
                <w:szCs w:val="21"/>
                <w:highlight w:val="none"/>
              </w:rPr>
              <w:t xml:space="preserve"> </w:t>
            </w:r>
            <w:r>
              <w:rPr>
                <w:rFonts w:hint="eastAsia" w:ascii="宋体" w:hAnsi="宋体" w:cs="宋体"/>
                <w:color w:val="000000" w:themeColor="text1"/>
                <w:spacing w:val="9"/>
                <w:sz w:val="21"/>
                <w:szCs w:val="21"/>
                <w:highlight w:val="none"/>
                <w:lang w:eastAsia="zh-CN"/>
              </w:rPr>
              <w:t>）</w:t>
            </w:r>
          </w:p>
        </w:tc>
        <w:tc>
          <w:tcPr>
            <w:tcW w:w="1175" w:type="dxa"/>
            <w:gridSpan w:val="2"/>
            <w:tcBorders>
              <w:tl2br w:val="nil"/>
              <w:tr2bl w:val="nil"/>
            </w:tcBorders>
            <w:vAlign w:val="center"/>
          </w:tcPr>
          <w:p w14:paraId="3AB47768">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无监测</w:t>
            </w:r>
            <w:r>
              <w:rPr>
                <w:color w:val="000000" w:themeColor="text1"/>
                <w:kern w:val="0"/>
                <w:sz w:val="21"/>
                <w:szCs w:val="21"/>
                <w:highlight w:val="none"/>
              </w:rPr>
              <w:t>□</w:t>
            </w:r>
          </w:p>
        </w:tc>
      </w:tr>
      <w:tr w14:paraId="57F58B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0" w:hRule="atLeast"/>
          <w:jc w:val="center"/>
        </w:trPr>
        <w:tc>
          <w:tcPr>
            <w:tcW w:w="1007" w:type="dxa"/>
            <w:tcBorders>
              <w:tl2br w:val="nil"/>
              <w:tr2bl w:val="nil"/>
            </w:tcBorders>
            <w:vAlign w:val="center"/>
          </w:tcPr>
          <w:p w14:paraId="24DDC770">
            <w:pPr>
              <w:keepNext w:val="0"/>
              <w:keepLines w:val="0"/>
              <w:pageBreakBefore w:val="0"/>
              <w:widowControl w:val="0"/>
              <w:kinsoku/>
              <w:wordWrap/>
              <w:overflowPunct/>
              <w:topLinePunct w:val="0"/>
              <w:autoSpaceDE/>
              <w:autoSpaceDN/>
              <w:bidi w:val="0"/>
              <w:adjustRightInd/>
              <w:snapToGrid/>
              <w:spacing w:line="218"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评</w:t>
            </w:r>
            <w:r>
              <w:rPr>
                <w:rFonts w:ascii="宋体" w:hAnsi="宋体" w:eastAsia="宋体" w:cs="宋体"/>
                <w:color w:val="000000" w:themeColor="text1"/>
                <w:spacing w:val="-1"/>
                <w:sz w:val="21"/>
                <w:szCs w:val="21"/>
                <w:highlight w:val="none"/>
              </w:rPr>
              <w:t>价结论</w:t>
            </w:r>
          </w:p>
        </w:tc>
        <w:tc>
          <w:tcPr>
            <w:tcW w:w="1410" w:type="dxa"/>
            <w:tcBorders>
              <w:tl2br w:val="nil"/>
              <w:tr2bl w:val="nil"/>
            </w:tcBorders>
            <w:vAlign w:val="center"/>
          </w:tcPr>
          <w:p w14:paraId="003C161F">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
                <w:sz w:val="21"/>
                <w:szCs w:val="21"/>
                <w:highlight w:val="none"/>
              </w:rPr>
              <w:t>环境</w:t>
            </w:r>
            <w:r>
              <w:rPr>
                <w:rFonts w:ascii="宋体" w:hAnsi="宋体" w:eastAsia="宋体" w:cs="宋体"/>
                <w:color w:val="000000" w:themeColor="text1"/>
                <w:spacing w:val="-1"/>
                <w:sz w:val="21"/>
                <w:szCs w:val="21"/>
                <w:highlight w:val="none"/>
              </w:rPr>
              <w:t>影响</w:t>
            </w:r>
          </w:p>
        </w:tc>
        <w:tc>
          <w:tcPr>
            <w:tcW w:w="6549" w:type="dxa"/>
            <w:gridSpan w:val="11"/>
            <w:tcBorders>
              <w:tl2br w:val="nil"/>
              <w:tr2bl w:val="nil"/>
            </w:tcBorders>
            <w:vAlign w:val="center"/>
          </w:tcPr>
          <w:p w14:paraId="37597C2D">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1"/>
                <w:sz w:val="21"/>
                <w:szCs w:val="21"/>
                <w:highlight w:val="none"/>
              </w:rPr>
              <w:t>可行</w:t>
            </w:r>
            <w:r>
              <w:rPr>
                <w:rFonts w:hint="eastAsia"/>
                <w:color w:val="000000" w:themeColor="text1"/>
                <w:kern w:val="0"/>
                <w:sz w:val="21"/>
                <w:szCs w:val="21"/>
                <w:highlight w:val="none"/>
                <w:lang w:eastAsia="zh-CN"/>
              </w:rPr>
              <w:t>☑</w:t>
            </w:r>
            <w:r>
              <w:rPr>
                <w:rFonts w:ascii="宋体" w:hAnsi="宋体" w:eastAsia="宋体" w:cs="宋体"/>
                <w:color w:val="000000" w:themeColor="text1"/>
                <w:sz w:val="21"/>
                <w:szCs w:val="21"/>
                <w:highlight w:val="none"/>
              </w:rPr>
              <w:t xml:space="preserve">       不可行□</w:t>
            </w:r>
          </w:p>
        </w:tc>
      </w:tr>
      <w:tr w14:paraId="7951CE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jc w:val="center"/>
        </w:trPr>
        <w:tc>
          <w:tcPr>
            <w:tcW w:w="8966" w:type="dxa"/>
            <w:gridSpan w:val="13"/>
            <w:tcBorders>
              <w:tl2br w:val="nil"/>
              <w:tr2bl w:val="nil"/>
            </w:tcBorders>
            <w:vAlign w:val="center"/>
          </w:tcPr>
          <w:p w14:paraId="626D9CFF">
            <w:pPr>
              <w:keepNext w:val="0"/>
              <w:keepLines w:val="0"/>
              <w:pageBreakBefore w:val="0"/>
              <w:widowControl w:val="0"/>
              <w:kinsoku/>
              <w:wordWrap/>
              <w:overflowPunct/>
              <w:topLinePunct w:val="0"/>
              <w:autoSpaceDE/>
              <w:autoSpaceDN/>
              <w:bidi w:val="0"/>
              <w:adjustRightInd/>
              <w:snapToGrid/>
              <w:spacing w:line="220" w:lineRule="auto"/>
              <w:ind w:left="0" w:right="0" w:firstLine="0" w:firstLineChars="0"/>
              <w:jc w:val="center"/>
              <w:textAlignment w:val="auto"/>
              <w:rPr>
                <w:rFonts w:ascii="宋体" w:hAnsi="宋体" w:eastAsia="宋体" w:cs="宋体"/>
                <w:color w:val="000000" w:themeColor="text1"/>
                <w:sz w:val="21"/>
                <w:szCs w:val="21"/>
                <w:highlight w:val="none"/>
              </w:rPr>
            </w:pPr>
            <w:r>
              <w:rPr>
                <w:rFonts w:ascii="宋体" w:hAnsi="宋体" w:eastAsia="宋体" w:cs="宋体"/>
                <w:color w:val="000000" w:themeColor="text1"/>
                <w:spacing w:val="-22"/>
                <w:sz w:val="21"/>
                <w:szCs w:val="21"/>
                <w:highlight w:val="none"/>
              </w:rPr>
              <w:t>注</w:t>
            </w:r>
            <w:r>
              <w:rPr>
                <w:rFonts w:ascii="宋体" w:hAnsi="宋体" w:eastAsia="宋体" w:cs="宋体"/>
                <w:color w:val="000000" w:themeColor="text1"/>
                <w:spacing w:val="-21"/>
                <w:sz w:val="21"/>
                <w:szCs w:val="21"/>
                <w:highlight w:val="none"/>
              </w:rPr>
              <w:t>：</w:t>
            </w:r>
            <w:r>
              <w:rPr>
                <w:rFonts w:hint="eastAsia" w:ascii="宋体" w:hAnsi="宋体" w:cs="宋体"/>
                <w:color w:val="000000" w:themeColor="text1"/>
                <w:spacing w:val="-11"/>
                <w:sz w:val="21"/>
                <w:szCs w:val="21"/>
                <w:highlight w:val="none"/>
                <w:lang w:eastAsia="zh-CN"/>
              </w:rPr>
              <w:t>“</w:t>
            </w:r>
            <w:r>
              <w:rPr>
                <w:rFonts w:ascii="宋体" w:hAnsi="宋体" w:eastAsia="宋体" w:cs="宋体"/>
                <w:color w:val="000000" w:themeColor="text1"/>
                <w:spacing w:val="-11"/>
                <w:sz w:val="21"/>
                <w:szCs w:val="21"/>
                <w:highlight w:val="none"/>
              </w:rPr>
              <w:t>□</w:t>
            </w:r>
            <w:r>
              <w:rPr>
                <w:rFonts w:hint="eastAsia" w:ascii="宋体" w:hAnsi="宋体" w:cs="宋体"/>
                <w:color w:val="000000" w:themeColor="text1"/>
                <w:spacing w:val="-11"/>
                <w:sz w:val="21"/>
                <w:szCs w:val="21"/>
                <w:highlight w:val="none"/>
                <w:lang w:eastAsia="zh-CN"/>
              </w:rPr>
              <w:t>”</w:t>
            </w:r>
            <w:r>
              <w:rPr>
                <w:rFonts w:ascii="宋体" w:hAnsi="宋体" w:eastAsia="宋体" w:cs="宋体"/>
                <w:color w:val="000000" w:themeColor="text1"/>
                <w:spacing w:val="-11"/>
                <w:sz w:val="21"/>
                <w:szCs w:val="21"/>
                <w:highlight w:val="none"/>
              </w:rPr>
              <w:t xml:space="preserve"> 为勾选项 ，可 √ ；</w:t>
            </w:r>
            <w:r>
              <w:rPr>
                <w:rFonts w:hint="eastAsia" w:ascii="宋体" w:hAnsi="宋体" w:cs="宋体"/>
                <w:color w:val="000000" w:themeColor="text1"/>
                <w:spacing w:val="-11"/>
                <w:sz w:val="21"/>
                <w:szCs w:val="21"/>
                <w:highlight w:val="none"/>
                <w:lang w:eastAsia="zh-CN"/>
              </w:rPr>
              <w:t>“（</w:t>
            </w:r>
            <w:r>
              <w:rPr>
                <w:rFonts w:ascii="宋体" w:hAnsi="宋体" w:eastAsia="宋体" w:cs="宋体"/>
                <w:color w:val="000000" w:themeColor="text1"/>
                <w:spacing w:val="-11"/>
                <w:sz w:val="21"/>
                <w:szCs w:val="21"/>
                <w:highlight w:val="none"/>
              </w:rPr>
              <w:t xml:space="preserve">   </w:t>
            </w:r>
            <w:r>
              <w:rPr>
                <w:rFonts w:hint="eastAsia" w:ascii="宋体" w:hAnsi="宋体" w:cs="宋体"/>
                <w:color w:val="000000" w:themeColor="text1"/>
                <w:spacing w:val="-11"/>
                <w:sz w:val="21"/>
                <w:szCs w:val="21"/>
                <w:highlight w:val="none"/>
                <w:lang w:eastAsia="zh-CN"/>
              </w:rPr>
              <w:t>）”</w:t>
            </w:r>
            <w:r>
              <w:rPr>
                <w:rFonts w:ascii="宋体" w:hAnsi="宋体" w:eastAsia="宋体" w:cs="宋体"/>
                <w:color w:val="000000" w:themeColor="text1"/>
                <w:spacing w:val="-11"/>
                <w:sz w:val="21"/>
                <w:szCs w:val="21"/>
                <w:highlight w:val="none"/>
              </w:rPr>
              <w:t xml:space="preserve">  为内容填写项。</w:t>
            </w:r>
          </w:p>
        </w:tc>
      </w:tr>
    </w:tbl>
    <w:p w14:paraId="71A515FE">
      <w:pPr>
        <w:adjustRightInd w:val="0"/>
        <w:snapToGrid w:val="0"/>
        <w:jc w:val="center"/>
        <w:rPr>
          <w:bCs/>
          <w:color w:val="000000" w:themeColor="text1"/>
          <w:highlight w:val="none"/>
        </w:rPr>
      </w:pPr>
    </w:p>
    <w:p w14:paraId="6E161FC9">
      <w:pPr>
        <w:pStyle w:val="134"/>
        <w:rPr>
          <w:rFonts w:hint="default" w:ascii="Times New Roman" w:hAnsi="Times New Roman" w:eastAsia="宋体" w:cs="Times New Roman"/>
          <w:b/>
          <w:bCs/>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bookmarkStart w:id="652" w:name="_Toc112751069"/>
    </w:p>
    <w:p w14:paraId="7D92E263">
      <w:pPr>
        <w:pStyle w:val="134"/>
        <w:rPr>
          <w:rFonts w:hint="default" w:ascii="Times New Roman" w:hAnsi="Times New Roman" w:eastAsia="宋体" w:cs="Times New Roman"/>
          <w:b/>
          <w:bCs/>
          <w:color w:val="000000" w:themeColor="text1"/>
          <w:highlight w:val="none"/>
        </w:rPr>
      </w:pPr>
      <w:r>
        <w:rPr>
          <w:rFonts w:hint="default" w:ascii="Times New Roman" w:hAnsi="Times New Roman" w:eastAsia="宋体" w:cs="Times New Roman"/>
          <w:b/>
          <w:bCs/>
          <w:color w:val="000000" w:themeColor="text1"/>
          <w:highlight w:val="none"/>
        </w:rPr>
        <w:t>附表</w:t>
      </w:r>
      <w:r>
        <w:rPr>
          <w:rFonts w:hint="default" w:ascii="Times New Roman" w:hAnsi="Times New Roman" w:eastAsia="宋体" w:cs="Times New Roman"/>
          <w:b/>
          <w:bCs/>
          <w:color w:val="000000" w:themeColor="text1"/>
          <w:highlight w:val="none"/>
          <w:lang w:val="en-US" w:eastAsia="zh-CN"/>
        </w:rPr>
        <w:t>4</w:t>
      </w:r>
      <w:r>
        <w:rPr>
          <w:rFonts w:hint="default" w:ascii="Times New Roman" w:hAnsi="Times New Roman" w:eastAsia="宋体" w:cs="Times New Roman"/>
          <w:b/>
          <w:bCs/>
          <w:color w:val="000000" w:themeColor="text1"/>
          <w:highlight w:val="none"/>
        </w:rPr>
        <w:t xml:space="preserve"> </w:t>
      </w:r>
      <w:r>
        <w:rPr>
          <w:rFonts w:hint="default" w:ascii="Times New Roman" w:hAnsi="Times New Roman" w:eastAsia="宋体" w:cs="Times New Roman"/>
          <w:b/>
          <w:bCs/>
          <w:color w:val="000000" w:themeColor="text1"/>
          <w:highlight w:val="none"/>
          <w:lang w:val="en-US" w:eastAsia="zh-CN"/>
        </w:rPr>
        <w:t xml:space="preserve"> 生态</w:t>
      </w:r>
      <w:r>
        <w:rPr>
          <w:rFonts w:hint="default" w:ascii="Times New Roman" w:hAnsi="Times New Roman" w:eastAsia="宋体" w:cs="Times New Roman"/>
          <w:b/>
          <w:bCs/>
          <w:color w:val="000000" w:themeColor="text1"/>
          <w:highlight w:val="none"/>
        </w:rPr>
        <w:t>环境影响评价自查表</w:t>
      </w:r>
      <w:bookmarkEnd w:id="652"/>
    </w:p>
    <w:tbl>
      <w:tblPr>
        <w:tblStyle w:val="33"/>
        <w:tblW w:w="8314" w:type="dxa"/>
        <w:tblInd w:w="0" w:type="dxa"/>
        <w:tblLayout w:type="fixed"/>
        <w:tblCellMar>
          <w:top w:w="0" w:type="dxa"/>
          <w:left w:w="108" w:type="dxa"/>
          <w:bottom w:w="0" w:type="dxa"/>
          <w:right w:w="108" w:type="dxa"/>
        </w:tblCellMar>
      </w:tblPr>
      <w:tblGrid>
        <w:gridCol w:w="999"/>
        <w:gridCol w:w="1417"/>
        <w:gridCol w:w="5898"/>
      </w:tblGrid>
      <w:tr w14:paraId="15499443">
        <w:tblPrEx>
          <w:tblCellMar>
            <w:top w:w="0" w:type="dxa"/>
            <w:left w:w="108" w:type="dxa"/>
            <w:bottom w:w="0" w:type="dxa"/>
            <w:right w:w="108" w:type="dxa"/>
          </w:tblCellMar>
        </w:tblPrEx>
        <w:trPr>
          <w:trHeight w:val="249" w:hRule="atLeast"/>
        </w:trPr>
        <w:tc>
          <w:tcPr>
            <w:tcW w:w="2416" w:type="dxa"/>
            <w:gridSpan w:val="2"/>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A024707">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工作内容</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45A58454">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自查项目</w:t>
            </w:r>
          </w:p>
        </w:tc>
      </w:tr>
      <w:tr w14:paraId="3898C02A">
        <w:tblPrEx>
          <w:tblCellMar>
            <w:top w:w="0" w:type="dxa"/>
            <w:left w:w="108" w:type="dxa"/>
            <w:bottom w:w="0" w:type="dxa"/>
            <w:right w:w="108" w:type="dxa"/>
          </w:tblCellMar>
        </w:tblPrEx>
        <w:trPr>
          <w:trHeight w:val="249" w:hRule="atLeast"/>
        </w:trPr>
        <w:tc>
          <w:tcPr>
            <w:tcW w:w="999" w:type="dxa"/>
            <w:vMerge w:val="restart"/>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31736165">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生态影响</w:t>
            </w:r>
          </w:p>
          <w:p w14:paraId="2B500F8D">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识别</w:t>
            </w: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37E6B899">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生态保护目标</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AC02EDB">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lang w:eastAsia="zh-CN"/>
              </w:rPr>
            </w:pPr>
            <w:r>
              <w:rPr>
                <w:rFonts w:hint="eastAsia" w:ascii="宋体" w:hAnsi="宋体" w:eastAsia="宋体" w:cs="宋体"/>
                <w:color w:val="000000" w:themeColor="text1"/>
                <w:spacing w:val="0"/>
                <w:position w:val="0"/>
                <w:sz w:val="21"/>
                <w:szCs w:val="21"/>
                <w:highlight w:val="none"/>
                <w:u w:val="none"/>
              </w:rPr>
              <w:t>重要物种</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；国家公园</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；自然保护区</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；自然公园</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；世界自然遗产</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；生态保护红线</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；重要生境□；其他具有重要生态功能、对保护生物多样性具有重要意义的区域</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；其他</w:t>
            </w:r>
            <w:r>
              <w:rPr>
                <w:rFonts w:hint="eastAsia" w:ascii="宋体" w:hAnsi="宋体" w:cs="宋体"/>
                <w:color w:val="000000" w:themeColor="text1"/>
                <w:spacing w:val="0"/>
                <w:position w:val="0"/>
                <w:sz w:val="21"/>
                <w:szCs w:val="21"/>
                <w:highlight w:val="none"/>
                <w:u w:val="none"/>
                <w:lang w:eastAsia="zh-CN"/>
              </w:rPr>
              <w:t>☑</w:t>
            </w:r>
          </w:p>
        </w:tc>
      </w:tr>
      <w:tr w14:paraId="6897C55A">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5352D38A">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ascii="宋体" w:hAnsi="宋体" w:eastAsia="宋体" w:cs="宋体"/>
                <w:color w:val="000000" w:themeColor="text1"/>
                <w:sz w:val="21"/>
                <w:szCs w:val="21"/>
                <w:highlight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090D23F5">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影响方式</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3EF8EDA8">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工程占用</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；施工活动干扰</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；改变环境条件□；其他□</w:t>
            </w:r>
          </w:p>
        </w:tc>
      </w:tr>
      <w:tr w14:paraId="7394D16E">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53EA4A9B">
            <w:pPr>
              <w:keepNext w:val="0"/>
              <w:keepLines w:val="0"/>
              <w:pageBreakBefore w:val="0"/>
              <w:widowControl w:val="0"/>
              <w:kinsoku/>
              <w:wordWrap/>
              <w:overflowPunct/>
              <w:topLinePunct w:val="0"/>
              <w:autoSpaceDE/>
              <w:autoSpaceDN/>
              <w:bidi w:val="0"/>
              <w:adjustRightInd/>
              <w:snapToGrid/>
              <w:spacing w:line="240" w:lineRule="auto"/>
              <w:ind w:left="0" w:firstLine="0" w:firstLineChars="0"/>
              <w:textAlignment w:val="auto"/>
              <w:rPr>
                <w:rFonts w:hint="eastAsia" w:ascii="宋体" w:hAnsi="宋体" w:eastAsia="宋体" w:cs="宋体"/>
                <w:color w:val="000000" w:themeColor="text1"/>
                <w:sz w:val="21"/>
                <w:szCs w:val="21"/>
                <w:highlight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80B2630">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评价因子</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C6F13BF">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物种</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eastAsia="宋体" w:cs="宋体"/>
                <w:color w:val="000000" w:themeColor="text1"/>
                <w:spacing w:val="0"/>
                <w:position w:val="0"/>
                <w:sz w:val="21"/>
                <w:szCs w:val="21"/>
                <w:highlight w:val="none"/>
                <w:u w:val="none"/>
                <w:lang w:val="en-US" w:eastAsia="zh-CN"/>
              </w:rPr>
              <w:t>分布范围、种群数量、种群结构、行为等</w:t>
            </w:r>
            <w:r>
              <w:rPr>
                <w:rFonts w:hint="eastAsia" w:ascii="宋体" w:hAnsi="宋体" w:eastAsia="宋体" w:cs="宋体"/>
                <w:color w:val="000000" w:themeColor="text1"/>
                <w:spacing w:val="0"/>
                <w:position w:val="0"/>
                <w:sz w:val="21"/>
                <w:szCs w:val="21"/>
                <w:highlight w:val="none"/>
                <w:u w:val="none"/>
              </w:rPr>
              <w:t>）</w:t>
            </w:r>
          </w:p>
          <w:p w14:paraId="640B2EE2">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生境</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eastAsia="宋体" w:cs="宋体"/>
                <w:color w:val="000000" w:themeColor="text1"/>
                <w:spacing w:val="0"/>
                <w:position w:val="0"/>
                <w:sz w:val="21"/>
                <w:szCs w:val="21"/>
                <w:highlight w:val="none"/>
                <w:u w:val="none"/>
                <w:lang w:val="en-US" w:eastAsia="zh-CN"/>
              </w:rPr>
              <w:t>生境面积、质量、连通性等</w:t>
            </w:r>
            <w:r>
              <w:rPr>
                <w:rFonts w:hint="eastAsia" w:ascii="宋体" w:hAnsi="宋体" w:eastAsia="宋体" w:cs="宋体"/>
                <w:color w:val="000000" w:themeColor="text1"/>
                <w:spacing w:val="0"/>
                <w:position w:val="0"/>
                <w:sz w:val="21"/>
                <w:szCs w:val="21"/>
                <w:highlight w:val="none"/>
                <w:u w:val="none"/>
              </w:rPr>
              <w:t>）</w:t>
            </w:r>
          </w:p>
          <w:p w14:paraId="045B7C0A">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生物群落</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color w:val="000000" w:themeColor="text1"/>
                <w:sz w:val="21"/>
                <w:szCs w:val="21"/>
                <w:highlight w:val="none"/>
                <w:lang w:val="en-US" w:eastAsia="zh-CN"/>
              </w:rPr>
              <w:t>物种组成、群落结构等</w:t>
            </w:r>
            <w:r>
              <w:rPr>
                <w:rFonts w:hint="eastAsia" w:ascii="宋体" w:hAnsi="宋体" w:eastAsia="宋体" w:cs="宋体"/>
                <w:color w:val="000000" w:themeColor="text1"/>
                <w:spacing w:val="0"/>
                <w:position w:val="0"/>
                <w:sz w:val="21"/>
                <w:szCs w:val="21"/>
                <w:highlight w:val="none"/>
                <w:u w:val="none"/>
              </w:rPr>
              <w:t>）</w:t>
            </w:r>
          </w:p>
          <w:p w14:paraId="033D785C">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生态系统</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eastAsia="宋体" w:cs="宋体"/>
                <w:color w:val="000000" w:themeColor="text1"/>
                <w:spacing w:val="0"/>
                <w:position w:val="0"/>
                <w:sz w:val="21"/>
                <w:szCs w:val="21"/>
                <w:highlight w:val="none"/>
                <w:u w:val="none"/>
                <w:lang w:val="en-US" w:eastAsia="zh-CN"/>
              </w:rPr>
              <w:t>植被覆盖度、生产力、生物量、生态系统功能等</w:t>
            </w:r>
            <w:r>
              <w:rPr>
                <w:rFonts w:hint="eastAsia" w:ascii="宋体" w:hAnsi="宋体" w:eastAsia="宋体" w:cs="宋体"/>
                <w:color w:val="000000" w:themeColor="text1"/>
                <w:spacing w:val="0"/>
                <w:position w:val="0"/>
                <w:sz w:val="21"/>
                <w:szCs w:val="21"/>
                <w:highlight w:val="none"/>
                <w:u w:val="none"/>
              </w:rPr>
              <w:t>）</w:t>
            </w:r>
          </w:p>
          <w:p w14:paraId="51A91553">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default" w:ascii="宋体" w:hAnsi="宋体" w:eastAsia="宋体" w:cs="宋体"/>
                <w:color w:val="000000" w:themeColor="text1"/>
                <w:sz w:val="21"/>
                <w:szCs w:val="21"/>
                <w:highlight w:val="none"/>
                <w:lang w:val="en-US"/>
              </w:rPr>
            </w:pPr>
            <w:r>
              <w:rPr>
                <w:rFonts w:hint="eastAsia" w:ascii="宋体" w:hAnsi="宋体" w:eastAsia="宋体" w:cs="宋体"/>
                <w:color w:val="000000" w:themeColor="text1"/>
                <w:spacing w:val="0"/>
                <w:position w:val="0"/>
                <w:sz w:val="21"/>
                <w:szCs w:val="21"/>
                <w:highlight w:val="none"/>
                <w:u w:val="none"/>
              </w:rPr>
              <w:t>生物多样性</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Times New Roman" w:hAnsi="Times New Roman" w:eastAsia="宋体" w:cs="Times New Roman"/>
                <w:color w:val="000000" w:themeColor="text1"/>
                <w:kern w:val="2"/>
                <w:sz w:val="21"/>
                <w:szCs w:val="21"/>
                <w:highlight w:val="none"/>
                <w:lang w:val="en-US" w:eastAsia="zh-CN" w:bidi="ar-SA"/>
              </w:rPr>
              <w:t xml:space="preserve"> </w:t>
            </w:r>
            <w:r>
              <w:rPr>
                <w:rFonts w:hint="eastAsia"/>
                <w:color w:val="000000" w:themeColor="text1"/>
                <w:sz w:val="21"/>
                <w:szCs w:val="21"/>
                <w:highlight w:val="none"/>
                <w:lang w:val="en-US" w:eastAsia="zh-CN"/>
              </w:rPr>
              <w:t>物种丰富度、均匀度、优势度等</w:t>
            </w:r>
            <w:r>
              <w:rPr>
                <w:rFonts w:hint="eastAsia" w:ascii="Times New Roman" w:hAnsi="Times New Roman" w:eastAsia="宋体" w:cs="Times New Roman"/>
                <w:color w:val="000000" w:themeColor="text1"/>
                <w:kern w:val="2"/>
                <w:sz w:val="21"/>
                <w:szCs w:val="21"/>
                <w:highlight w:val="none"/>
                <w:lang w:val="en-US" w:eastAsia="zh-CN" w:bidi="ar-SA"/>
              </w:rPr>
              <w:t xml:space="preserve"> </w:t>
            </w:r>
            <w:r>
              <w:rPr>
                <w:rFonts w:hint="eastAsia" w:ascii="宋体" w:hAnsi="宋体" w:eastAsia="宋体" w:cs="宋体"/>
                <w:color w:val="000000" w:themeColor="text1"/>
                <w:spacing w:val="0"/>
                <w:position w:val="0"/>
                <w:sz w:val="21"/>
                <w:szCs w:val="21"/>
                <w:highlight w:val="none"/>
                <w:u w:val="none"/>
              </w:rPr>
              <w:t>）</w:t>
            </w:r>
          </w:p>
          <w:p w14:paraId="18EE2C5A">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自然景观</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color w:val="000000" w:themeColor="text1"/>
                <w:sz w:val="21"/>
                <w:szCs w:val="21"/>
                <w:highlight w:val="none"/>
                <w:lang w:val="en-US" w:eastAsia="zh-CN"/>
              </w:rPr>
              <w:t>景观多样性、完整性等</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w:t>
            </w:r>
          </w:p>
          <w:p w14:paraId="75D299F1">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自然遗迹□（</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w:t>
            </w:r>
          </w:p>
          <w:p w14:paraId="6AB33C80">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z w:val="21"/>
                <w:szCs w:val="21"/>
                <w:highlight w:val="none"/>
              </w:rPr>
            </w:pPr>
            <w:r>
              <w:rPr>
                <w:rFonts w:hint="eastAsia" w:ascii="宋体" w:hAnsi="宋体" w:eastAsia="宋体" w:cs="宋体"/>
                <w:color w:val="000000" w:themeColor="text1"/>
                <w:spacing w:val="0"/>
                <w:position w:val="0"/>
                <w:sz w:val="21"/>
                <w:szCs w:val="21"/>
                <w:highlight w:val="none"/>
                <w:u w:val="none"/>
              </w:rPr>
              <w:t>其他□（</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w:t>
            </w:r>
          </w:p>
        </w:tc>
      </w:tr>
      <w:tr w14:paraId="597D148E">
        <w:tblPrEx>
          <w:tblCellMar>
            <w:top w:w="0" w:type="dxa"/>
            <w:left w:w="108" w:type="dxa"/>
            <w:bottom w:w="0" w:type="dxa"/>
            <w:right w:w="108" w:type="dxa"/>
          </w:tblCellMar>
        </w:tblPrEx>
        <w:trPr>
          <w:trHeight w:val="249" w:hRule="atLeast"/>
        </w:trPr>
        <w:tc>
          <w:tcPr>
            <w:tcW w:w="2416" w:type="dxa"/>
            <w:gridSpan w:val="2"/>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D4F665F">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评价等级</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57A92E51">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jc w:val="left"/>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一级</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二级</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三级</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生态影响简单分析□</w:t>
            </w:r>
          </w:p>
        </w:tc>
      </w:tr>
      <w:tr w14:paraId="471B8E05">
        <w:tblPrEx>
          <w:tblCellMar>
            <w:top w:w="0" w:type="dxa"/>
            <w:left w:w="108" w:type="dxa"/>
            <w:bottom w:w="0" w:type="dxa"/>
            <w:right w:w="108" w:type="dxa"/>
          </w:tblCellMar>
        </w:tblPrEx>
        <w:trPr>
          <w:trHeight w:val="249" w:hRule="atLeast"/>
        </w:trPr>
        <w:tc>
          <w:tcPr>
            <w:tcW w:w="2416" w:type="dxa"/>
            <w:gridSpan w:val="2"/>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85D78ED">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评价范围</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5B433050">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陆域面积：（</w:t>
            </w:r>
            <w:r>
              <w:rPr>
                <w:rFonts w:hint="eastAsia" w:cs="宋体"/>
                <w:color w:val="000000" w:themeColor="text1"/>
                <w:spacing w:val="0"/>
                <w:position w:val="0"/>
                <w:sz w:val="21"/>
                <w:szCs w:val="21"/>
                <w:highlight w:val="none"/>
                <w:u w:val="none"/>
                <w:lang w:val="en-US" w:eastAsia="zh-CN"/>
              </w:rPr>
              <w:t>433.1</w:t>
            </w:r>
            <w:r>
              <w:rPr>
                <w:rFonts w:hint="eastAsia" w:ascii="宋体" w:hAnsi="宋体" w:eastAsia="宋体" w:cs="宋体"/>
                <w:color w:val="000000" w:themeColor="text1"/>
                <w:spacing w:val="0"/>
                <w:position w:val="0"/>
                <w:sz w:val="21"/>
                <w:szCs w:val="21"/>
                <w:highlight w:val="none"/>
                <w:u w:val="none"/>
              </w:rPr>
              <w:t>）</w:t>
            </w:r>
            <w:r>
              <w:rPr>
                <w:rFonts w:hint="eastAsia" w:ascii="Times New Roman" w:hAnsi="Times New Roman" w:eastAsia="宋体" w:cs="宋体"/>
                <w:color w:val="000000" w:themeColor="text1"/>
                <w:spacing w:val="0"/>
                <w:position w:val="0"/>
                <w:sz w:val="21"/>
                <w:szCs w:val="21"/>
                <w:highlight w:val="none"/>
                <w:u w:val="none"/>
                <w:lang w:val="en-US" w:eastAsia="zh-CN"/>
              </w:rPr>
              <w:t>h</w:t>
            </w:r>
            <w:r>
              <w:rPr>
                <w:rFonts w:hint="eastAsia" w:ascii="Times New Roman" w:hAnsi="Times New Roman" w:eastAsia="宋体" w:cs="宋体"/>
                <w:color w:val="000000" w:themeColor="text1"/>
                <w:spacing w:val="0"/>
                <w:position w:val="0"/>
                <w:sz w:val="21"/>
                <w:szCs w:val="21"/>
                <w:highlight w:val="none"/>
                <w:u w:val="none"/>
              </w:rPr>
              <w:t>m</w:t>
            </w:r>
            <w:r>
              <w:rPr>
                <w:rFonts w:hint="eastAsia" w:ascii="Times New Roman" w:hAnsi="Times New Roman" w:eastAsia="宋体" w:cs="宋体"/>
                <w:color w:val="000000" w:themeColor="text1"/>
                <w:spacing w:val="0"/>
                <w:position w:val="0"/>
                <w:sz w:val="21"/>
                <w:szCs w:val="21"/>
                <w:highlight w:val="none"/>
                <w:u w:val="none"/>
                <w:vertAlign w:val="superscript"/>
                <w:lang w:val="en-US" w:eastAsia="zh-CN"/>
              </w:rPr>
              <w:t>2</w:t>
            </w:r>
            <w:r>
              <w:rPr>
                <w:rFonts w:hint="eastAsia" w:ascii="宋体" w:hAnsi="宋体" w:eastAsia="宋体" w:cs="宋体"/>
                <w:color w:val="000000" w:themeColor="text1"/>
                <w:spacing w:val="0"/>
                <w:position w:val="0"/>
                <w:sz w:val="21"/>
                <w:szCs w:val="21"/>
                <w:highlight w:val="none"/>
                <w:u w:val="none"/>
              </w:rPr>
              <w:t>；水域面积（</w:t>
            </w:r>
            <w:r>
              <w:rPr>
                <w:rFonts w:hint="eastAsia" w:cs="宋体"/>
                <w:color w:val="000000" w:themeColor="text1"/>
                <w:spacing w:val="0"/>
                <w:position w:val="0"/>
                <w:sz w:val="21"/>
                <w:szCs w:val="21"/>
                <w:highlight w:val="none"/>
                <w:u w:val="none"/>
                <w:lang w:val="en-US" w:eastAsia="zh-CN"/>
              </w:rPr>
              <w:t>0.18</w:t>
            </w:r>
            <w:r>
              <w:rPr>
                <w:rFonts w:hint="eastAsia" w:ascii="宋体" w:hAnsi="宋体" w:eastAsia="宋体" w:cs="宋体"/>
                <w:color w:val="000000" w:themeColor="text1"/>
                <w:spacing w:val="0"/>
                <w:position w:val="0"/>
                <w:sz w:val="21"/>
                <w:szCs w:val="21"/>
                <w:highlight w:val="none"/>
                <w:u w:val="none"/>
              </w:rPr>
              <w:t>）</w:t>
            </w:r>
            <w:r>
              <w:rPr>
                <w:rFonts w:hint="eastAsia" w:ascii="Times New Roman" w:hAnsi="Times New Roman" w:eastAsia="宋体" w:cs="宋体"/>
                <w:color w:val="000000" w:themeColor="text1"/>
                <w:spacing w:val="0"/>
                <w:position w:val="0"/>
                <w:sz w:val="21"/>
                <w:szCs w:val="21"/>
                <w:highlight w:val="none"/>
                <w:u w:val="none"/>
                <w:lang w:val="en-US" w:eastAsia="zh-CN"/>
              </w:rPr>
              <w:t>h</w:t>
            </w:r>
            <w:r>
              <w:rPr>
                <w:rFonts w:hint="eastAsia" w:ascii="Times New Roman" w:hAnsi="Times New Roman" w:eastAsia="宋体" w:cs="宋体"/>
                <w:color w:val="000000" w:themeColor="text1"/>
                <w:spacing w:val="0"/>
                <w:position w:val="0"/>
                <w:sz w:val="21"/>
                <w:szCs w:val="21"/>
                <w:highlight w:val="none"/>
                <w:u w:val="none"/>
              </w:rPr>
              <w:t>m</w:t>
            </w:r>
            <w:r>
              <w:rPr>
                <w:rFonts w:hint="eastAsia" w:ascii="Times New Roman" w:hAnsi="Times New Roman" w:eastAsia="宋体" w:cs="宋体"/>
                <w:color w:val="000000" w:themeColor="text1"/>
                <w:spacing w:val="0"/>
                <w:position w:val="0"/>
                <w:sz w:val="21"/>
                <w:szCs w:val="21"/>
                <w:highlight w:val="none"/>
                <w:u w:val="none"/>
                <w:vertAlign w:val="superscript"/>
                <w:lang w:val="en-US" w:eastAsia="zh-CN"/>
              </w:rPr>
              <w:t>2</w:t>
            </w:r>
          </w:p>
        </w:tc>
      </w:tr>
      <w:tr w14:paraId="1F4E2789">
        <w:tblPrEx>
          <w:tblCellMar>
            <w:top w:w="0" w:type="dxa"/>
            <w:left w:w="108" w:type="dxa"/>
            <w:bottom w:w="0" w:type="dxa"/>
            <w:right w:w="108" w:type="dxa"/>
          </w:tblCellMar>
        </w:tblPrEx>
        <w:trPr>
          <w:trHeight w:val="249" w:hRule="atLeast"/>
        </w:trPr>
        <w:tc>
          <w:tcPr>
            <w:tcW w:w="999" w:type="dxa"/>
            <w:vMerge w:val="restart"/>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B925653">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生态现状</w:t>
            </w:r>
          </w:p>
          <w:p w14:paraId="18F82987">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调查与</w:t>
            </w:r>
          </w:p>
          <w:p w14:paraId="08E23B97">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w:t>
            </w: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41D9B05">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调查方法</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4C27880">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资料收集</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；遥感调查</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；调查样方、样线□；调查点位、断面□；专家和公众咨询法</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；其他□</w:t>
            </w:r>
          </w:p>
        </w:tc>
      </w:tr>
      <w:tr w14:paraId="23CBFCDE">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CCD24DF">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08B4C1F4">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调查时间</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7ED73E46">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春季□；夏季□；秋季</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；冬季□</w:t>
            </w:r>
          </w:p>
          <w:p w14:paraId="4BE0870A">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lang w:eastAsia="zh-CN"/>
              </w:rPr>
            </w:pPr>
            <w:r>
              <w:rPr>
                <w:rFonts w:hint="eastAsia" w:ascii="宋体" w:hAnsi="宋体" w:eastAsia="宋体" w:cs="宋体"/>
                <w:color w:val="000000" w:themeColor="text1"/>
                <w:spacing w:val="0"/>
                <w:position w:val="0"/>
                <w:sz w:val="21"/>
                <w:szCs w:val="21"/>
                <w:highlight w:val="none"/>
                <w:u w:val="none"/>
              </w:rPr>
              <w:t>丰水期□；枯水期□；平水期</w:t>
            </w:r>
            <w:r>
              <w:rPr>
                <w:rFonts w:hint="eastAsia" w:ascii="宋体" w:hAnsi="宋体" w:cs="宋体"/>
                <w:color w:val="000000" w:themeColor="text1"/>
                <w:spacing w:val="0"/>
                <w:position w:val="0"/>
                <w:sz w:val="21"/>
                <w:szCs w:val="21"/>
                <w:highlight w:val="none"/>
                <w:u w:val="none"/>
                <w:lang w:eastAsia="zh-CN"/>
              </w:rPr>
              <w:t>☑</w:t>
            </w:r>
          </w:p>
        </w:tc>
      </w:tr>
      <w:tr w14:paraId="51D6A26A">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638613F">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EF51CD8">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所在区域的</w:t>
            </w:r>
          </w:p>
          <w:p w14:paraId="0D912D7A">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生态问题</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179529A">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水土流失</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；沙漠化□；石漠化□；盐渍化□；生物入侵□；污染危害□；其他□</w:t>
            </w:r>
          </w:p>
        </w:tc>
      </w:tr>
      <w:tr w14:paraId="25041B0F">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407BE28D">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56950298">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评价内容</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9AE9C5F">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植被/植物群落</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；土地利用</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；生态系统</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；生物多样性</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；重要物种□；生态敏感区□；其他□</w:t>
            </w:r>
          </w:p>
        </w:tc>
      </w:tr>
      <w:tr w14:paraId="0D4EDA8A">
        <w:tblPrEx>
          <w:tblCellMar>
            <w:top w:w="0" w:type="dxa"/>
            <w:left w:w="108" w:type="dxa"/>
            <w:bottom w:w="0" w:type="dxa"/>
            <w:right w:w="108" w:type="dxa"/>
          </w:tblCellMar>
        </w:tblPrEx>
        <w:trPr>
          <w:trHeight w:val="249" w:hRule="atLeast"/>
        </w:trPr>
        <w:tc>
          <w:tcPr>
            <w:tcW w:w="999" w:type="dxa"/>
            <w:vMerge w:val="restart"/>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5E51A487">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生态影响</w:t>
            </w:r>
          </w:p>
          <w:p w14:paraId="51EDD37B">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预测与</w:t>
            </w:r>
          </w:p>
          <w:p w14:paraId="213F056D">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w:t>
            </w: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75F69DE7">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评价方法</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3FEE0A98">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定性</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；定性和定量□</w:t>
            </w:r>
          </w:p>
        </w:tc>
      </w:tr>
      <w:tr w14:paraId="64A196B0">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8DA293A">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77D81008">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评价内容</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712A48A1">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植被/植物群落</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；土地利用</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；生态系统</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；生物多样性</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；重要物种□；生态敏感区□；生物入侵风险</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；其他□</w:t>
            </w:r>
          </w:p>
        </w:tc>
      </w:tr>
      <w:tr w14:paraId="6D417E70">
        <w:tblPrEx>
          <w:tblCellMar>
            <w:top w:w="0" w:type="dxa"/>
            <w:left w:w="108" w:type="dxa"/>
            <w:bottom w:w="0" w:type="dxa"/>
            <w:right w:w="108" w:type="dxa"/>
          </w:tblCellMar>
        </w:tblPrEx>
        <w:trPr>
          <w:trHeight w:val="249" w:hRule="atLeast"/>
        </w:trPr>
        <w:tc>
          <w:tcPr>
            <w:tcW w:w="999" w:type="dxa"/>
            <w:vMerge w:val="restart"/>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6751F39">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生态保护</w:t>
            </w:r>
          </w:p>
          <w:p w14:paraId="4F02CB65">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对策措施</w:t>
            </w: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0B5DD03">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对策措施</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F48D3F6">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避让□；减缓</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；生态修复</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；生态补偿</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；科研□；其他□</w:t>
            </w:r>
          </w:p>
        </w:tc>
      </w:tr>
      <w:tr w14:paraId="1646E822">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322C621">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404E0F0F">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生态监测计划</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BE99618">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全生命周期□；长期跟踪□；常规</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；无□</w:t>
            </w:r>
          </w:p>
        </w:tc>
      </w:tr>
      <w:tr w14:paraId="47B99B88">
        <w:tblPrEx>
          <w:tblCellMar>
            <w:top w:w="0" w:type="dxa"/>
            <w:left w:w="108" w:type="dxa"/>
            <w:bottom w:w="0" w:type="dxa"/>
            <w:right w:w="108" w:type="dxa"/>
          </w:tblCellMar>
        </w:tblPrEx>
        <w:trPr>
          <w:trHeight w:val="249" w:hRule="atLeast"/>
        </w:trPr>
        <w:tc>
          <w:tcPr>
            <w:tcW w:w="999" w:type="dxa"/>
            <w:vMerge w:val="continue"/>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BBA4860">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6CC8BB4B">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环境管理</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15BCE63">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环境监理</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；环境影响后评价□；其他□</w:t>
            </w:r>
          </w:p>
        </w:tc>
      </w:tr>
      <w:tr w14:paraId="6E32C07F">
        <w:tblPrEx>
          <w:tblCellMar>
            <w:top w:w="0" w:type="dxa"/>
            <w:left w:w="108" w:type="dxa"/>
            <w:bottom w:w="0" w:type="dxa"/>
            <w:right w:w="108" w:type="dxa"/>
          </w:tblCellMar>
        </w:tblPrEx>
        <w:trPr>
          <w:trHeight w:val="249" w:hRule="atLeast"/>
        </w:trPr>
        <w:tc>
          <w:tcPr>
            <w:tcW w:w="999"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4896794">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评价结论</w:t>
            </w:r>
          </w:p>
        </w:tc>
        <w:tc>
          <w:tcPr>
            <w:tcW w:w="1417"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1703320B">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生态影响</w:t>
            </w:r>
          </w:p>
        </w:tc>
        <w:tc>
          <w:tcPr>
            <w:tcW w:w="5898" w:type="dxa"/>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2F46A63C">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可行</w:t>
            </w:r>
            <w:r>
              <w:rPr>
                <w:rFonts w:hint="eastAsia" w:ascii="宋体" w:hAnsi="宋体" w:eastAsia="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；不可行□</w:t>
            </w:r>
          </w:p>
        </w:tc>
      </w:tr>
      <w:tr w14:paraId="7F2D1B21">
        <w:tblPrEx>
          <w:tblCellMar>
            <w:top w:w="0" w:type="dxa"/>
            <w:left w:w="108" w:type="dxa"/>
            <w:bottom w:w="0" w:type="dxa"/>
            <w:right w:w="108" w:type="dxa"/>
          </w:tblCellMar>
        </w:tblPrEx>
        <w:trPr>
          <w:trHeight w:val="249" w:hRule="atLeast"/>
        </w:trPr>
        <w:tc>
          <w:tcPr>
            <w:tcW w:w="8314" w:type="dxa"/>
            <w:gridSpan w:val="3"/>
            <w:tcBorders>
              <w:top w:val="single" w:color="000000" w:sz="6" w:space="0"/>
              <w:left w:val="single" w:color="000000" w:sz="6" w:space="0"/>
              <w:bottom w:val="single" w:color="000000" w:sz="6" w:space="0"/>
              <w:right w:val="single" w:color="000000" w:sz="6" w:space="0"/>
            </w:tcBorders>
            <w:noWrap w:val="0"/>
            <w:tcMar>
              <w:left w:w="0" w:type="dxa"/>
              <w:right w:w="0" w:type="dxa"/>
            </w:tcMar>
            <w:vAlign w:val="top"/>
          </w:tcPr>
          <w:p w14:paraId="47906B5C">
            <w:pPr>
              <w:keepNext w:val="0"/>
              <w:keepLines w:val="0"/>
              <w:pageBreakBefore w:val="0"/>
              <w:widowControl w:val="0"/>
              <w:kinsoku/>
              <w:wordWrap/>
              <w:overflowPunct/>
              <w:topLinePunct w:val="0"/>
              <w:autoSpaceDE/>
              <w:autoSpaceDN/>
              <w:bidi w:val="0"/>
              <w:adjustRightInd/>
              <w:snapToGrid/>
              <w:spacing w:before="0" w:after="0" w:line="240" w:lineRule="auto"/>
              <w:ind w:left="0" w:firstLine="0" w:firstLineChars="0"/>
              <w:textAlignment w:val="auto"/>
              <w:rPr>
                <w:rFonts w:hint="eastAsia" w:ascii="宋体" w:hAnsi="宋体" w:eastAsia="宋体" w:cs="宋体"/>
                <w:color w:val="000000" w:themeColor="text1"/>
                <w:spacing w:val="0"/>
                <w:position w:val="0"/>
                <w:sz w:val="21"/>
                <w:szCs w:val="21"/>
                <w:highlight w:val="none"/>
                <w:u w:val="none"/>
              </w:rPr>
            </w:pPr>
            <w:r>
              <w:rPr>
                <w:rFonts w:hint="eastAsia" w:ascii="宋体" w:hAnsi="宋体" w:eastAsia="宋体" w:cs="宋体"/>
                <w:color w:val="000000" w:themeColor="text1"/>
                <w:spacing w:val="0"/>
                <w:position w:val="0"/>
                <w:sz w:val="21"/>
                <w:szCs w:val="21"/>
                <w:highlight w:val="none"/>
                <w:u w:val="none"/>
              </w:rPr>
              <w:t>注：</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为勾选项，可√；</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eastAsia="宋体" w:cs="宋体"/>
                <w:color w:val="000000" w:themeColor="text1"/>
                <w:spacing w:val="0"/>
                <w:position w:val="0"/>
                <w:sz w:val="21"/>
                <w:szCs w:val="21"/>
                <w:highlight w:val="none"/>
                <w:u w:val="none"/>
                <w:lang w:val="en-US" w:eastAsia="zh-CN"/>
              </w:rPr>
              <w:t xml:space="preserve">  </w:t>
            </w:r>
            <w:r>
              <w:rPr>
                <w:rFonts w:hint="eastAsia" w:ascii="宋体" w:hAnsi="宋体" w:eastAsia="宋体" w:cs="宋体"/>
                <w:color w:val="000000" w:themeColor="text1"/>
                <w:spacing w:val="0"/>
                <w:position w:val="0"/>
                <w:sz w:val="21"/>
                <w:szCs w:val="21"/>
                <w:highlight w:val="none"/>
                <w:u w:val="none"/>
              </w:rPr>
              <w:t>）</w:t>
            </w:r>
            <w:r>
              <w:rPr>
                <w:rFonts w:hint="eastAsia" w:ascii="宋体" w:hAnsi="宋体" w:cs="宋体"/>
                <w:color w:val="000000" w:themeColor="text1"/>
                <w:spacing w:val="0"/>
                <w:position w:val="0"/>
                <w:sz w:val="21"/>
                <w:szCs w:val="21"/>
                <w:highlight w:val="none"/>
                <w:u w:val="none"/>
                <w:lang w:eastAsia="zh-CN"/>
              </w:rPr>
              <w:t>”</w:t>
            </w:r>
            <w:r>
              <w:rPr>
                <w:rFonts w:hint="eastAsia" w:ascii="宋体" w:hAnsi="宋体" w:eastAsia="宋体" w:cs="宋体"/>
                <w:color w:val="000000" w:themeColor="text1"/>
                <w:spacing w:val="0"/>
                <w:position w:val="0"/>
                <w:sz w:val="21"/>
                <w:szCs w:val="21"/>
                <w:highlight w:val="none"/>
                <w:u w:val="none"/>
              </w:rPr>
              <w:t>为内容填写项。</w:t>
            </w:r>
          </w:p>
        </w:tc>
      </w:tr>
    </w:tbl>
    <w:p w14:paraId="6D24BDDC">
      <w:pPr>
        <w:adjustRightInd w:val="0"/>
        <w:snapToGrid w:val="0"/>
        <w:jc w:val="center"/>
        <w:rPr>
          <w:rFonts w:hint="eastAsia"/>
          <w:b/>
          <w:bCs w:val="0"/>
          <w:color w:val="000000" w:themeColor="text1"/>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6AD29E18">
      <w:pPr>
        <w:adjustRightInd w:val="0"/>
        <w:snapToGrid w:val="0"/>
        <w:jc w:val="center"/>
        <w:rPr>
          <w:b/>
          <w:bCs w:val="0"/>
          <w:color w:val="000000" w:themeColor="text1"/>
          <w:highlight w:val="none"/>
        </w:rPr>
      </w:pPr>
      <w:r>
        <w:rPr>
          <w:rFonts w:hint="eastAsia"/>
          <w:b/>
          <w:bCs w:val="0"/>
          <w:color w:val="000000" w:themeColor="text1"/>
          <w:highlight w:val="none"/>
          <w:lang w:val="en-US" w:eastAsia="zh-CN"/>
        </w:rPr>
        <w:t xml:space="preserve">附表5  </w:t>
      </w:r>
      <w:r>
        <w:rPr>
          <w:b/>
          <w:bCs w:val="0"/>
          <w:color w:val="000000" w:themeColor="text1"/>
          <w:highlight w:val="none"/>
        </w:rPr>
        <w:t>风险评价自查表</w:t>
      </w:r>
    </w:p>
    <w:tbl>
      <w:tblPr>
        <w:tblStyle w:val="33"/>
        <w:tblW w:w="8516" w:type="dxa"/>
        <w:jc w:val="center"/>
        <w:tblLayout w:type="fixed"/>
        <w:tblCellMar>
          <w:top w:w="0" w:type="dxa"/>
          <w:left w:w="108" w:type="dxa"/>
          <w:bottom w:w="0" w:type="dxa"/>
          <w:right w:w="108" w:type="dxa"/>
        </w:tblCellMar>
      </w:tblPr>
      <w:tblGrid>
        <w:gridCol w:w="473"/>
        <w:gridCol w:w="1420"/>
        <w:gridCol w:w="1025"/>
        <w:gridCol w:w="591"/>
        <w:gridCol w:w="315"/>
        <w:gridCol w:w="192"/>
        <w:gridCol w:w="325"/>
        <w:gridCol w:w="199"/>
        <w:gridCol w:w="106"/>
        <w:gridCol w:w="111"/>
        <w:gridCol w:w="225"/>
        <w:gridCol w:w="218"/>
        <w:gridCol w:w="187"/>
        <w:gridCol w:w="475"/>
        <w:gridCol w:w="143"/>
        <w:gridCol w:w="417"/>
        <w:gridCol w:w="99"/>
        <w:gridCol w:w="221"/>
        <w:gridCol w:w="206"/>
        <w:gridCol w:w="235"/>
        <w:gridCol w:w="71"/>
        <w:gridCol w:w="590"/>
        <w:gridCol w:w="672"/>
      </w:tblGrid>
      <w:tr w14:paraId="5E55144F">
        <w:tblPrEx>
          <w:tblCellMar>
            <w:top w:w="0" w:type="dxa"/>
            <w:left w:w="108" w:type="dxa"/>
            <w:bottom w:w="0" w:type="dxa"/>
            <w:right w:w="108" w:type="dxa"/>
          </w:tblCellMar>
        </w:tblPrEx>
        <w:trPr>
          <w:trHeight w:val="397" w:hRule="atLeast"/>
          <w:jc w:val="center"/>
        </w:trPr>
        <w:tc>
          <w:tcPr>
            <w:tcW w:w="1893" w:type="dxa"/>
            <w:gridSpan w:val="2"/>
            <w:tcBorders>
              <w:top w:val="single" w:color="auto" w:sz="4" w:space="0"/>
              <w:left w:val="single" w:color="auto" w:sz="4" w:space="0"/>
              <w:bottom w:val="single" w:color="auto" w:sz="4" w:space="0"/>
              <w:right w:val="single" w:color="auto" w:sz="4" w:space="0"/>
            </w:tcBorders>
            <w:vAlign w:val="center"/>
          </w:tcPr>
          <w:p w14:paraId="419436E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工作内容</w:t>
            </w:r>
          </w:p>
        </w:tc>
        <w:tc>
          <w:tcPr>
            <w:tcW w:w="6623" w:type="dxa"/>
            <w:gridSpan w:val="21"/>
            <w:tcBorders>
              <w:top w:val="single" w:color="auto" w:sz="4" w:space="0"/>
              <w:left w:val="nil"/>
              <w:bottom w:val="single" w:color="auto" w:sz="4" w:space="0"/>
              <w:right w:val="single" w:color="auto" w:sz="4" w:space="0"/>
            </w:tcBorders>
            <w:vAlign w:val="center"/>
          </w:tcPr>
          <w:p w14:paraId="53C835B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完成情况</w:t>
            </w:r>
          </w:p>
        </w:tc>
      </w:tr>
      <w:tr w14:paraId="4E515543">
        <w:tblPrEx>
          <w:tblCellMar>
            <w:top w:w="0" w:type="dxa"/>
            <w:left w:w="108" w:type="dxa"/>
            <w:bottom w:w="0" w:type="dxa"/>
            <w:right w:w="108" w:type="dxa"/>
          </w:tblCellMar>
        </w:tblPrEx>
        <w:trPr>
          <w:trHeight w:val="292" w:hRule="atLeast"/>
          <w:jc w:val="center"/>
        </w:trPr>
        <w:tc>
          <w:tcPr>
            <w:tcW w:w="473" w:type="dxa"/>
            <w:vMerge w:val="restart"/>
            <w:tcBorders>
              <w:top w:val="nil"/>
              <w:left w:val="single" w:color="auto" w:sz="4" w:space="0"/>
              <w:bottom w:val="single" w:color="auto" w:sz="4" w:space="0"/>
              <w:right w:val="single" w:color="auto" w:sz="4" w:space="0"/>
            </w:tcBorders>
            <w:vAlign w:val="center"/>
          </w:tcPr>
          <w:p w14:paraId="1881A70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风</w:t>
            </w:r>
          </w:p>
          <w:p w14:paraId="6AA8DC2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险</w:t>
            </w:r>
          </w:p>
          <w:p w14:paraId="77FD4A4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调</w:t>
            </w:r>
          </w:p>
          <w:p w14:paraId="60194C3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查</w:t>
            </w:r>
          </w:p>
        </w:tc>
        <w:tc>
          <w:tcPr>
            <w:tcW w:w="1420" w:type="dxa"/>
            <w:vMerge w:val="restart"/>
            <w:tcBorders>
              <w:top w:val="nil"/>
              <w:left w:val="nil"/>
              <w:bottom w:val="single" w:color="auto" w:sz="4" w:space="0"/>
              <w:right w:val="single" w:color="auto" w:sz="4" w:space="0"/>
            </w:tcBorders>
            <w:vAlign w:val="center"/>
          </w:tcPr>
          <w:p w14:paraId="4674FA8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危险物质</w:t>
            </w:r>
          </w:p>
        </w:tc>
        <w:tc>
          <w:tcPr>
            <w:tcW w:w="1025" w:type="dxa"/>
            <w:tcBorders>
              <w:top w:val="single" w:color="auto" w:sz="4" w:space="0"/>
              <w:left w:val="nil"/>
              <w:bottom w:val="single" w:color="auto" w:sz="4" w:space="0"/>
              <w:right w:val="single" w:color="auto" w:sz="4" w:space="0"/>
            </w:tcBorders>
            <w:vAlign w:val="center"/>
          </w:tcPr>
          <w:p w14:paraId="7788950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名称</w:t>
            </w:r>
          </w:p>
        </w:tc>
        <w:tc>
          <w:tcPr>
            <w:tcW w:w="1098" w:type="dxa"/>
            <w:gridSpan w:val="3"/>
            <w:tcBorders>
              <w:top w:val="single" w:color="auto" w:sz="4" w:space="0"/>
              <w:left w:val="nil"/>
              <w:bottom w:val="single" w:color="auto" w:sz="4" w:space="0"/>
              <w:right w:val="single" w:color="auto" w:sz="4" w:space="0"/>
            </w:tcBorders>
            <w:vAlign w:val="center"/>
          </w:tcPr>
          <w:p w14:paraId="4B64F43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30" w:type="dxa"/>
            <w:gridSpan w:val="3"/>
            <w:tcBorders>
              <w:top w:val="single" w:color="auto" w:sz="4" w:space="0"/>
              <w:left w:val="nil"/>
              <w:bottom w:val="single" w:color="auto" w:sz="4" w:space="0"/>
              <w:right w:val="single" w:color="auto" w:sz="4" w:space="0"/>
            </w:tcBorders>
            <w:vAlign w:val="center"/>
          </w:tcPr>
          <w:p w14:paraId="2203B25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554" w:type="dxa"/>
            <w:gridSpan w:val="3"/>
            <w:tcBorders>
              <w:top w:val="single" w:color="auto" w:sz="4" w:space="0"/>
              <w:left w:val="nil"/>
              <w:bottom w:val="single" w:color="auto" w:sz="4" w:space="0"/>
              <w:right w:val="single" w:color="auto" w:sz="4" w:space="0"/>
            </w:tcBorders>
            <w:vAlign w:val="center"/>
          </w:tcPr>
          <w:p w14:paraId="336AB72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62" w:type="dxa"/>
            <w:gridSpan w:val="2"/>
            <w:tcBorders>
              <w:top w:val="single" w:color="auto" w:sz="4" w:space="0"/>
              <w:left w:val="nil"/>
              <w:bottom w:val="single" w:color="auto" w:sz="4" w:space="0"/>
              <w:right w:val="single" w:color="auto" w:sz="4" w:space="0"/>
            </w:tcBorders>
            <w:vAlign w:val="center"/>
          </w:tcPr>
          <w:p w14:paraId="5185079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59" w:type="dxa"/>
            <w:gridSpan w:val="3"/>
            <w:tcBorders>
              <w:top w:val="single" w:color="auto" w:sz="4" w:space="0"/>
              <w:left w:val="nil"/>
              <w:bottom w:val="single" w:color="auto" w:sz="4" w:space="0"/>
              <w:right w:val="single" w:color="auto" w:sz="4" w:space="0"/>
            </w:tcBorders>
            <w:vAlign w:val="center"/>
          </w:tcPr>
          <w:p w14:paraId="165E627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62" w:type="dxa"/>
            <w:gridSpan w:val="3"/>
            <w:tcBorders>
              <w:top w:val="single" w:color="auto" w:sz="4" w:space="0"/>
              <w:left w:val="nil"/>
              <w:bottom w:val="single" w:color="auto" w:sz="4" w:space="0"/>
              <w:right w:val="single" w:color="auto" w:sz="4" w:space="0"/>
            </w:tcBorders>
            <w:vAlign w:val="center"/>
          </w:tcPr>
          <w:p w14:paraId="72DFED6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61" w:type="dxa"/>
            <w:gridSpan w:val="2"/>
            <w:tcBorders>
              <w:top w:val="single" w:color="auto" w:sz="4" w:space="0"/>
              <w:left w:val="nil"/>
              <w:bottom w:val="single" w:color="auto" w:sz="4" w:space="0"/>
              <w:right w:val="single" w:color="auto" w:sz="4" w:space="0"/>
            </w:tcBorders>
            <w:vAlign w:val="center"/>
          </w:tcPr>
          <w:p w14:paraId="1C05C81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72" w:type="dxa"/>
            <w:tcBorders>
              <w:top w:val="single" w:color="auto" w:sz="4" w:space="0"/>
              <w:left w:val="nil"/>
              <w:bottom w:val="single" w:color="auto" w:sz="4" w:space="0"/>
              <w:right w:val="single" w:color="auto" w:sz="4" w:space="0"/>
            </w:tcBorders>
            <w:vAlign w:val="center"/>
          </w:tcPr>
          <w:p w14:paraId="475E627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r>
      <w:tr w14:paraId="453F11A9">
        <w:tblPrEx>
          <w:tblCellMar>
            <w:top w:w="0" w:type="dxa"/>
            <w:left w:w="108" w:type="dxa"/>
            <w:bottom w:w="0" w:type="dxa"/>
            <w:right w:w="108" w:type="dxa"/>
          </w:tblCellMar>
        </w:tblPrEx>
        <w:trPr>
          <w:trHeight w:val="21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6261D84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7633634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tcBorders>
              <w:top w:val="single" w:color="auto" w:sz="4" w:space="0"/>
              <w:left w:val="nil"/>
              <w:bottom w:val="single" w:color="auto" w:sz="4" w:space="0"/>
              <w:right w:val="single" w:color="auto" w:sz="4" w:space="0"/>
            </w:tcBorders>
            <w:vAlign w:val="center"/>
          </w:tcPr>
          <w:p w14:paraId="1D764D6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存在总量/t</w:t>
            </w:r>
          </w:p>
        </w:tc>
        <w:tc>
          <w:tcPr>
            <w:tcW w:w="1098" w:type="dxa"/>
            <w:gridSpan w:val="3"/>
            <w:tcBorders>
              <w:top w:val="single" w:color="auto" w:sz="4" w:space="0"/>
              <w:left w:val="nil"/>
              <w:bottom w:val="single" w:color="auto" w:sz="4" w:space="0"/>
              <w:right w:val="single" w:color="auto" w:sz="4" w:space="0"/>
            </w:tcBorders>
            <w:vAlign w:val="center"/>
          </w:tcPr>
          <w:p w14:paraId="558C8E0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30" w:type="dxa"/>
            <w:gridSpan w:val="3"/>
            <w:tcBorders>
              <w:top w:val="single" w:color="auto" w:sz="4" w:space="0"/>
              <w:left w:val="nil"/>
              <w:bottom w:val="single" w:color="auto" w:sz="4" w:space="0"/>
              <w:right w:val="single" w:color="auto" w:sz="4" w:space="0"/>
            </w:tcBorders>
            <w:vAlign w:val="center"/>
          </w:tcPr>
          <w:p w14:paraId="647EBD3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554" w:type="dxa"/>
            <w:gridSpan w:val="3"/>
            <w:tcBorders>
              <w:top w:val="single" w:color="auto" w:sz="4" w:space="0"/>
              <w:left w:val="nil"/>
              <w:bottom w:val="single" w:color="auto" w:sz="4" w:space="0"/>
              <w:right w:val="single" w:color="auto" w:sz="4" w:space="0"/>
            </w:tcBorders>
            <w:vAlign w:val="center"/>
          </w:tcPr>
          <w:p w14:paraId="370B193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62" w:type="dxa"/>
            <w:gridSpan w:val="2"/>
            <w:tcBorders>
              <w:top w:val="single" w:color="auto" w:sz="4" w:space="0"/>
              <w:left w:val="nil"/>
              <w:bottom w:val="single" w:color="auto" w:sz="4" w:space="0"/>
              <w:right w:val="single" w:color="auto" w:sz="4" w:space="0"/>
            </w:tcBorders>
            <w:vAlign w:val="center"/>
          </w:tcPr>
          <w:p w14:paraId="00C4B88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59" w:type="dxa"/>
            <w:gridSpan w:val="3"/>
            <w:tcBorders>
              <w:top w:val="single" w:color="auto" w:sz="4" w:space="0"/>
              <w:left w:val="nil"/>
              <w:bottom w:val="single" w:color="auto" w:sz="4" w:space="0"/>
              <w:right w:val="single" w:color="auto" w:sz="4" w:space="0"/>
            </w:tcBorders>
            <w:vAlign w:val="center"/>
          </w:tcPr>
          <w:p w14:paraId="6C8FBD0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62" w:type="dxa"/>
            <w:gridSpan w:val="3"/>
            <w:tcBorders>
              <w:top w:val="single" w:color="auto" w:sz="4" w:space="0"/>
              <w:left w:val="nil"/>
              <w:bottom w:val="single" w:color="auto" w:sz="4" w:space="0"/>
              <w:right w:val="single" w:color="auto" w:sz="4" w:space="0"/>
            </w:tcBorders>
            <w:vAlign w:val="center"/>
          </w:tcPr>
          <w:p w14:paraId="6356952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61" w:type="dxa"/>
            <w:gridSpan w:val="2"/>
            <w:tcBorders>
              <w:top w:val="single" w:color="auto" w:sz="4" w:space="0"/>
              <w:left w:val="nil"/>
              <w:bottom w:val="single" w:color="auto" w:sz="4" w:space="0"/>
              <w:right w:val="single" w:color="auto" w:sz="4" w:space="0"/>
            </w:tcBorders>
            <w:vAlign w:val="center"/>
          </w:tcPr>
          <w:p w14:paraId="0289638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c>
          <w:tcPr>
            <w:tcW w:w="672" w:type="dxa"/>
            <w:tcBorders>
              <w:top w:val="single" w:color="auto" w:sz="4" w:space="0"/>
              <w:left w:val="nil"/>
              <w:bottom w:val="single" w:color="auto" w:sz="4" w:space="0"/>
              <w:right w:val="single" w:color="auto" w:sz="4" w:space="0"/>
            </w:tcBorders>
            <w:vAlign w:val="center"/>
          </w:tcPr>
          <w:p w14:paraId="255BB3C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p>
        </w:tc>
      </w:tr>
      <w:tr w14:paraId="2E575DE4">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02CD975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restart"/>
            <w:tcBorders>
              <w:top w:val="nil"/>
              <w:left w:val="nil"/>
              <w:bottom w:val="single" w:color="auto" w:sz="4" w:space="0"/>
              <w:right w:val="single" w:color="auto" w:sz="4" w:space="0"/>
            </w:tcBorders>
            <w:vAlign w:val="center"/>
          </w:tcPr>
          <w:p w14:paraId="2579456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环境敏感性</w:t>
            </w:r>
          </w:p>
        </w:tc>
        <w:tc>
          <w:tcPr>
            <w:tcW w:w="1025" w:type="dxa"/>
            <w:vMerge w:val="restart"/>
            <w:tcBorders>
              <w:top w:val="nil"/>
              <w:left w:val="nil"/>
              <w:bottom w:val="single" w:color="auto" w:sz="4" w:space="0"/>
              <w:right w:val="single" w:color="auto" w:sz="4" w:space="0"/>
            </w:tcBorders>
            <w:vAlign w:val="center"/>
          </w:tcPr>
          <w:p w14:paraId="5E68A47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w:t>
            </w:r>
          </w:p>
        </w:tc>
        <w:tc>
          <w:tcPr>
            <w:tcW w:w="2944" w:type="dxa"/>
            <w:gridSpan w:val="11"/>
            <w:tcBorders>
              <w:top w:val="single" w:color="auto" w:sz="4" w:space="0"/>
              <w:left w:val="nil"/>
              <w:bottom w:val="single" w:color="auto" w:sz="4" w:space="0"/>
              <w:right w:val="single" w:color="auto" w:sz="4" w:space="0"/>
            </w:tcBorders>
            <w:vAlign w:val="center"/>
          </w:tcPr>
          <w:p w14:paraId="768908D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500m范围内人口数</w:t>
            </w:r>
            <w:r>
              <w:rPr>
                <w:color w:val="000000" w:themeColor="text1"/>
                <w:sz w:val="21"/>
                <w:szCs w:val="21"/>
                <w:highlight w:val="none"/>
                <w:u w:val="single"/>
              </w:rPr>
              <w:t xml:space="preserve">   </w:t>
            </w:r>
            <w:r>
              <w:rPr>
                <w:color w:val="000000" w:themeColor="text1"/>
                <w:sz w:val="21"/>
                <w:szCs w:val="21"/>
                <w:highlight w:val="none"/>
              </w:rPr>
              <w:t>人</w:t>
            </w:r>
          </w:p>
        </w:tc>
        <w:tc>
          <w:tcPr>
            <w:tcW w:w="2654" w:type="dxa"/>
            <w:gridSpan w:val="9"/>
            <w:tcBorders>
              <w:top w:val="single" w:color="auto" w:sz="4" w:space="0"/>
              <w:left w:val="nil"/>
              <w:bottom w:val="single" w:color="auto" w:sz="4" w:space="0"/>
              <w:right w:val="single" w:color="auto" w:sz="4" w:space="0"/>
            </w:tcBorders>
            <w:vAlign w:val="center"/>
          </w:tcPr>
          <w:p w14:paraId="1630676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5km范围内人口数</w:t>
            </w:r>
            <w:r>
              <w:rPr>
                <w:color w:val="000000" w:themeColor="text1"/>
                <w:sz w:val="21"/>
                <w:szCs w:val="21"/>
                <w:highlight w:val="none"/>
                <w:u w:val="single"/>
              </w:rPr>
              <w:t xml:space="preserve">   </w:t>
            </w:r>
            <w:r>
              <w:rPr>
                <w:color w:val="000000" w:themeColor="text1"/>
                <w:sz w:val="21"/>
                <w:szCs w:val="21"/>
                <w:highlight w:val="none"/>
              </w:rPr>
              <w:t>人</w:t>
            </w:r>
          </w:p>
        </w:tc>
      </w:tr>
      <w:tr w14:paraId="79F6D46F">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7036FBAC">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011A6AF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vMerge w:val="continue"/>
            <w:tcBorders>
              <w:top w:val="nil"/>
              <w:left w:val="nil"/>
              <w:bottom w:val="single" w:color="auto" w:sz="4" w:space="0"/>
              <w:right w:val="single" w:color="auto" w:sz="4" w:space="0"/>
            </w:tcBorders>
            <w:vAlign w:val="center"/>
          </w:tcPr>
          <w:p w14:paraId="168ED7B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4265" w:type="dxa"/>
            <w:gridSpan w:val="17"/>
            <w:tcBorders>
              <w:top w:val="single" w:color="auto" w:sz="4" w:space="0"/>
              <w:left w:val="nil"/>
              <w:bottom w:val="single" w:color="auto" w:sz="4" w:space="0"/>
              <w:right w:val="single" w:color="auto" w:sz="4" w:space="0"/>
            </w:tcBorders>
            <w:vAlign w:val="center"/>
          </w:tcPr>
          <w:p w14:paraId="5948C33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每公里管段周边200m范围内人口数（最大）</w:t>
            </w:r>
          </w:p>
        </w:tc>
        <w:tc>
          <w:tcPr>
            <w:tcW w:w="1333" w:type="dxa"/>
            <w:gridSpan w:val="3"/>
            <w:tcBorders>
              <w:top w:val="single" w:color="auto" w:sz="4" w:space="0"/>
              <w:left w:val="nil"/>
              <w:bottom w:val="single" w:color="auto" w:sz="4" w:space="0"/>
              <w:right w:val="single" w:color="auto" w:sz="4" w:space="0"/>
            </w:tcBorders>
            <w:vAlign w:val="center"/>
          </w:tcPr>
          <w:p w14:paraId="17E73A5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u w:val="single"/>
              </w:rPr>
              <w:t xml:space="preserve">      </w:t>
            </w:r>
            <w:r>
              <w:rPr>
                <w:color w:val="000000" w:themeColor="text1"/>
                <w:sz w:val="21"/>
                <w:szCs w:val="21"/>
                <w:highlight w:val="none"/>
              </w:rPr>
              <w:t>人</w:t>
            </w:r>
          </w:p>
        </w:tc>
      </w:tr>
      <w:tr w14:paraId="0D6937FA">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5C96F4C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091C209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vMerge w:val="restart"/>
            <w:tcBorders>
              <w:top w:val="nil"/>
              <w:left w:val="nil"/>
              <w:bottom w:val="single" w:color="auto" w:sz="4" w:space="0"/>
              <w:right w:val="single" w:color="auto" w:sz="4" w:space="0"/>
            </w:tcBorders>
            <w:vAlign w:val="center"/>
          </w:tcPr>
          <w:p w14:paraId="3187584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地表水</w:t>
            </w:r>
          </w:p>
        </w:tc>
        <w:tc>
          <w:tcPr>
            <w:tcW w:w="1622" w:type="dxa"/>
            <w:gridSpan w:val="5"/>
            <w:tcBorders>
              <w:top w:val="single" w:color="auto" w:sz="4" w:space="0"/>
              <w:left w:val="nil"/>
              <w:bottom w:val="single" w:color="auto" w:sz="4" w:space="0"/>
              <w:right w:val="single" w:color="auto" w:sz="4" w:space="0"/>
            </w:tcBorders>
            <w:vAlign w:val="center"/>
          </w:tcPr>
          <w:p w14:paraId="3D37D4E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地表水功能敏感性</w:t>
            </w:r>
          </w:p>
        </w:tc>
        <w:tc>
          <w:tcPr>
            <w:tcW w:w="1322" w:type="dxa"/>
            <w:gridSpan w:val="6"/>
            <w:tcBorders>
              <w:top w:val="single" w:color="auto" w:sz="4" w:space="0"/>
              <w:left w:val="nil"/>
              <w:bottom w:val="single" w:color="auto" w:sz="4" w:space="0"/>
              <w:right w:val="single" w:color="auto" w:sz="4" w:space="0"/>
            </w:tcBorders>
            <w:vAlign w:val="center"/>
          </w:tcPr>
          <w:p w14:paraId="29B9FA3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F1□</w:t>
            </w:r>
          </w:p>
        </w:tc>
        <w:tc>
          <w:tcPr>
            <w:tcW w:w="1321" w:type="dxa"/>
            <w:gridSpan w:val="6"/>
            <w:tcBorders>
              <w:top w:val="single" w:color="auto" w:sz="4" w:space="0"/>
              <w:left w:val="nil"/>
              <w:bottom w:val="single" w:color="auto" w:sz="4" w:space="0"/>
              <w:right w:val="single" w:color="auto" w:sz="4" w:space="0"/>
            </w:tcBorders>
            <w:vAlign w:val="center"/>
          </w:tcPr>
          <w:p w14:paraId="209E28C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F2□</w:t>
            </w:r>
          </w:p>
        </w:tc>
        <w:tc>
          <w:tcPr>
            <w:tcW w:w="1333" w:type="dxa"/>
            <w:gridSpan w:val="3"/>
            <w:tcBorders>
              <w:top w:val="single" w:color="auto" w:sz="4" w:space="0"/>
              <w:left w:val="nil"/>
              <w:bottom w:val="single" w:color="auto" w:sz="4" w:space="0"/>
              <w:right w:val="single" w:color="auto" w:sz="4" w:space="0"/>
            </w:tcBorders>
            <w:vAlign w:val="center"/>
          </w:tcPr>
          <w:p w14:paraId="0318AEF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F3□</w:t>
            </w:r>
          </w:p>
        </w:tc>
      </w:tr>
      <w:tr w14:paraId="7012C77A">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5B82D0B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51BBB29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vMerge w:val="continue"/>
            <w:tcBorders>
              <w:top w:val="nil"/>
              <w:left w:val="nil"/>
              <w:bottom w:val="single" w:color="auto" w:sz="4" w:space="0"/>
              <w:right w:val="single" w:color="auto" w:sz="4" w:space="0"/>
            </w:tcBorders>
            <w:vAlign w:val="center"/>
          </w:tcPr>
          <w:p w14:paraId="79D3252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622" w:type="dxa"/>
            <w:gridSpan w:val="5"/>
            <w:tcBorders>
              <w:top w:val="single" w:color="auto" w:sz="4" w:space="0"/>
              <w:left w:val="nil"/>
              <w:bottom w:val="single" w:color="auto" w:sz="4" w:space="0"/>
              <w:right w:val="single" w:color="auto" w:sz="4" w:space="0"/>
            </w:tcBorders>
            <w:vAlign w:val="center"/>
          </w:tcPr>
          <w:p w14:paraId="678F711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环境敏感目标分级</w:t>
            </w:r>
          </w:p>
        </w:tc>
        <w:tc>
          <w:tcPr>
            <w:tcW w:w="1322" w:type="dxa"/>
            <w:gridSpan w:val="6"/>
            <w:tcBorders>
              <w:top w:val="single" w:color="auto" w:sz="4" w:space="0"/>
              <w:left w:val="nil"/>
              <w:bottom w:val="single" w:color="auto" w:sz="4" w:space="0"/>
              <w:right w:val="single" w:color="auto" w:sz="4" w:space="0"/>
            </w:tcBorders>
            <w:vAlign w:val="center"/>
          </w:tcPr>
          <w:p w14:paraId="042793B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S1□</w:t>
            </w:r>
          </w:p>
        </w:tc>
        <w:tc>
          <w:tcPr>
            <w:tcW w:w="1321" w:type="dxa"/>
            <w:gridSpan w:val="6"/>
            <w:tcBorders>
              <w:top w:val="single" w:color="auto" w:sz="4" w:space="0"/>
              <w:left w:val="nil"/>
              <w:bottom w:val="single" w:color="auto" w:sz="4" w:space="0"/>
              <w:right w:val="single" w:color="auto" w:sz="4" w:space="0"/>
            </w:tcBorders>
            <w:vAlign w:val="center"/>
          </w:tcPr>
          <w:p w14:paraId="22A0F24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S2□</w:t>
            </w:r>
          </w:p>
        </w:tc>
        <w:tc>
          <w:tcPr>
            <w:tcW w:w="1333" w:type="dxa"/>
            <w:gridSpan w:val="3"/>
            <w:tcBorders>
              <w:top w:val="single" w:color="auto" w:sz="4" w:space="0"/>
              <w:left w:val="nil"/>
              <w:bottom w:val="single" w:color="auto" w:sz="4" w:space="0"/>
              <w:right w:val="single" w:color="auto" w:sz="4" w:space="0"/>
            </w:tcBorders>
            <w:vAlign w:val="center"/>
          </w:tcPr>
          <w:p w14:paraId="797DDEC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S3□</w:t>
            </w:r>
          </w:p>
        </w:tc>
      </w:tr>
      <w:tr w14:paraId="0B6B3D21">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013AB8E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710980D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vMerge w:val="restart"/>
            <w:tcBorders>
              <w:top w:val="nil"/>
              <w:left w:val="nil"/>
              <w:bottom w:val="single" w:color="auto" w:sz="4" w:space="0"/>
              <w:right w:val="single" w:color="auto" w:sz="4" w:space="0"/>
            </w:tcBorders>
            <w:vAlign w:val="center"/>
          </w:tcPr>
          <w:p w14:paraId="6624E92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地下水</w:t>
            </w:r>
          </w:p>
        </w:tc>
        <w:tc>
          <w:tcPr>
            <w:tcW w:w="1622" w:type="dxa"/>
            <w:gridSpan w:val="5"/>
            <w:tcBorders>
              <w:top w:val="single" w:color="auto" w:sz="4" w:space="0"/>
              <w:left w:val="nil"/>
              <w:bottom w:val="single" w:color="auto" w:sz="4" w:space="0"/>
              <w:right w:val="single" w:color="auto" w:sz="4" w:space="0"/>
            </w:tcBorders>
            <w:vAlign w:val="center"/>
          </w:tcPr>
          <w:p w14:paraId="4508039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地下水功能敏感性</w:t>
            </w:r>
          </w:p>
        </w:tc>
        <w:tc>
          <w:tcPr>
            <w:tcW w:w="1322" w:type="dxa"/>
            <w:gridSpan w:val="6"/>
            <w:tcBorders>
              <w:top w:val="single" w:color="auto" w:sz="4" w:space="0"/>
              <w:left w:val="nil"/>
              <w:bottom w:val="single" w:color="auto" w:sz="4" w:space="0"/>
              <w:right w:val="single" w:color="auto" w:sz="4" w:space="0"/>
            </w:tcBorders>
            <w:vAlign w:val="center"/>
          </w:tcPr>
          <w:p w14:paraId="44173B4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G1□</w:t>
            </w:r>
          </w:p>
        </w:tc>
        <w:tc>
          <w:tcPr>
            <w:tcW w:w="1321" w:type="dxa"/>
            <w:gridSpan w:val="6"/>
            <w:tcBorders>
              <w:top w:val="single" w:color="auto" w:sz="4" w:space="0"/>
              <w:left w:val="nil"/>
              <w:bottom w:val="single" w:color="auto" w:sz="4" w:space="0"/>
              <w:right w:val="single" w:color="auto" w:sz="4" w:space="0"/>
            </w:tcBorders>
            <w:vAlign w:val="center"/>
          </w:tcPr>
          <w:p w14:paraId="0D71468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G2□</w:t>
            </w:r>
          </w:p>
        </w:tc>
        <w:tc>
          <w:tcPr>
            <w:tcW w:w="1333" w:type="dxa"/>
            <w:gridSpan w:val="3"/>
            <w:tcBorders>
              <w:top w:val="single" w:color="auto" w:sz="4" w:space="0"/>
              <w:left w:val="nil"/>
              <w:bottom w:val="single" w:color="auto" w:sz="4" w:space="0"/>
              <w:right w:val="single" w:color="auto" w:sz="4" w:space="0"/>
            </w:tcBorders>
            <w:vAlign w:val="center"/>
          </w:tcPr>
          <w:p w14:paraId="27DAD72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G3□</w:t>
            </w:r>
          </w:p>
        </w:tc>
      </w:tr>
      <w:tr w14:paraId="2C1EE28E">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7BD91BE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4070083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vMerge w:val="continue"/>
            <w:tcBorders>
              <w:top w:val="nil"/>
              <w:left w:val="nil"/>
              <w:bottom w:val="single" w:color="auto" w:sz="4" w:space="0"/>
              <w:right w:val="single" w:color="auto" w:sz="4" w:space="0"/>
            </w:tcBorders>
            <w:vAlign w:val="center"/>
          </w:tcPr>
          <w:p w14:paraId="757F28C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622" w:type="dxa"/>
            <w:gridSpan w:val="5"/>
            <w:tcBorders>
              <w:top w:val="single" w:color="auto" w:sz="4" w:space="0"/>
              <w:left w:val="nil"/>
              <w:bottom w:val="single" w:color="auto" w:sz="4" w:space="0"/>
              <w:right w:val="single" w:color="auto" w:sz="4" w:space="0"/>
            </w:tcBorders>
            <w:vAlign w:val="center"/>
          </w:tcPr>
          <w:p w14:paraId="28AD65B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包气带防污性能</w:t>
            </w:r>
          </w:p>
        </w:tc>
        <w:tc>
          <w:tcPr>
            <w:tcW w:w="1322" w:type="dxa"/>
            <w:gridSpan w:val="6"/>
            <w:tcBorders>
              <w:top w:val="single" w:color="auto" w:sz="4" w:space="0"/>
              <w:left w:val="nil"/>
              <w:bottom w:val="single" w:color="auto" w:sz="4" w:space="0"/>
              <w:right w:val="single" w:color="auto" w:sz="4" w:space="0"/>
            </w:tcBorders>
            <w:vAlign w:val="center"/>
          </w:tcPr>
          <w:p w14:paraId="16946E8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D1□</w:t>
            </w:r>
          </w:p>
        </w:tc>
        <w:tc>
          <w:tcPr>
            <w:tcW w:w="1321" w:type="dxa"/>
            <w:gridSpan w:val="6"/>
            <w:tcBorders>
              <w:top w:val="single" w:color="auto" w:sz="4" w:space="0"/>
              <w:left w:val="nil"/>
              <w:bottom w:val="single" w:color="auto" w:sz="4" w:space="0"/>
              <w:right w:val="single" w:color="auto" w:sz="4" w:space="0"/>
            </w:tcBorders>
            <w:vAlign w:val="center"/>
          </w:tcPr>
          <w:p w14:paraId="37F34EE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D2□</w:t>
            </w:r>
          </w:p>
        </w:tc>
        <w:tc>
          <w:tcPr>
            <w:tcW w:w="1333" w:type="dxa"/>
            <w:gridSpan w:val="3"/>
            <w:tcBorders>
              <w:top w:val="single" w:color="auto" w:sz="4" w:space="0"/>
              <w:left w:val="nil"/>
              <w:bottom w:val="single" w:color="auto" w:sz="4" w:space="0"/>
              <w:right w:val="single" w:color="auto" w:sz="4" w:space="0"/>
            </w:tcBorders>
            <w:vAlign w:val="center"/>
          </w:tcPr>
          <w:p w14:paraId="6D589AE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D3□</w:t>
            </w:r>
          </w:p>
        </w:tc>
      </w:tr>
      <w:tr w14:paraId="33151813">
        <w:tblPrEx>
          <w:tblCellMar>
            <w:top w:w="0" w:type="dxa"/>
            <w:left w:w="108" w:type="dxa"/>
            <w:bottom w:w="0" w:type="dxa"/>
            <w:right w:w="108" w:type="dxa"/>
          </w:tblCellMar>
        </w:tblPrEx>
        <w:trPr>
          <w:trHeight w:val="322" w:hRule="atLeast"/>
          <w:jc w:val="center"/>
        </w:trPr>
        <w:tc>
          <w:tcPr>
            <w:tcW w:w="1893" w:type="dxa"/>
            <w:gridSpan w:val="2"/>
            <w:vMerge w:val="restart"/>
            <w:tcBorders>
              <w:top w:val="nil"/>
              <w:left w:val="single" w:color="auto" w:sz="4" w:space="0"/>
              <w:bottom w:val="single" w:color="auto" w:sz="4" w:space="0"/>
              <w:right w:val="single" w:color="auto" w:sz="4" w:space="0"/>
            </w:tcBorders>
            <w:vAlign w:val="center"/>
          </w:tcPr>
          <w:p w14:paraId="20E572A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物质及工艺系统</w:t>
            </w:r>
          </w:p>
          <w:p w14:paraId="0B741B5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危险性</w:t>
            </w:r>
          </w:p>
        </w:tc>
        <w:tc>
          <w:tcPr>
            <w:tcW w:w="1025" w:type="dxa"/>
            <w:tcBorders>
              <w:top w:val="single" w:color="auto" w:sz="4" w:space="0"/>
              <w:left w:val="nil"/>
              <w:bottom w:val="single" w:color="auto" w:sz="4" w:space="0"/>
              <w:right w:val="single" w:color="auto" w:sz="4" w:space="0"/>
            </w:tcBorders>
            <w:vAlign w:val="center"/>
          </w:tcPr>
          <w:p w14:paraId="55BB604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Q值</w:t>
            </w:r>
          </w:p>
        </w:tc>
        <w:tc>
          <w:tcPr>
            <w:tcW w:w="1622" w:type="dxa"/>
            <w:gridSpan w:val="5"/>
            <w:tcBorders>
              <w:top w:val="single" w:color="auto" w:sz="4" w:space="0"/>
              <w:left w:val="nil"/>
              <w:bottom w:val="single" w:color="auto" w:sz="4" w:space="0"/>
              <w:right w:val="single" w:color="auto" w:sz="4" w:space="0"/>
            </w:tcBorders>
            <w:vAlign w:val="center"/>
          </w:tcPr>
          <w:p w14:paraId="1EFEF6C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Q＜1</w:t>
            </w:r>
            <w:r>
              <w:rPr>
                <w:rFonts w:hint="eastAsia"/>
                <w:color w:val="000000" w:themeColor="text1"/>
                <w:sz w:val="21"/>
                <w:szCs w:val="21"/>
                <w:highlight w:val="none"/>
                <w:lang w:eastAsia="zh-CN"/>
              </w:rPr>
              <w:t>☑</w:t>
            </w:r>
          </w:p>
        </w:tc>
        <w:tc>
          <w:tcPr>
            <w:tcW w:w="1322" w:type="dxa"/>
            <w:gridSpan w:val="6"/>
            <w:tcBorders>
              <w:top w:val="single" w:color="auto" w:sz="4" w:space="0"/>
              <w:left w:val="nil"/>
              <w:bottom w:val="single" w:color="auto" w:sz="4" w:space="0"/>
              <w:right w:val="single" w:color="auto" w:sz="4" w:space="0"/>
            </w:tcBorders>
            <w:vAlign w:val="center"/>
          </w:tcPr>
          <w:p w14:paraId="5848903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1≤Q＜10□</w:t>
            </w:r>
          </w:p>
        </w:tc>
        <w:tc>
          <w:tcPr>
            <w:tcW w:w="1321" w:type="dxa"/>
            <w:gridSpan w:val="6"/>
            <w:tcBorders>
              <w:top w:val="single" w:color="auto" w:sz="4" w:space="0"/>
              <w:left w:val="nil"/>
              <w:bottom w:val="single" w:color="auto" w:sz="4" w:space="0"/>
              <w:right w:val="single" w:color="auto" w:sz="4" w:space="0"/>
            </w:tcBorders>
            <w:vAlign w:val="center"/>
          </w:tcPr>
          <w:p w14:paraId="6BE82C2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10≤Q＜100□</w:t>
            </w:r>
          </w:p>
        </w:tc>
        <w:tc>
          <w:tcPr>
            <w:tcW w:w="1333" w:type="dxa"/>
            <w:gridSpan w:val="3"/>
            <w:tcBorders>
              <w:top w:val="single" w:color="auto" w:sz="4" w:space="0"/>
              <w:left w:val="nil"/>
              <w:bottom w:val="single" w:color="auto" w:sz="4" w:space="0"/>
              <w:right w:val="single" w:color="auto" w:sz="4" w:space="0"/>
            </w:tcBorders>
            <w:vAlign w:val="center"/>
          </w:tcPr>
          <w:p w14:paraId="27DA7D6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Q＞100□</w:t>
            </w:r>
          </w:p>
        </w:tc>
      </w:tr>
      <w:tr w14:paraId="0794531A">
        <w:tblPrEx>
          <w:tblCellMar>
            <w:top w:w="0" w:type="dxa"/>
            <w:left w:w="108" w:type="dxa"/>
            <w:bottom w:w="0" w:type="dxa"/>
            <w:right w:w="108" w:type="dxa"/>
          </w:tblCellMar>
        </w:tblPrEx>
        <w:trPr>
          <w:trHeight w:val="202" w:hRule="atLeast"/>
          <w:jc w:val="center"/>
        </w:trPr>
        <w:tc>
          <w:tcPr>
            <w:tcW w:w="1893" w:type="dxa"/>
            <w:gridSpan w:val="2"/>
            <w:vMerge w:val="continue"/>
            <w:tcBorders>
              <w:top w:val="nil"/>
              <w:left w:val="single" w:color="auto" w:sz="4" w:space="0"/>
              <w:bottom w:val="single" w:color="auto" w:sz="4" w:space="0"/>
              <w:right w:val="single" w:color="auto" w:sz="4" w:space="0"/>
            </w:tcBorders>
            <w:vAlign w:val="center"/>
          </w:tcPr>
          <w:p w14:paraId="41FBB22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tcBorders>
              <w:top w:val="single" w:color="auto" w:sz="4" w:space="0"/>
              <w:left w:val="nil"/>
              <w:bottom w:val="single" w:color="auto" w:sz="4" w:space="0"/>
              <w:right w:val="single" w:color="auto" w:sz="4" w:space="0"/>
            </w:tcBorders>
            <w:vAlign w:val="center"/>
          </w:tcPr>
          <w:p w14:paraId="55DC61D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M值</w:t>
            </w:r>
          </w:p>
        </w:tc>
        <w:tc>
          <w:tcPr>
            <w:tcW w:w="1622" w:type="dxa"/>
            <w:gridSpan w:val="5"/>
            <w:tcBorders>
              <w:top w:val="single" w:color="auto" w:sz="4" w:space="0"/>
              <w:left w:val="nil"/>
              <w:bottom w:val="single" w:color="auto" w:sz="4" w:space="0"/>
              <w:right w:val="single" w:color="auto" w:sz="4" w:space="0"/>
            </w:tcBorders>
            <w:vAlign w:val="center"/>
          </w:tcPr>
          <w:p w14:paraId="0F18CD8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M1□</w:t>
            </w:r>
          </w:p>
        </w:tc>
        <w:tc>
          <w:tcPr>
            <w:tcW w:w="1322" w:type="dxa"/>
            <w:gridSpan w:val="6"/>
            <w:tcBorders>
              <w:top w:val="single" w:color="auto" w:sz="4" w:space="0"/>
              <w:left w:val="nil"/>
              <w:bottom w:val="single" w:color="auto" w:sz="4" w:space="0"/>
              <w:right w:val="single" w:color="auto" w:sz="4" w:space="0"/>
            </w:tcBorders>
            <w:vAlign w:val="center"/>
          </w:tcPr>
          <w:p w14:paraId="2EC3C1C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M2□</w:t>
            </w:r>
          </w:p>
        </w:tc>
        <w:tc>
          <w:tcPr>
            <w:tcW w:w="1321" w:type="dxa"/>
            <w:gridSpan w:val="6"/>
            <w:tcBorders>
              <w:top w:val="single" w:color="auto" w:sz="4" w:space="0"/>
              <w:left w:val="nil"/>
              <w:bottom w:val="single" w:color="auto" w:sz="4" w:space="0"/>
              <w:right w:val="single" w:color="auto" w:sz="4" w:space="0"/>
            </w:tcBorders>
            <w:vAlign w:val="center"/>
          </w:tcPr>
          <w:p w14:paraId="6B2879C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M3□</w:t>
            </w:r>
          </w:p>
        </w:tc>
        <w:tc>
          <w:tcPr>
            <w:tcW w:w="1333" w:type="dxa"/>
            <w:gridSpan w:val="3"/>
            <w:tcBorders>
              <w:top w:val="single" w:color="auto" w:sz="4" w:space="0"/>
              <w:left w:val="nil"/>
              <w:bottom w:val="single" w:color="auto" w:sz="4" w:space="0"/>
              <w:right w:val="single" w:color="auto" w:sz="4" w:space="0"/>
            </w:tcBorders>
            <w:vAlign w:val="center"/>
          </w:tcPr>
          <w:p w14:paraId="013E454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M4□</w:t>
            </w:r>
          </w:p>
        </w:tc>
      </w:tr>
      <w:tr w14:paraId="572D85B1">
        <w:tblPrEx>
          <w:tblCellMar>
            <w:top w:w="0" w:type="dxa"/>
            <w:left w:w="108" w:type="dxa"/>
            <w:bottom w:w="0" w:type="dxa"/>
            <w:right w:w="108" w:type="dxa"/>
          </w:tblCellMar>
        </w:tblPrEx>
        <w:trPr>
          <w:trHeight w:val="277" w:hRule="atLeast"/>
          <w:jc w:val="center"/>
        </w:trPr>
        <w:tc>
          <w:tcPr>
            <w:tcW w:w="1893" w:type="dxa"/>
            <w:gridSpan w:val="2"/>
            <w:vMerge w:val="continue"/>
            <w:tcBorders>
              <w:top w:val="nil"/>
              <w:left w:val="single" w:color="auto" w:sz="4" w:space="0"/>
              <w:bottom w:val="single" w:color="auto" w:sz="4" w:space="0"/>
              <w:right w:val="single" w:color="auto" w:sz="4" w:space="0"/>
            </w:tcBorders>
            <w:vAlign w:val="center"/>
          </w:tcPr>
          <w:p w14:paraId="0779A1D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tcBorders>
              <w:top w:val="single" w:color="auto" w:sz="4" w:space="0"/>
              <w:left w:val="nil"/>
              <w:bottom w:val="single" w:color="auto" w:sz="4" w:space="0"/>
              <w:right w:val="single" w:color="auto" w:sz="4" w:space="0"/>
            </w:tcBorders>
            <w:vAlign w:val="center"/>
          </w:tcPr>
          <w:p w14:paraId="202922F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P值</w:t>
            </w:r>
          </w:p>
        </w:tc>
        <w:tc>
          <w:tcPr>
            <w:tcW w:w="1622" w:type="dxa"/>
            <w:gridSpan w:val="5"/>
            <w:tcBorders>
              <w:top w:val="single" w:color="auto" w:sz="4" w:space="0"/>
              <w:left w:val="nil"/>
              <w:bottom w:val="single" w:color="auto" w:sz="4" w:space="0"/>
              <w:right w:val="single" w:color="auto" w:sz="4" w:space="0"/>
            </w:tcBorders>
            <w:vAlign w:val="center"/>
          </w:tcPr>
          <w:p w14:paraId="0FAC1E3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P1□</w:t>
            </w:r>
          </w:p>
        </w:tc>
        <w:tc>
          <w:tcPr>
            <w:tcW w:w="1322" w:type="dxa"/>
            <w:gridSpan w:val="6"/>
            <w:tcBorders>
              <w:top w:val="single" w:color="auto" w:sz="4" w:space="0"/>
              <w:left w:val="nil"/>
              <w:bottom w:val="single" w:color="auto" w:sz="4" w:space="0"/>
              <w:right w:val="single" w:color="auto" w:sz="4" w:space="0"/>
            </w:tcBorders>
            <w:vAlign w:val="center"/>
          </w:tcPr>
          <w:p w14:paraId="49D608B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P2□</w:t>
            </w:r>
          </w:p>
        </w:tc>
        <w:tc>
          <w:tcPr>
            <w:tcW w:w="1321" w:type="dxa"/>
            <w:gridSpan w:val="6"/>
            <w:tcBorders>
              <w:top w:val="single" w:color="auto" w:sz="4" w:space="0"/>
              <w:left w:val="nil"/>
              <w:bottom w:val="single" w:color="auto" w:sz="4" w:space="0"/>
              <w:right w:val="single" w:color="auto" w:sz="4" w:space="0"/>
            </w:tcBorders>
            <w:vAlign w:val="center"/>
          </w:tcPr>
          <w:p w14:paraId="5DE4CFD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P3□</w:t>
            </w:r>
          </w:p>
        </w:tc>
        <w:tc>
          <w:tcPr>
            <w:tcW w:w="1333" w:type="dxa"/>
            <w:gridSpan w:val="3"/>
            <w:tcBorders>
              <w:top w:val="single" w:color="auto" w:sz="4" w:space="0"/>
              <w:left w:val="nil"/>
              <w:bottom w:val="single" w:color="auto" w:sz="4" w:space="0"/>
              <w:right w:val="single" w:color="auto" w:sz="4" w:space="0"/>
            </w:tcBorders>
            <w:vAlign w:val="center"/>
          </w:tcPr>
          <w:p w14:paraId="271C8DA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P4□</w:t>
            </w:r>
          </w:p>
        </w:tc>
      </w:tr>
      <w:tr w14:paraId="397CC2E7">
        <w:tblPrEx>
          <w:tblCellMar>
            <w:top w:w="0" w:type="dxa"/>
            <w:left w:w="108" w:type="dxa"/>
            <w:bottom w:w="0" w:type="dxa"/>
            <w:right w:w="108" w:type="dxa"/>
          </w:tblCellMar>
        </w:tblPrEx>
        <w:trPr>
          <w:trHeight w:val="397" w:hRule="atLeast"/>
          <w:jc w:val="center"/>
        </w:trPr>
        <w:tc>
          <w:tcPr>
            <w:tcW w:w="1893" w:type="dxa"/>
            <w:gridSpan w:val="2"/>
            <w:vMerge w:val="restart"/>
            <w:tcBorders>
              <w:top w:val="nil"/>
              <w:left w:val="single" w:color="auto" w:sz="4" w:space="0"/>
              <w:bottom w:val="single" w:color="auto" w:sz="4" w:space="0"/>
              <w:right w:val="single" w:color="auto" w:sz="4" w:space="0"/>
            </w:tcBorders>
            <w:vAlign w:val="center"/>
          </w:tcPr>
          <w:p w14:paraId="401211A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环境敏感</w:t>
            </w:r>
          </w:p>
          <w:p w14:paraId="5A3D130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程度</w:t>
            </w:r>
          </w:p>
        </w:tc>
        <w:tc>
          <w:tcPr>
            <w:tcW w:w="1025" w:type="dxa"/>
            <w:tcBorders>
              <w:top w:val="single" w:color="auto" w:sz="4" w:space="0"/>
              <w:left w:val="nil"/>
              <w:bottom w:val="single" w:color="auto" w:sz="4" w:space="0"/>
              <w:right w:val="single" w:color="auto" w:sz="4" w:space="0"/>
            </w:tcBorders>
            <w:vAlign w:val="center"/>
          </w:tcPr>
          <w:p w14:paraId="276B124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w:t>
            </w:r>
          </w:p>
        </w:tc>
        <w:tc>
          <w:tcPr>
            <w:tcW w:w="2064" w:type="dxa"/>
            <w:gridSpan w:val="8"/>
            <w:tcBorders>
              <w:top w:val="single" w:color="auto" w:sz="4" w:space="0"/>
              <w:left w:val="nil"/>
              <w:bottom w:val="single" w:color="auto" w:sz="4" w:space="0"/>
              <w:right w:val="single" w:color="auto" w:sz="4" w:space="0"/>
            </w:tcBorders>
            <w:vAlign w:val="center"/>
          </w:tcPr>
          <w:p w14:paraId="79298DB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E1□</w:t>
            </w:r>
          </w:p>
        </w:tc>
        <w:tc>
          <w:tcPr>
            <w:tcW w:w="1760" w:type="dxa"/>
            <w:gridSpan w:val="7"/>
            <w:tcBorders>
              <w:top w:val="single" w:color="auto" w:sz="4" w:space="0"/>
              <w:left w:val="nil"/>
              <w:bottom w:val="single" w:color="auto" w:sz="4" w:space="0"/>
              <w:right w:val="single" w:color="auto" w:sz="4" w:space="0"/>
            </w:tcBorders>
            <w:vAlign w:val="center"/>
          </w:tcPr>
          <w:p w14:paraId="2DB7891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E2□</w:t>
            </w:r>
          </w:p>
        </w:tc>
        <w:tc>
          <w:tcPr>
            <w:tcW w:w="1774" w:type="dxa"/>
            <w:gridSpan w:val="5"/>
            <w:tcBorders>
              <w:top w:val="single" w:color="auto" w:sz="4" w:space="0"/>
              <w:left w:val="nil"/>
              <w:bottom w:val="single" w:color="auto" w:sz="4" w:space="0"/>
              <w:right w:val="single" w:color="auto" w:sz="4" w:space="0"/>
            </w:tcBorders>
            <w:vAlign w:val="center"/>
          </w:tcPr>
          <w:p w14:paraId="759E243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E3□</w:t>
            </w:r>
          </w:p>
        </w:tc>
      </w:tr>
      <w:tr w14:paraId="4195FCC7">
        <w:tblPrEx>
          <w:tblCellMar>
            <w:top w:w="0" w:type="dxa"/>
            <w:left w:w="108" w:type="dxa"/>
            <w:bottom w:w="0" w:type="dxa"/>
            <w:right w:w="108" w:type="dxa"/>
          </w:tblCellMar>
        </w:tblPrEx>
        <w:trPr>
          <w:trHeight w:val="397" w:hRule="atLeast"/>
          <w:jc w:val="center"/>
        </w:trPr>
        <w:tc>
          <w:tcPr>
            <w:tcW w:w="1893" w:type="dxa"/>
            <w:gridSpan w:val="2"/>
            <w:vMerge w:val="continue"/>
            <w:tcBorders>
              <w:top w:val="nil"/>
              <w:left w:val="single" w:color="auto" w:sz="4" w:space="0"/>
              <w:bottom w:val="single" w:color="auto" w:sz="4" w:space="0"/>
              <w:right w:val="single" w:color="auto" w:sz="4" w:space="0"/>
            </w:tcBorders>
            <w:vAlign w:val="center"/>
          </w:tcPr>
          <w:p w14:paraId="6BF76B1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tcBorders>
              <w:top w:val="single" w:color="auto" w:sz="4" w:space="0"/>
              <w:left w:val="nil"/>
              <w:bottom w:val="single" w:color="auto" w:sz="4" w:space="0"/>
              <w:right w:val="single" w:color="auto" w:sz="4" w:space="0"/>
            </w:tcBorders>
            <w:vAlign w:val="center"/>
          </w:tcPr>
          <w:p w14:paraId="342C396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地表水</w:t>
            </w:r>
          </w:p>
        </w:tc>
        <w:tc>
          <w:tcPr>
            <w:tcW w:w="2064" w:type="dxa"/>
            <w:gridSpan w:val="8"/>
            <w:tcBorders>
              <w:top w:val="single" w:color="auto" w:sz="4" w:space="0"/>
              <w:left w:val="nil"/>
              <w:bottom w:val="single" w:color="auto" w:sz="4" w:space="0"/>
              <w:right w:val="single" w:color="auto" w:sz="4" w:space="0"/>
            </w:tcBorders>
            <w:vAlign w:val="center"/>
          </w:tcPr>
          <w:p w14:paraId="5243F34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E1□</w:t>
            </w:r>
          </w:p>
        </w:tc>
        <w:tc>
          <w:tcPr>
            <w:tcW w:w="1760" w:type="dxa"/>
            <w:gridSpan w:val="7"/>
            <w:tcBorders>
              <w:top w:val="single" w:color="auto" w:sz="4" w:space="0"/>
              <w:left w:val="nil"/>
              <w:bottom w:val="single" w:color="auto" w:sz="4" w:space="0"/>
              <w:right w:val="single" w:color="auto" w:sz="4" w:space="0"/>
            </w:tcBorders>
            <w:vAlign w:val="center"/>
          </w:tcPr>
          <w:p w14:paraId="0639BD4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E2□</w:t>
            </w:r>
          </w:p>
        </w:tc>
        <w:tc>
          <w:tcPr>
            <w:tcW w:w="1774" w:type="dxa"/>
            <w:gridSpan w:val="5"/>
            <w:tcBorders>
              <w:top w:val="single" w:color="auto" w:sz="4" w:space="0"/>
              <w:left w:val="nil"/>
              <w:bottom w:val="single" w:color="auto" w:sz="4" w:space="0"/>
              <w:right w:val="single" w:color="auto" w:sz="4" w:space="0"/>
            </w:tcBorders>
            <w:vAlign w:val="center"/>
          </w:tcPr>
          <w:p w14:paraId="4CFCEE7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E3</w:t>
            </w:r>
            <w:r>
              <w:rPr>
                <w:rFonts w:hint="eastAsia"/>
                <w:color w:val="000000" w:themeColor="text1"/>
                <w:sz w:val="21"/>
                <w:szCs w:val="21"/>
                <w:highlight w:val="none"/>
                <w:lang w:eastAsia="zh-CN"/>
              </w:rPr>
              <w:t>☑</w:t>
            </w:r>
          </w:p>
        </w:tc>
      </w:tr>
      <w:tr w14:paraId="0F5A9A84">
        <w:tblPrEx>
          <w:tblCellMar>
            <w:top w:w="0" w:type="dxa"/>
            <w:left w:w="108" w:type="dxa"/>
            <w:bottom w:w="0" w:type="dxa"/>
            <w:right w:w="108" w:type="dxa"/>
          </w:tblCellMar>
        </w:tblPrEx>
        <w:trPr>
          <w:trHeight w:val="397" w:hRule="atLeast"/>
          <w:jc w:val="center"/>
        </w:trPr>
        <w:tc>
          <w:tcPr>
            <w:tcW w:w="1893" w:type="dxa"/>
            <w:gridSpan w:val="2"/>
            <w:vMerge w:val="continue"/>
            <w:tcBorders>
              <w:top w:val="nil"/>
              <w:left w:val="single" w:color="auto" w:sz="4" w:space="0"/>
              <w:bottom w:val="single" w:color="auto" w:sz="4" w:space="0"/>
              <w:right w:val="single" w:color="auto" w:sz="4" w:space="0"/>
            </w:tcBorders>
            <w:vAlign w:val="center"/>
          </w:tcPr>
          <w:p w14:paraId="4E91993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025" w:type="dxa"/>
            <w:tcBorders>
              <w:top w:val="single" w:color="auto" w:sz="4" w:space="0"/>
              <w:left w:val="nil"/>
              <w:bottom w:val="single" w:color="auto" w:sz="4" w:space="0"/>
              <w:right w:val="single" w:color="auto" w:sz="4" w:space="0"/>
            </w:tcBorders>
            <w:vAlign w:val="center"/>
          </w:tcPr>
          <w:p w14:paraId="73ADA80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地下水</w:t>
            </w:r>
          </w:p>
        </w:tc>
        <w:tc>
          <w:tcPr>
            <w:tcW w:w="2064" w:type="dxa"/>
            <w:gridSpan w:val="8"/>
            <w:tcBorders>
              <w:top w:val="single" w:color="auto" w:sz="4" w:space="0"/>
              <w:left w:val="nil"/>
              <w:bottom w:val="single" w:color="auto" w:sz="4" w:space="0"/>
              <w:right w:val="single" w:color="auto" w:sz="4" w:space="0"/>
            </w:tcBorders>
            <w:vAlign w:val="center"/>
          </w:tcPr>
          <w:p w14:paraId="298B530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E1□</w:t>
            </w:r>
          </w:p>
        </w:tc>
        <w:tc>
          <w:tcPr>
            <w:tcW w:w="1760" w:type="dxa"/>
            <w:gridSpan w:val="7"/>
            <w:tcBorders>
              <w:top w:val="single" w:color="auto" w:sz="4" w:space="0"/>
              <w:left w:val="nil"/>
              <w:bottom w:val="single" w:color="auto" w:sz="4" w:space="0"/>
              <w:right w:val="single" w:color="auto" w:sz="4" w:space="0"/>
            </w:tcBorders>
            <w:vAlign w:val="center"/>
          </w:tcPr>
          <w:p w14:paraId="662011F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E2□</w:t>
            </w:r>
          </w:p>
        </w:tc>
        <w:tc>
          <w:tcPr>
            <w:tcW w:w="1774" w:type="dxa"/>
            <w:gridSpan w:val="5"/>
            <w:tcBorders>
              <w:top w:val="single" w:color="auto" w:sz="4" w:space="0"/>
              <w:left w:val="nil"/>
              <w:bottom w:val="single" w:color="auto" w:sz="4" w:space="0"/>
              <w:right w:val="single" w:color="auto" w:sz="4" w:space="0"/>
            </w:tcBorders>
            <w:vAlign w:val="center"/>
          </w:tcPr>
          <w:p w14:paraId="2D1FCBB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E3□</w:t>
            </w:r>
          </w:p>
        </w:tc>
      </w:tr>
      <w:tr w14:paraId="3FA6EBB6">
        <w:tblPrEx>
          <w:tblCellMar>
            <w:top w:w="0" w:type="dxa"/>
            <w:left w:w="108" w:type="dxa"/>
            <w:bottom w:w="0" w:type="dxa"/>
            <w:right w:w="108" w:type="dxa"/>
          </w:tblCellMar>
        </w:tblPrEx>
        <w:trPr>
          <w:trHeight w:val="397" w:hRule="atLeast"/>
          <w:jc w:val="center"/>
        </w:trPr>
        <w:tc>
          <w:tcPr>
            <w:tcW w:w="1893" w:type="dxa"/>
            <w:gridSpan w:val="2"/>
            <w:tcBorders>
              <w:top w:val="single" w:color="auto" w:sz="4" w:space="0"/>
              <w:left w:val="single" w:color="auto" w:sz="4" w:space="0"/>
              <w:bottom w:val="single" w:color="auto" w:sz="4" w:space="0"/>
              <w:right w:val="single" w:color="auto" w:sz="4" w:space="0"/>
            </w:tcBorders>
            <w:vAlign w:val="center"/>
          </w:tcPr>
          <w:p w14:paraId="0BBBE1A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环境风险</w:t>
            </w:r>
          </w:p>
          <w:p w14:paraId="60CFB9C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潜势</w:t>
            </w:r>
          </w:p>
        </w:tc>
        <w:tc>
          <w:tcPr>
            <w:tcW w:w="1616" w:type="dxa"/>
            <w:gridSpan w:val="2"/>
            <w:tcBorders>
              <w:top w:val="single" w:color="auto" w:sz="4" w:space="0"/>
              <w:left w:val="nil"/>
              <w:bottom w:val="single" w:color="auto" w:sz="4" w:space="0"/>
              <w:right w:val="single" w:color="auto" w:sz="4" w:space="0"/>
            </w:tcBorders>
            <w:vAlign w:val="center"/>
          </w:tcPr>
          <w:p w14:paraId="3A557A7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Ⅳ</w:t>
            </w:r>
            <w:r>
              <w:rPr>
                <w:color w:val="000000" w:themeColor="text1"/>
                <w:sz w:val="21"/>
                <w:szCs w:val="21"/>
                <w:highlight w:val="none"/>
                <w:vertAlign w:val="superscript"/>
              </w:rPr>
              <w:t>+</w:t>
            </w:r>
            <w:r>
              <w:rPr>
                <w:color w:val="000000" w:themeColor="text1"/>
                <w:sz w:val="21"/>
                <w:szCs w:val="21"/>
                <w:highlight w:val="none"/>
              </w:rPr>
              <w:t>□</w:t>
            </w:r>
          </w:p>
        </w:tc>
        <w:tc>
          <w:tcPr>
            <w:tcW w:w="1248" w:type="dxa"/>
            <w:gridSpan w:val="6"/>
            <w:tcBorders>
              <w:top w:val="single" w:color="auto" w:sz="4" w:space="0"/>
              <w:left w:val="nil"/>
              <w:bottom w:val="single" w:color="auto" w:sz="4" w:space="0"/>
              <w:right w:val="single" w:color="auto" w:sz="4" w:space="0"/>
            </w:tcBorders>
            <w:vAlign w:val="center"/>
          </w:tcPr>
          <w:p w14:paraId="3B6DA04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Ⅳ□</w:t>
            </w:r>
          </w:p>
        </w:tc>
        <w:tc>
          <w:tcPr>
            <w:tcW w:w="1248" w:type="dxa"/>
            <w:gridSpan w:val="5"/>
            <w:tcBorders>
              <w:top w:val="single" w:color="auto" w:sz="4" w:space="0"/>
              <w:left w:val="nil"/>
              <w:bottom w:val="single" w:color="auto" w:sz="4" w:space="0"/>
              <w:right w:val="single" w:color="auto" w:sz="4" w:space="0"/>
            </w:tcBorders>
            <w:vAlign w:val="center"/>
          </w:tcPr>
          <w:p w14:paraId="3ECB972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Ⅲ□</w:t>
            </w:r>
          </w:p>
        </w:tc>
        <w:tc>
          <w:tcPr>
            <w:tcW w:w="1249" w:type="dxa"/>
            <w:gridSpan w:val="6"/>
            <w:tcBorders>
              <w:top w:val="single" w:color="auto" w:sz="4" w:space="0"/>
              <w:left w:val="nil"/>
              <w:bottom w:val="single" w:color="auto" w:sz="4" w:space="0"/>
              <w:right w:val="single" w:color="auto" w:sz="4" w:space="0"/>
            </w:tcBorders>
            <w:vAlign w:val="center"/>
          </w:tcPr>
          <w:p w14:paraId="19CEE74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Ⅱ□</w:t>
            </w:r>
          </w:p>
        </w:tc>
        <w:tc>
          <w:tcPr>
            <w:tcW w:w="1262" w:type="dxa"/>
            <w:gridSpan w:val="2"/>
            <w:tcBorders>
              <w:top w:val="single" w:color="auto" w:sz="4" w:space="0"/>
              <w:left w:val="nil"/>
              <w:bottom w:val="single" w:color="auto" w:sz="4" w:space="0"/>
              <w:right w:val="single" w:color="auto" w:sz="4" w:space="0"/>
            </w:tcBorders>
            <w:vAlign w:val="center"/>
          </w:tcPr>
          <w:p w14:paraId="7B9BE30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I</w:t>
            </w:r>
            <w:r>
              <w:rPr>
                <w:rFonts w:hint="eastAsia"/>
                <w:color w:val="000000" w:themeColor="text1"/>
                <w:sz w:val="21"/>
                <w:szCs w:val="21"/>
                <w:highlight w:val="none"/>
                <w:lang w:eastAsia="zh-CN"/>
              </w:rPr>
              <w:t>☑</w:t>
            </w:r>
          </w:p>
        </w:tc>
      </w:tr>
      <w:tr w14:paraId="2692C696">
        <w:tblPrEx>
          <w:tblCellMar>
            <w:top w:w="0" w:type="dxa"/>
            <w:left w:w="108" w:type="dxa"/>
            <w:bottom w:w="0" w:type="dxa"/>
            <w:right w:w="108" w:type="dxa"/>
          </w:tblCellMar>
        </w:tblPrEx>
        <w:trPr>
          <w:trHeight w:val="397" w:hRule="atLeast"/>
          <w:jc w:val="center"/>
        </w:trPr>
        <w:tc>
          <w:tcPr>
            <w:tcW w:w="1893" w:type="dxa"/>
            <w:gridSpan w:val="2"/>
            <w:tcBorders>
              <w:top w:val="single" w:color="auto" w:sz="4" w:space="0"/>
              <w:left w:val="single" w:color="auto" w:sz="4" w:space="0"/>
              <w:bottom w:val="single" w:color="auto" w:sz="4" w:space="0"/>
              <w:right w:val="single" w:color="auto" w:sz="4" w:space="0"/>
            </w:tcBorders>
            <w:vAlign w:val="center"/>
          </w:tcPr>
          <w:p w14:paraId="60966A0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评价等级</w:t>
            </w:r>
          </w:p>
        </w:tc>
        <w:tc>
          <w:tcPr>
            <w:tcW w:w="1931" w:type="dxa"/>
            <w:gridSpan w:val="3"/>
            <w:tcBorders>
              <w:top w:val="single" w:color="auto" w:sz="4" w:space="0"/>
              <w:left w:val="nil"/>
              <w:bottom w:val="single" w:color="auto" w:sz="4" w:space="0"/>
              <w:right w:val="single" w:color="auto" w:sz="4" w:space="0"/>
            </w:tcBorders>
            <w:vAlign w:val="center"/>
          </w:tcPr>
          <w:p w14:paraId="69AE162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一级□</w:t>
            </w:r>
          </w:p>
        </w:tc>
        <w:tc>
          <w:tcPr>
            <w:tcW w:w="1563" w:type="dxa"/>
            <w:gridSpan w:val="8"/>
            <w:tcBorders>
              <w:top w:val="single" w:color="auto" w:sz="4" w:space="0"/>
              <w:left w:val="nil"/>
              <w:bottom w:val="single" w:color="auto" w:sz="4" w:space="0"/>
              <w:right w:val="single" w:color="auto" w:sz="4" w:space="0"/>
            </w:tcBorders>
            <w:vAlign w:val="center"/>
          </w:tcPr>
          <w:p w14:paraId="6DF1AEC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二级□</w:t>
            </w:r>
          </w:p>
        </w:tc>
        <w:tc>
          <w:tcPr>
            <w:tcW w:w="1561" w:type="dxa"/>
            <w:gridSpan w:val="6"/>
            <w:tcBorders>
              <w:top w:val="single" w:color="auto" w:sz="4" w:space="0"/>
              <w:left w:val="nil"/>
              <w:bottom w:val="single" w:color="auto" w:sz="4" w:space="0"/>
              <w:right w:val="single" w:color="auto" w:sz="4" w:space="0"/>
            </w:tcBorders>
            <w:vAlign w:val="center"/>
          </w:tcPr>
          <w:p w14:paraId="3865853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三级□</w:t>
            </w:r>
          </w:p>
        </w:tc>
        <w:tc>
          <w:tcPr>
            <w:tcW w:w="1568" w:type="dxa"/>
            <w:gridSpan w:val="4"/>
            <w:tcBorders>
              <w:top w:val="single" w:color="auto" w:sz="4" w:space="0"/>
              <w:left w:val="nil"/>
              <w:bottom w:val="single" w:color="auto" w:sz="4" w:space="0"/>
              <w:right w:val="single" w:color="auto" w:sz="4" w:space="0"/>
            </w:tcBorders>
            <w:vAlign w:val="center"/>
          </w:tcPr>
          <w:p w14:paraId="6CA7317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简单分析</w:t>
            </w:r>
            <w:r>
              <w:rPr>
                <w:rFonts w:hint="eastAsia"/>
                <w:color w:val="000000" w:themeColor="text1"/>
                <w:sz w:val="21"/>
                <w:szCs w:val="21"/>
                <w:highlight w:val="none"/>
                <w:lang w:eastAsia="zh-CN"/>
              </w:rPr>
              <w:t>☑</w:t>
            </w:r>
          </w:p>
        </w:tc>
      </w:tr>
      <w:tr w14:paraId="13F8C490">
        <w:tblPrEx>
          <w:tblCellMar>
            <w:top w:w="0" w:type="dxa"/>
            <w:left w:w="108" w:type="dxa"/>
            <w:bottom w:w="0" w:type="dxa"/>
            <w:right w:w="108" w:type="dxa"/>
          </w:tblCellMar>
        </w:tblPrEx>
        <w:trPr>
          <w:trHeight w:val="397" w:hRule="atLeast"/>
          <w:jc w:val="center"/>
        </w:trPr>
        <w:tc>
          <w:tcPr>
            <w:tcW w:w="473" w:type="dxa"/>
            <w:vMerge w:val="restart"/>
            <w:tcBorders>
              <w:top w:val="nil"/>
              <w:left w:val="single" w:color="auto" w:sz="4" w:space="0"/>
              <w:bottom w:val="single" w:color="auto" w:sz="4" w:space="0"/>
              <w:right w:val="single" w:color="auto" w:sz="4" w:space="0"/>
            </w:tcBorders>
            <w:vAlign w:val="center"/>
          </w:tcPr>
          <w:p w14:paraId="58B3615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风</w:t>
            </w:r>
          </w:p>
          <w:p w14:paraId="4C4F097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险</w:t>
            </w:r>
          </w:p>
          <w:p w14:paraId="24E979D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识</w:t>
            </w:r>
          </w:p>
          <w:p w14:paraId="43CEFD2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别</w:t>
            </w:r>
          </w:p>
        </w:tc>
        <w:tc>
          <w:tcPr>
            <w:tcW w:w="1420" w:type="dxa"/>
            <w:tcBorders>
              <w:top w:val="single" w:color="auto" w:sz="4" w:space="0"/>
              <w:left w:val="nil"/>
              <w:bottom w:val="single" w:color="auto" w:sz="4" w:space="0"/>
              <w:right w:val="single" w:color="auto" w:sz="4" w:space="0"/>
            </w:tcBorders>
            <w:vAlign w:val="center"/>
          </w:tcPr>
          <w:p w14:paraId="5FD9FE3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物质危险性</w:t>
            </w:r>
          </w:p>
        </w:tc>
        <w:tc>
          <w:tcPr>
            <w:tcW w:w="3494" w:type="dxa"/>
            <w:gridSpan w:val="11"/>
            <w:tcBorders>
              <w:top w:val="single" w:color="auto" w:sz="4" w:space="0"/>
              <w:left w:val="nil"/>
              <w:bottom w:val="single" w:color="auto" w:sz="4" w:space="0"/>
              <w:right w:val="single" w:color="auto" w:sz="4" w:space="0"/>
            </w:tcBorders>
            <w:vAlign w:val="center"/>
          </w:tcPr>
          <w:p w14:paraId="02AA50B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有毒有害</w:t>
            </w:r>
            <w:r>
              <w:rPr>
                <w:rFonts w:hint="eastAsia"/>
                <w:color w:val="000000" w:themeColor="text1"/>
                <w:sz w:val="21"/>
                <w:szCs w:val="21"/>
                <w:highlight w:val="none"/>
                <w:lang w:eastAsia="zh-CN"/>
              </w:rPr>
              <w:t>☑</w:t>
            </w:r>
          </w:p>
        </w:tc>
        <w:tc>
          <w:tcPr>
            <w:tcW w:w="3129" w:type="dxa"/>
            <w:gridSpan w:val="10"/>
            <w:tcBorders>
              <w:top w:val="single" w:color="auto" w:sz="4" w:space="0"/>
              <w:left w:val="nil"/>
              <w:bottom w:val="single" w:color="auto" w:sz="4" w:space="0"/>
              <w:right w:val="single" w:color="auto" w:sz="4" w:space="0"/>
            </w:tcBorders>
            <w:vAlign w:val="center"/>
          </w:tcPr>
          <w:p w14:paraId="7DB6E6D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易燃易爆□</w:t>
            </w:r>
          </w:p>
        </w:tc>
      </w:tr>
      <w:tr w14:paraId="1944B63C">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3C30CFA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tcBorders>
              <w:top w:val="single" w:color="auto" w:sz="4" w:space="0"/>
              <w:left w:val="nil"/>
              <w:bottom w:val="single" w:color="auto" w:sz="4" w:space="0"/>
              <w:right w:val="single" w:color="auto" w:sz="4" w:space="0"/>
            </w:tcBorders>
            <w:vAlign w:val="center"/>
          </w:tcPr>
          <w:p w14:paraId="18FFCE7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环境风险</w:t>
            </w:r>
          </w:p>
          <w:p w14:paraId="36182A9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类型</w:t>
            </w:r>
          </w:p>
        </w:tc>
        <w:tc>
          <w:tcPr>
            <w:tcW w:w="3494" w:type="dxa"/>
            <w:gridSpan w:val="11"/>
            <w:tcBorders>
              <w:top w:val="single" w:color="auto" w:sz="4" w:space="0"/>
              <w:left w:val="nil"/>
              <w:bottom w:val="single" w:color="auto" w:sz="4" w:space="0"/>
              <w:right w:val="single" w:color="auto" w:sz="4" w:space="0"/>
            </w:tcBorders>
            <w:vAlign w:val="center"/>
          </w:tcPr>
          <w:p w14:paraId="3992910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泄漏</w:t>
            </w:r>
            <w:r>
              <w:rPr>
                <w:rFonts w:hint="eastAsia"/>
                <w:color w:val="000000" w:themeColor="text1"/>
                <w:sz w:val="21"/>
                <w:szCs w:val="21"/>
                <w:highlight w:val="none"/>
                <w:lang w:eastAsia="zh-CN"/>
              </w:rPr>
              <w:t>☑</w:t>
            </w:r>
          </w:p>
        </w:tc>
        <w:tc>
          <w:tcPr>
            <w:tcW w:w="3129" w:type="dxa"/>
            <w:gridSpan w:val="10"/>
            <w:tcBorders>
              <w:top w:val="single" w:color="auto" w:sz="4" w:space="0"/>
              <w:left w:val="nil"/>
              <w:bottom w:val="single" w:color="auto" w:sz="4" w:space="0"/>
              <w:right w:val="single" w:color="auto" w:sz="4" w:space="0"/>
            </w:tcBorders>
            <w:vAlign w:val="center"/>
          </w:tcPr>
          <w:p w14:paraId="6046945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火灾、爆炸引发伴生/次生污染物排放□</w:t>
            </w:r>
          </w:p>
        </w:tc>
      </w:tr>
      <w:tr w14:paraId="5C67824E">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3520386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tcBorders>
              <w:top w:val="single" w:color="auto" w:sz="4" w:space="0"/>
              <w:left w:val="nil"/>
              <w:bottom w:val="single" w:color="auto" w:sz="4" w:space="0"/>
              <w:right w:val="single" w:color="auto" w:sz="4" w:space="0"/>
            </w:tcBorders>
            <w:vAlign w:val="center"/>
          </w:tcPr>
          <w:p w14:paraId="58044A0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影响途径</w:t>
            </w:r>
          </w:p>
        </w:tc>
        <w:tc>
          <w:tcPr>
            <w:tcW w:w="2448" w:type="dxa"/>
            <w:gridSpan w:val="5"/>
            <w:tcBorders>
              <w:top w:val="single" w:color="auto" w:sz="4" w:space="0"/>
              <w:left w:val="nil"/>
              <w:bottom w:val="single" w:color="auto" w:sz="4" w:space="0"/>
              <w:right w:val="single" w:color="auto" w:sz="4" w:space="0"/>
            </w:tcBorders>
            <w:vAlign w:val="center"/>
          </w:tcPr>
          <w:p w14:paraId="40AADA5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w:t>
            </w:r>
          </w:p>
        </w:tc>
        <w:tc>
          <w:tcPr>
            <w:tcW w:w="2081" w:type="dxa"/>
            <w:gridSpan w:val="9"/>
            <w:tcBorders>
              <w:top w:val="single" w:color="auto" w:sz="4" w:space="0"/>
              <w:left w:val="nil"/>
              <w:bottom w:val="single" w:color="auto" w:sz="4" w:space="0"/>
              <w:right w:val="single" w:color="auto" w:sz="4" w:space="0"/>
            </w:tcBorders>
            <w:vAlign w:val="center"/>
          </w:tcPr>
          <w:p w14:paraId="7DD018C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地表水</w:t>
            </w:r>
            <w:r>
              <w:rPr>
                <w:rFonts w:hint="eastAsia"/>
                <w:color w:val="000000" w:themeColor="text1"/>
                <w:sz w:val="21"/>
                <w:szCs w:val="21"/>
                <w:highlight w:val="none"/>
                <w:lang w:eastAsia="zh-CN"/>
              </w:rPr>
              <w:t>☑</w:t>
            </w:r>
          </w:p>
        </w:tc>
        <w:tc>
          <w:tcPr>
            <w:tcW w:w="2094" w:type="dxa"/>
            <w:gridSpan w:val="7"/>
            <w:tcBorders>
              <w:top w:val="single" w:color="auto" w:sz="4" w:space="0"/>
              <w:left w:val="nil"/>
              <w:bottom w:val="single" w:color="auto" w:sz="4" w:space="0"/>
              <w:right w:val="single" w:color="auto" w:sz="4" w:space="0"/>
            </w:tcBorders>
            <w:vAlign w:val="center"/>
          </w:tcPr>
          <w:p w14:paraId="43EACBE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地下水□</w:t>
            </w:r>
          </w:p>
        </w:tc>
      </w:tr>
      <w:tr w14:paraId="2EEDD478">
        <w:tblPrEx>
          <w:tblCellMar>
            <w:top w:w="0" w:type="dxa"/>
            <w:left w:w="108" w:type="dxa"/>
            <w:bottom w:w="0" w:type="dxa"/>
            <w:right w:w="108" w:type="dxa"/>
          </w:tblCellMar>
        </w:tblPrEx>
        <w:trPr>
          <w:trHeight w:val="397" w:hRule="atLeast"/>
          <w:jc w:val="center"/>
        </w:trPr>
        <w:tc>
          <w:tcPr>
            <w:tcW w:w="1893" w:type="dxa"/>
            <w:gridSpan w:val="2"/>
            <w:tcBorders>
              <w:top w:val="single" w:color="auto" w:sz="4" w:space="0"/>
              <w:left w:val="single" w:color="auto" w:sz="4" w:space="0"/>
              <w:bottom w:val="single" w:color="auto" w:sz="4" w:space="0"/>
              <w:right w:val="single" w:color="auto" w:sz="4" w:space="0"/>
            </w:tcBorders>
            <w:vAlign w:val="center"/>
          </w:tcPr>
          <w:p w14:paraId="44FAAAE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事故情形分析</w:t>
            </w:r>
          </w:p>
        </w:tc>
        <w:tc>
          <w:tcPr>
            <w:tcW w:w="1931" w:type="dxa"/>
            <w:gridSpan w:val="3"/>
            <w:tcBorders>
              <w:top w:val="single" w:color="auto" w:sz="4" w:space="0"/>
              <w:left w:val="nil"/>
              <w:bottom w:val="single" w:color="auto" w:sz="4" w:space="0"/>
              <w:right w:val="single" w:color="auto" w:sz="4" w:space="0"/>
            </w:tcBorders>
            <w:vAlign w:val="center"/>
          </w:tcPr>
          <w:p w14:paraId="0BDE5E0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源强设定方法</w:t>
            </w:r>
          </w:p>
        </w:tc>
        <w:tc>
          <w:tcPr>
            <w:tcW w:w="1563" w:type="dxa"/>
            <w:gridSpan w:val="8"/>
            <w:tcBorders>
              <w:top w:val="single" w:color="auto" w:sz="4" w:space="0"/>
              <w:left w:val="nil"/>
              <w:bottom w:val="single" w:color="auto" w:sz="4" w:space="0"/>
              <w:right w:val="single" w:color="auto" w:sz="4" w:space="0"/>
            </w:tcBorders>
            <w:vAlign w:val="center"/>
          </w:tcPr>
          <w:p w14:paraId="027B7AD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eastAsia="宋体"/>
                <w:color w:val="000000" w:themeColor="text1"/>
                <w:sz w:val="21"/>
                <w:szCs w:val="21"/>
                <w:highlight w:val="none"/>
                <w:lang w:eastAsia="zh-CN"/>
              </w:rPr>
            </w:pPr>
            <w:r>
              <w:rPr>
                <w:color w:val="000000" w:themeColor="text1"/>
                <w:sz w:val="21"/>
                <w:szCs w:val="21"/>
                <w:highlight w:val="none"/>
              </w:rPr>
              <w:t>计算法</w:t>
            </w:r>
            <w:r>
              <w:rPr>
                <w:rFonts w:hint="eastAsia"/>
                <w:color w:val="000000" w:themeColor="text1"/>
                <w:sz w:val="21"/>
                <w:szCs w:val="21"/>
                <w:highlight w:val="none"/>
                <w:lang w:eastAsia="zh-CN"/>
              </w:rPr>
              <w:t>☑</w:t>
            </w:r>
          </w:p>
        </w:tc>
        <w:tc>
          <w:tcPr>
            <w:tcW w:w="1561" w:type="dxa"/>
            <w:gridSpan w:val="6"/>
            <w:tcBorders>
              <w:top w:val="single" w:color="auto" w:sz="4" w:space="0"/>
              <w:left w:val="nil"/>
              <w:bottom w:val="single" w:color="auto" w:sz="4" w:space="0"/>
              <w:right w:val="single" w:color="auto" w:sz="4" w:space="0"/>
            </w:tcBorders>
            <w:vAlign w:val="center"/>
          </w:tcPr>
          <w:p w14:paraId="6A727C1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经验估算法□</w:t>
            </w:r>
          </w:p>
        </w:tc>
        <w:tc>
          <w:tcPr>
            <w:tcW w:w="1568" w:type="dxa"/>
            <w:gridSpan w:val="4"/>
            <w:tcBorders>
              <w:top w:val="single" w:color="auto" w:sz="4" w:space="0"/>
              <w:left w:val="nil"/>
              <w:bottom w:val="single" w:color="auto" w:sz="4" w:space="0"/>
              <w:right w:val="single" w:color="auto" w:sz="4" w:space="0"/>
            </w:tcBorders>
            <w:vAlign w:val="center"/>
          </w:tcPr>
          <w:p w14:paraId="4EBC3B2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其他估算法□</w:t>
            </w:r>
          </w:p>
        </w:tc>
      </w:tr>
      <w:tr w14:paraId="5AADC913">
        <w:tblPrEx>
          <w:tblCellMar>
            <w:top w:w="0" w:type="dxa"/>
            <w:left w:w="108" w:type="dxa"/>
            <w:bottom w:w="0" w:type="dxa"/>
            <w:right w:w="108" w:type="dxa"/>
          </w:tblCellMar>
        </w:tblPrEx>
        <w:trPr>
          <w:trHeight w:val="397" w:hRule="atLeast"/>
          <w:jc w:val="center"/>
        </w:trPr>
        <w:tc>
          <w:tcPr>
            <w:tcW w:w="473" w:type="dxa"/>
            <w:vMerge w:val="restart"/>
            <w:tcBorders>
              <w:top w:val="nil"/>
              <w:left w:val="single" w:color="auto" w:sz="4" w:space="0"/>
              <w:bottom w:val="single" w:color="auto" w:sz="4" w:space="0"/>
              <w:right w:val="single" w:color="auto" w:sz="4" w:space="0"/>
            </w:tcBorders>
            <w:vAlign w:val="center"/>
          </w:tcPr>
          <w:p w14:paraId="7DD71BA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风险</w:t>
            </w:r>
          </w:p>
          <w:p w14:paraId="28B3BD9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w:t>
            </w:r>
          </w:p>
          <w:p w14:paraId="268BC50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与</w:t>
            </w:r>
          </w:p>
          <w:p w14:paraId="4B2E744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w:t>
            </w:r>
          </w:p>
        </w:tc>
        <w:tc>
          <w:tcPr>
            <w:tcW w:w="1420" w:type="dxa"/>
            <w:vMerge w:val="restart"/>
            <w:tcBorders>
              <w:top w:val="nil"/>
              <w:left w:val="nil"/>
              <w:bottom w:val="single" w:color="auto" w:sz="4" w:space="0"/>
              <w:right w:val="single" w:color="auto" w:sz="4" w:space="0"/>
            </w:tcBorders>
            <w:vAlign w:val="center"/>
          </w:tcPr>
          <w:p w14:paraId="6762E96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w:t>
            </w:r>
          </w:p>
        </w:tc>
        <w:tc>
          <w:tcPr>
            <w:tcW w:w="1931" w:type="dxa"/>
            <w:gridSpan w:val="3"/>
            <w:tcBorders>
              <w:top w:val="single" w:color="auto" w:sz="4" w:space="0"/>
              <w:left w:val="nil"/>
              <w:bottom w:val="single" w:color="auto" w:sz="4" w:space="0"/>
              <w:right w:val="single" w:color="auto" w:sz="4" w:space="0"/>
            </w:tcBorders>
            <w:vAlign w:val="center"/>
          </w:tcPr>
          <w:p w14:paraId="30E4C7D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预测模型</w:t>
            </w:r>
          </w:p>
        </w:tc>
        <w:tc>
          <w:tcPr>
            <w:tcW w:w="1563" w:type="dxa"/>
            <w:gridSpan w:val="8"/>
            <w:tcBorders>
              <w:top w:val="single" w:color="auto" w:sz="4" w:space="0"/>
              <w:left w:val="nil"/>
              <w:bottom w:val="single" w:color="auto" w:sz="4" w:space="0"/>
              <w:right w:val="single" w:color="auto" w:sz="4" w:space="0"/>
            </w:tcBorders>
            <w:vAlign w:val="center"/>
          </w:tcPr>
          <w:p w14:paraId="7F6A238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SLAB□</w:t>
            </w:r>
          </w:p>
        </w:tc>
        <w:tc>
          <w:tcPr>
            <w:tcW w:w="1561" w:type="dxa"/>
            <w:gridSpan w:val="6"/>
            <w:tcBorders>
              <w:top w:val="single" w:color="auto" w:sz="4" w:space="0"/>
              <w:left w:val="nil"/>
              <w:bottom w:val="single" w:color="auto" w:sz="4" w:space="0"/>
              <w:right w:val="single" w:color="auto" w:sz="4" w:space="0"/>
            </w:tcBorders>
            <w:vAlign w:val="center"/>
          </w:tcPr>
          <w:p w14:paraId="0AAE8F4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AFTOX□</w:t>
            </w:r>
          </w:p>
        </w:tc>
        <w:tc>
          <w:tcPr>
            <w:tcW w:w="1568" w:type="dxa"/>
            <w:gridSpan w:val="4"/>
            <w:tcBorders>
              <w:top w:val="single" w:color="auto" w:sz="4" w:space="0"/>
              <w:left w:val="nil"/>
              <w:bottom w:val="single" w:color="auto" w:sz="4" w:space="0"/>
              <w:right w:val="single" w:color="auto" w:sz="4" w:space="0"/>
            </w:tcBorders>
            <w:vAlign w:val="center"/>
          </w:tcPr>
          <w:p w14:paraId="557AD0F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其他□</w:t>
            </w:r>
          </w:p>
        </w:tc>
      </w:tr>
      <w:tr w14:paraId="10E5C260">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5F44DF5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3992D00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931" w:type="dxa"/>
            <w:gridSpan w:val="3"/>
            <w:vMerge w:val="restart"/>
            <w:tcBorders>
              <w:top w:val="nil"/>
              <w:left w:val="nil"/>
              <w:bottom w:val="single" w:color="auto" w:sz="4" w:space="0"/>
              <w:right w:val="single" w:color="auto" w:sz="4" w:space="0"/>
            </w:tcBorders>
            <w:vAlign w:val="center"/>
          </w:tcPr>
          <w:p w14:paraId="2408384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预测结果</w:t>
            </w:r>
          </w:p>
        </w:tc>
        <w:tc>
          <w:tcPr>
            <w:tcW w:w="4692" w:type="dxa"/>
            <w:gridSpan w:val="18"/>
            <w:tcBorders>
              <w:top w:val="single" w:color="auto" w:sz="4" w:space="0"/>
              <w:left w:val="nil"/>
              <w:bottom w:val="single" w:color="auto" w:sz="4" w:space="0"/>
              <w:right w:val="single" w:color="auto" w:sz="4" w:space="0"/>
            </w:tcBorders>
            <w:vAlign w:val="center"/>
          </w:tcPr>
          <w:p w14:paraId="48B0528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大气毒性终点浓度-1 最大影响范围</w:t>
            </w:r>
            <w:r>
              <w:rPr>
                <w:color w:val="000000" w:themeColor="text1"/>
                <w:sz w:val="21"/>
                <w:szCs w:val="21"/>
                <w:highlight w:val="none"/>
                <w:u w:val="single"/>
              </w:rPr>
              <w:t xml:space="preserve">     </w:t>
            </w:r>
            <w:r>
              <w:rPr>
                <w:color w:val="000000" w:themeColor="text1"/>
                <w:sz w:val="21"/>
                <w:szCs w:val="21"/>
                <w:highlight w:val="none"/>
              </w:rPr>
              <w:t>m</w:t>
            </w:r>
          </w:p>
        </w:tc>
      </w:tr>
      <w:tr w14:paraId="4085ABA9">
        <w:tblPrEx>
          <w:tblCellMar>
            <w:top w:w="0" w:type="dxa"/>
            <w:left w:w="108" w:type="dxa"/>
            <w:bottom w:w="0" w:type="dxa"/>
            <w:right w:w="108" w:type="dxa"/>
          </w:tblCellMar>
        </w:tblPrEx>
        <w:trPr>
          <w:trHeight w:val="142"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4CD4211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72BF6C0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931" w:type="dxa"/>
            <w:gridSpan w:val="3"/>
            <w:vMerge w:val="continue"/>
            <w:tcBorders>
              <w:top w:val="nil"/>
              <w:left w:val="nil"/>
              <w:bottom w:val="single" w:color="auto" w:sz="4" w:space="0"/>
              <w:right w:val="single" w:color="auto" w:sz="4" w:space="0"/>
            </w:tcBorders>
            <w:vAlign w:val="center"/>
          </w:tcPr>
          <w:p w14:paraId="5BFB84A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4692" w:type="dxa"/>
            <w:gridSpan w:val="18"/>
            <w:tcBorders>
              <w:top w:val="single" w:color="auto" w:sz="4" w:space="0"/>
              <w:left w:val="nil"/>
              <w:bottom w:val="single" w:color="auto" w:sz="4" w:space="0"/>
              <w:right w:val="single" w:color="auto" w:sz="4" w:space="0"/>
            </w:tcBorders>
            <w:vAlign w:val="center"/>
          </w:tcPr>
          <w:p w14:paraId="54C587B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大气毒性终点浓度-2 最大影响范围</w:t>
            </w:r>
            <w:r>
              <w:rPr>
                <w:color w:val="000000" w:themeColor="text1"/>
                <w:sz w:val="21"/>
                <w:szCs w:val="21"/>
                <w:highlight w:val="none"/>
                <w:u w:val="single"/>
              </w:rPr>
              <w:t xml:space="preserve">     </w:t>
            </w:r>
            <w:r>
              <w:rPr>
                <w:color w:val="000000" w:themeColor="text1"/>
                <w:sz w:val="21"/>
                <w:szCs w:val="21"/>
                <w:highlight w:val="none"/>
              </w:rPr>
              <w:t>m</w:t>
            </w:r>
          </w:p>
        </w:tc>
      </w:tr>
      <w:tr w14:paraId="0E867437">
        <w:tblPrEx>
          <w:tblCellMar>
            <w:top w:w="0" w:type="dxa"/>
            <w:left w:w="108" w:type="dxa"/>
            <w:bottom w:w="0" w:type="dxa"/>
            <w:right w:w="108" w:type="dxa"/>
          </w:tblCellMar>
        </w:tblPrEx>
        <w:trPr>
          <w:trHeight w:val="3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1E63F84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tcBorders>
              <w:top w:val="single" w:color="auto" w:sz="4" w:space="0"/>
              <w:left w:val="nil"/>
              <w:bottom w:val="single" w:color="auto" w:sz="4" w:space="0"/>
              <w:right w:val="single" w:color="auto" w:sz="4" w:space="0"/>
            </w:tcBorders>
            <w:vAlign w:val="center"/>
          </w:tcPr>
          <w:p w14:paraId="22AB9D9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地表水</w:t>
            </w:r>
          </w:p>
        </w:tc>
        <w:tc>
          <w:tcPr>
            <w:tcW w:w="6623" w:type="dxa"/>
            <w:gridSpan w:val="21"/>
            <w:tcBorders>
              <w:top w:val="single" w:color="auto" w:sz="4" w:space="0"/>
              <w:left w:val="nil"/>
              <w:bottom w:val="single" w:color="auto" w:sz="4" w:space="0"/>
              <w:right w:val="single" w:color="auto" w:sz="4" w:space="0"/>
            </w:tcBorders>
            <w:vAlign w:val="center"/>
          </w:tcPr>
          <w:p w14:paraId="6BAC0F7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最近环境敏感目标</w:t>
            </w:r>
            <w:r>
              <w:rPr>
                <w:color w:val="000000" w:themeColor="text1"/>
                <w:sz w:val="21"/>
                <w:szCs w:val="21"/>
                <w:highlight w:val="none"/>
                <w:u w:val="single"/>
              </w:rPr>
              <w:t xml:space="preserve">      </w:t>
            </w:r>
            <w:r>
              <w:rPr>
                <w:color w:val="000000" w:themeColor="text1"/>
                <w:sz w:val="21"/>
                <w:szCs w:val="21"/>
                <w:highlight w:val="none"/>
              </w:rPr>
              <w:t>，到达时间</w:t>
            </w:r>
            <w:r>
              <w:rPr>
                <w:color w:val="000000" w:themeColor="text1"/>
                <w:sz w:val="21"/>
                <w:szCs w:val="21"/>
                <w:highlight w:val="none"/>
                <w:u w:val="single"/>
              </w:rPr>
              <w:t xml:space="preserve">      </w:t>
            </w:r>
            <w:r>
              <w:rPr>
                <w:color w:val="000000" w:themeColor="text1"/>
                <w:sz w:val="21"/>
                <w:szCs w:val="21"/>
                <w:highlight w:val="none"/>
              </w:rPr>
              <w:t>h</w:t>
            </w:r>
          </w:p>
        </w:tc>
      </w:tr>
      <w:tr w14:paraId="250549D9">
        <w:tblPrEx>
          <w:tblCellMar>
            <w:top w:w="0" w:type="dxa"/>
            <w:left w:w="108" w:type="dxa"/>
            <w:bottom w:w="0" w:type="dxa"/>
            <w:right w:w="108" w:type="dxa"/>
          </w:tblCellMar>
        </w:tblPrEx>
        <w:trPr>
          <w:trHeight w:val="262"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4AD1399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restart"/>
            <w:tcBorders>
              <w:top w:val="nil"/>
              <w:left w:val="nil"/>
              <w:bottom w:val="single" w:color="auto" w:sz="4" w:space="0"/>
              <w:right w:val="single" w:color="auto" w:sz="4" w:space="0"/>
            </w:tcBorders>
            <w:vAlign w:val="center"/>
          </w:tcPr>
          <w:p w14:paraId="6B51C1E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地下水</w:t>
            </w:r>
          </w:p>
        </w:tc>
        <w:tc>
          <w:tcPr>
            <w:tcW w:w="6623" w:type="dxa"/>
            <w:gridSpan w:val="21"/>
            <w:tcBorders>
              <w:top w:val="single" w:color="auto" w:sz="4" w:space="0"/>
              <w:left w:val="nil"/>
              <w:bottom w:val="single" w:color="auto" w:sz="4" w:space="0"/>
              <w:right w:val="single" w:color="auto" w:sz="4" w:space="0"/>
            </w:tcBorders>
            <w:vAlign w:val="center"/>
          </w:tcPr>
          <w:p w14:paraId="4A4C37E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下游厂区边界到达时间</w:t>
            </w:r>
            <w:r>
              <w:rPr>
                <w:color w:val="000000" w:themeColor="text1"/>
                <w:sz w:val="21"/>
                <w:szCs w:val="21"/>
                <w:highlight w:val="none"/>
                <w:u w:val="single"/>
              </w:rPr>
              <w:t xml:space="preserve">      </w:t>
            </w:r>
            <w:r>
              <w:rPr>
                <w:color w:val="000000" w:themeColor="text1"/>
                <w:sz w:val="21"/>
                <w:szCs w:val="21"/>
                <w:highlight w:val="none"/>
              </w:rPr>
              <w:t>d</w:t>
            </w:r>
          </w:p>
        </w:tc>
      </w:tr>
      <w:tr w14:paraId="078BC876">
        <w:tblPrEx>
          <w:tblCellMar>
            <w:top w:w="0" w:type="dxa"/>
            <w:left w:w="108" w:type="dxa"/>
            <w:bottom w:w="0" w:type="dxa"/>
            <w:right w:w="108" w:type="dxa"/>
          </w:tblCellMar>
        </w:tblPrEx>
        <w:trPr>
          <w:trHeight w:val="97" w:hRule="atLeast"/>
          <w:jc w:val="center"/>
        </w:trPr>
        <w:tc>
          <w:tcPr>
            <w:tcW w:w="473" w:type="dxa"/>
            <w:vMerge w:val="continue"/>
            <w:tcBorders>
              <w:top w:val="nil"/>
              <w:left w:val="single" w:color="auto" w:sz="4" w:space="0"/>
              <w:bottom w:val="single" w:color="auto" w:sz="4" w:space="0"/>
              <w:right w:val="single" w:color="auto" w:sz="4" w:space="0"/>
            </w:tcBorders>
            <w:vAlign w:val="center"/>
          </w:tcPr>
          <w:p w14:paraId="39018D8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1420" w:type="dxa"/>
            <w:vMerge w:val="continue"/>
            <w:tcBorders>
              <w:top w:val="nil"/>
              <w:left w:val="nil"/>
              <w:bottom w:val="single" w:color="auto" w:sz="4" w:space="0"/>
              <w:right w:val="single" w:color="auto" w:sz="4" w:space="0"/>
            </w:tcBorders>
            <w:vAlign w:val="center"/>
          </w:tcPr>
          <w:p w14:paraId="3301A34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p>
        </w:tc>
        <w:tc>
          <w:tcPr>
            <w:tcW w:w="6623" w:type="dxa"/>
            <w:gridSpan w:val="21"/>
            <w:tcBorders>
              <w:top w:val="single" w:color="auto" w:sz="4" w:space="0"/>
              <w:left w:val="nil"/>
              <w:bottom w:val="single" w:color="auto" w:sz="4" w:space="0"/>
              <w:right w:val="single" w:color="auto" w:sz="4" w:space="0"/>
            </w:tcBorders>
            <w:vAlign w:val="center"/>
          </w:tcPr>
          <w:p w14:paraId="5FBA50AC">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最近环境敏感目标</w:t>
            </w:r>
            <w:r>
              <w:rPr>
                <w:color w:val="000000" w:themeColor="text1"/>
                <w:sz w:val="21"/>
                <w:szCs w:val="21"/>
                <w:highlight w:val="none"/>
                <w:u w:val="single"/>
              </w:rPr>
              <w:t xml:space="preserve">      </w:t>
            </w:r>
            <w:r>
              <w:rPr>
                <w:color w:val="000000" w:themeColor="text1"/>
                <w:sz w:val="21"/>
                <w:szCs w:val="21"/>
                <w:highlight w:val="none"/>
              </w:rPr>
              <w:t>，到达时间</w:t>
            </w:r>
            <w:r>
              <w:rPr>
                <w:color w:val="000000" w:themeColor="text1"/>
                <w:sz w:val="21"/>
                <w:szCs w:val="21"/>
                <w:highlight w:val="none"/>
                <w:u w:val="single"/>
              </w:rPr>
              <w:t xml:space="preserve">      </w:t>
            </w:r>
            <w:r>
              <w:rPr>
                <w:color w:val="000000" w:themeColor="text1"/>
                <w:sz w:val="21"/>
                <w:szCs w:val="21"/>
                <w:highlight w:val="none"/>
              </w:rPr>
              <w:t>d</w:t>
            </w:r>
          </w:p>
        </w:tc>
      </w:tr>
      <w:tr w14:paraId="097E0250">
        <w:tblPrEx>
          <w:tblCellMar>
            <w:top w:w="0" w:type="dxa"/>
            <w:left w:w="108" w:type="dxa"/>
            <w:bottom w:w="0" w:type="dxa"/>
            <w:right w:w="108" w:type="dxa"/>
          </w:tblCellMar>
        </w:tblPrEx>
        <w:trPr>
          <w:trHeight w:val="329" w:hRule="atLeast"/>
          <w:jc w:val="center"/>
        </w:trPr>
        <w:tc>
          <w:tcPr>
            <w:tcW w:w="1893" w:type="dxa"/>
            <w:gridSpan w:val="2"/>
            <w:tcBorders>
              <w:top w:val="single" w:color="auto" w:sz="4" w:space="0"/>
              <w:left w:val="single" w:color="auto" w:sz="4" w:space="0"/>
              <w:bottom w:val="single" w:color="auto" w:sz="4" w:space="0"/>
              <w:right w:val="single" w:color="auto" w:sz="4" w:space="0"/>
            </w:tcBorders>
            <w:vAlign w:val="center"/>
          </w:tcPr>
          <w:p w14:paraId="13BFEF8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重点风险防范</w:t>
            </w:r>
          </w:p>
          <w:p w14:paraId="723C23F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措施</w:t>
            </w:r>
          </w:p>
        </w:tc>
        <w:tc>
          <w:tcPr>
            <w:tcW w:w="6623" w:type="dxa"/>
            <w:gridSpan w:val="21"/>
            <w:tcBorders>
              <w:top w:val="single" w:color="auto" w:sz="4" w:space="0"/>
              <w:left w:val="nil"/>
              <w:bottom w:val="single" w:color="auto" w:sz="4" w:space="0"/>
              <w:right w:val="single" w:color="auto" w:sz="4" w:space="0"/>
            </w:tcBorders>
            <w:vAlign w:val="center"/>
          </w:tcPr>
          <w:p w14:paraId="5B223670">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b/>
                <w:bCs/>
                <w:color w:val="000000" w:themeColor="text1"/>
                <w:sz w:val="21"/>
                <w:szCs w:val="21"/>
                <w:highlight w:val="none"/>
                <w:lang w:eastAsia="zh-CN"/>
              </w:rPr>
            </w:pPr>
            <w:r>
              <w:rPr>
                <w:rFonts w:hint="eastAsia"/>
                <w:b/>
                <w:bCs/>
                <w:color w:val="000000" w:themeColor="text1"/>
                <w:sz w:val="21"/>
                <w:szCs w:val="21"/>
                <w:highlight w:val="none"/>
              </w:rPr>
              <w:t>1、</w:t>
            </w:r>
            <w:r>
              <w:rPr>
                <w:rFonts w:hint="eastAsia"/>
                <w:b/>
                <w:bCs/>
                <w:color w:val="000000" w:themeColor="text1"/>
                <w:sz w:val="21"/>
                <w:szCs w:val="21"/>
                <w:highlight w:val="none"/>
                <w:lang w:val="en-US" w:eastAsia="zh-CN"/>
              </w:rPr>
              <w:t>施工期</w:t>
            </w:r>
          </w:p>
          <w:p w14:paraId="2C2A9392">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lang w:eastAsia="zh-CN"/>
              </w:rPr>
            </w:pPr>
            <w:r>
              <w:rPr>
                <w:rFonts w:hint="eastAsia"/>
                <w:color w:val="000000" w:themeColor="text1"/>
                <w:sz w:val="21"/>
                <w:szCs w:val="21"/>
                <w:highlight w:val="none"/>
                <w:lang w:eastAsia="zh-CN"/>
              </w:rPr>
              <w:t>（1）工程招标阶段招标文件中应明确</w:t>
            </w:r>
            <w:r>
              <w:rPr>
                <w:rFonts w:hint="eastAsia"/>
                <w:color w:val="000000" w:themeColor="text1"/>
                <w:sz w:val="21"/>
                <w:szCs w:val="21"/>
                <w:highlight w:val="none"/>
                <w:lang w:val="en-US" w:eastAsia="zh-CN"/>
              </w:rPr>
              <w:t>跨越地表水体</w:t>
            </w:r>
            <w:r>
              <w:rPr>
                <w:rFonts w:hint="eastAsia"/>
                <w:color w:val="000000" w:themeColor="text1"/>
                <w:sz w:val="21"/>
                <w:szCs w:val="21"/>
                <w:highlight w:val="none"/>
                <w:lang w:eastAsia="zh-CN"/>
              </w:rPr>
              <w:t>情况问题，投标阶段工程承包商要承诺其对</w:t>
            </w:r>
            <w:r>
              <w:rPr>
                <w:rFonts w:hint="eastAsia"/>
                <w:color w:val="000000" w:themeColor="text1"/>
                <w:sz w:val="21"/>
                <w:szCs w:val="21"/>
                <w:highlight w:val="none"/>
                <w:lang w:val="en-US" w:eastAsia="zh-CN"/>
              </w:rPr>
              <w:t>地表水体</w:t>
            </w:r>
            <w:r>
              <w:rPr>
                <w:rFonts w:hint="eastAsia"/>
                <w:color w:val="000000" w:themeColor="text1"/>
                <w:sz w:val="21"/>
                <w:szCs w:val="21"/>
                <w:highlight w:val="none"/>
                <w:lang w:eastAsia="zh-CN"/>
              </w:rPr>
              <w:t>的保护任务，接受业主和地方环保主管部门的监督。</w:t>
            </w:r>
          </w:p>
          <w:p w14:paraId="72F8A7F1">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lang w:eastAsia="zh-CN"/>
              </w:rPr>
            </w:pPr>
            <w:r>
              <w:rPr>
                <w:rFonts w:hint="eastAsia"/>
                <w:color w:val="000000" w:themeColor="text1"/>
                <w:sz w:val="21"/>
                <w:szCs w:val="21"/>
                <w:highlight w:val="none"/>
                <w:lang w:eastAsia="zh-CN"/>
              </w:rPr>
              <w:t>（2）桥涵施工应选在枯水期施工，严禁将桥涵基础施工产生的泥浆、钻渣排入水体，施工区周围设置截水沟和沉淀池进行沉淀处理；施工钻孔泥浆采用泥浆分离机处理后泥浆重复回用；施工结束后剩余泥浆经干化后作为原施工场地内沉淀池等平整填埋使用。钻渣经沉淀后运至线路附件施工段作为填方使用。</w:t>
            </w:r>
          </w:p>
          <w:p w14:paraId="19CD1E50">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lang w:eastAsia="zh-CN"/>
              </w:rPr>
            </w:pP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3</w:t>
            </w:r>
            <w:r>
              <w:rPr>
                <w:rFonts w:hint="eastAsia"/>
                <w:color w:val="000000" w:themeColor="text1"/>
                <w:sz w:val="21"/>
                <w:szCs w:val="21"/>
                <w:highlight w:val="none"/>
                <w:lang w:eastAsia="zh-CN"/>
              </w:rPr>
              <w:t>）施工生产生活区周围设置截水沟和隔油沉淀池，防止降雨冲刷泥土进入地表水体。</w:t>
            </w:r>
          </w:p>
          <w:p w14:paraId="026B76ED">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lang w:eastAsia="zh-CN"/>
              </w:rPr>
            </w:pP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4</w:t>
            </w:r>
            <w:r>
              <w:rPr>
                <w:rFonts w:hint="eastAsia"/>
                <w:color w:val="000000" w:themeColor="text1"/>
                <w:sz w:val="21"/>
                <w:szCs w:val="21"/>
                <w:highlight w:val="none"/>
                <w:lang w:eastAsia="zh-CN"/>
              </w:rPr>
              <w:t>）建筑材料远离水体且无汇入支流的空旷地带存放，并进行遮盖，设置截水沟和沉沙池并进行沉淀处理，防止被雨水冲刷进入地表水体。</w:t>
            </w:r>
          </w:p>
          <w:p w14:paraId="4D8A70F7">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lang w:eastAsia="zh-CN"/>
              </w:rPr>
            </w:pP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5</w:t>
            </w:r>
            <w:r>
              <w:rPr>
                <w:rFonts w:hint="eastAsia"/>
                <w:color w:val="000000" w:themeColor="text1"/>
                <w:sz w:val="21"/>
                <w:szCs w:val="21"/>
                <w:highlight w:val="none"/>
                <w:lang w:eastAsia="zh-CN"/>
              </w:rPr>
              <w:t>）驶入、驶出</w:t>
            </w:r>
            <w:r>
              <w:rPr>
                <w:rFonts w:hint="eastAsia"/>
                <w:color w:val="000000" w:themeColor="text1"/>
                <w:sz w:val="21"/>
                <w:szCs w:val="21"/>
                <w:highlight w:val="none"/>
                <w:lang w:val="en-US" w:eastAsia="zh-CN"/>
              </w:rPr>
              <w:t>朝鲜河</w:t>
            </w:r>
            <w:r>
              <w:rPr>
                <w:rFonts w:hint="eastAsia"/>
                <w:color w:val="000000" w:themeColor="text1"/>
                <w:sz w:val="21"/>
                <w:szCs w:val="21"/>
                <w:highlight w:val="none"/>
                <w:lang w:eastAsia="zh-CN"/>
              </w:rPr>
              <w:t>路段设置</w:t>
            </w:r>
            <w:r>
              <w:rPr>
                <w:rFonts w:hint="eastAsia"/>
                <w:color w:val="000000" w:themeColor="text1"/>
                <w:sz w:val="21"/>
                <w:szCs w:val="21"/>
                <w:highlight w:val="none"/>
                <w:lang w:val="en-US" w:eastAsia="zh-CN"/>
              </w:rPr>
              <w:t>减速</w:t>
            </w:r>
            <w:r>
              <w:rPr>
                <w:rFonts w:hint="eastAsia"/>
                <w:color w:val="000000" w:themeColor="text1"/>
                <w:sz w:val="21"/>
                <w:szCs w:val="21"/>
                <w:highlight w:val="none"/>
                <w:lang w:eastAsia="zh-CN"/>
              </w:rPr>
              <w:t>标志，提醒物料运输司机此路段</w:t>
            </w:r>
            <w:r>
              <w:rPr>
                <w:rFonts w:hint="eastAsia"/>
                <w:color w:val="000000" w:themeColor="text1"/>
                <w:sz w:val="21"/>
                <w:szCs w:val="21"/>
                <w:highlight w:val="none"/>
                <w:lang w:val="en-US" w:eastAsia="zh-CN"/>
              </w:rPr>
              <w:t>减速</w:t>
            </w:r>
            <w:r>
              <w:rPr>
                <w:rFonts w:hint="eastAsia"/>
                <w:color w:val="000000" w:themeColor="text1"/>
                <w:sz w:val="21"/>
                <w:szCs w:val="21"/>
                <w:highlight w:val="none"/>
                <w:lang w:eastAsia="zh-CN"/>
              </w:rPr>
              <w:t>行驶，减少危险事故的发生。</w:t>
            </w:r>
          </w:p>
          <w:p w14:paraId="5FE27409">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lang w:eastAsia="zh-CN"/>
              </w:rPr>
            </w:pP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6</w:t>
            </w:r>
            <w:r>
              <w:rPr>
                <w:rFonts w:hint="eastAsia"/>
                <w:color w:val="000000" w:themeColor="text1"/>
                <w:sz w:val="21"/>
                <w:szCs w:val="21"/>
                <w:highlight w:val="none"/>
                <w:lang w:eastAsia="zh-CN"/>
              </w:rPr>
              <w:t>）施工期成立专门组织机构，负责组织处理紧急事故，发现事故预兆要及时上报相关部门，并采取措施预防降低事故发生可能性。一旦发生事故，应及时通知主管部门，及时采取减缓措施，减少事故危害范围和程度</w:t>
            </w:r>
            <w:r>
              <w:rPr>
                <w:rFonts w:hint="eastAsia"/>
                <w:color w:val="000000" w:themeColor="text1"/>
                <w:sz w:val="21"/>
                <w:szCs w:val="21"/>
                <w:highlight w:val="none"/>
                <w:lang w:val="en-US" w:eastAsia="zh-CN"/>
              </w:rPr>
              <w:t>及</w:t>
            </w:r>
            <w:r>
              <w:rPr>
                <w:rFonts w:hint="eastAsia"/>
                <w:color w:val="000000" w:themeColor="text1"/>
                <w:sz w:val="21"/>
                <w:szCs w:val="21"/>
                <w:highlight w:val="none"/>
                <w:lang w:eastAsia="zh-CN"/>
              </w:rPr>
              <w:t>对</w:t>
            </w:r>
            <w:r>
              <w:rPr>
                <w:rFonts w:hint="eastAsia"/>
                <w:color w:val="000000" w:themeColor="text1"/>
                <w:sz w:val="21"/>
                <w:szCs w:val="21"/>
                <w:highlight w:val="none"/>
                <w:lang w:val="en-US" w:eastAsia="zh-CN"/>
              </w:rPr>
              <w:t>周边环境</w:t>
            </w:r>
            <w:r>
              <w:rPr>
                <w:rFonts w:hint="eastAsia"/>
                <w:color w:val="000000" w:themeColor="text1"/>
                <w:sz w:val="21"/>
                <w:szCs w:val="21"/>
                <w:highlight w:val="none"/>
                <w:lang w:eastAsia="zh-CN"/>
              </w:rPr>
              <w:t>的影响。</w:t>
            </w:r>
          </w:p>
          <w:p w14:paraId="61FBFBB6">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b/>
                <w:bCs/>
                <w:color w:val="000000" w:themeColor="text1"/>
                <w:sz w:val="21"/>
                <w:szCs w:val="21"/>
                <w:highlight w:val="none"/>
              </w:rPr>
            </w:pPr>
            <w:r>
              <w:rPr>
                <w:rFonts w:hint="eastAsia"/>
                <w:b/>
                <w:bCs/>
                <w:color w:val="000000" w:themeColor="text1"/>
                <w:sz w:val="21"/>
                <w:szCs w:val="21"/>
                <w:highlight w:val="none"/>
                <w:lang w:val="en-US" w:eastAsia="zh-CN"/>
              </w:rPr>
              <w:t>2、运营期</w:t>
            </w:r>
          </w:p>
          <w:p w14:paraId="7FA1EB28">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color w:val="000000" w:themeColor="text1"/>
                <w:sz w:val="21"/>
                <w:szCs w:val="21"/>
                <w:highlight w:val="none"/>
              </w:rPr>
              <w:t>为预防由于客观原因运输危险品车辆进入本工程发生风险事故，结合公路运输实际，具体措施如下：</w:t>
            </w:r>
          </w:p>
          <w:p w14:paraId="007AF6C2">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1）</w:t>
            </w:r>
            <w:r>
              <w:rPr>
                <w:rFonts w:hint="eastAsia"/>
                <w:color w:val="000000" w:themeColor="text1"/>
                <w:sz w:val="21"/>
                <w:szCs w:val="21"/>
                <w:highlight w:val="none"/>
              </w:rPr>
              <w:t>排水设计</w:t>
            </w:r>
          </w:p>
          <w:p w14:paraId="0BD99FDE">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color w:val="000000" w:themeColor="text1"/>
                <w:sz w:val="21"/>
                <w:szCs w:val="21"/>
                <w:highlight w:val="none"/>
                <w:lang w:val="en-US" w:eastAsia="zh-CN"/>
              </w:rPr>
              <w:t>无</w:t>
            </w:r>
            <w:r>
              <w:rPr>
                <w:rFonts w:hint="eastAsia"/>
                <w:color w:val="000000" w:themeColor="text1"/>
                <w:sz w:val="21"/>
                <w:szCs w:val="21"/>
                <w:highlight w:val="none"/>
              </w:rPr>
              <w:t>。</w:t>
            </w:r>
          </w:p>
          <w:p w14:paraId="35E7010F">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color w:val="000000" w:themeColor="text1"/>
                <w:sz w:val="21"/>
                <w:szCs w:val="21"/>
                <w:highlight w:val="none"/>
                <w:lang w:eastAsia="zh-CN"/>
              </w:rPr>
              <w:t>（</w:t>
            </w:r>
            <w:r>
              <w:rPr>
                <w:rFonts w:hint="eastAsia"/>
                <w:color w:val="000000" w:themeColor="text1"/>
                <w:sz w:val="21"/>
                <w:szCs w:val="21"/>
                <w:highlight w:val="none"/>
                <w:lang w:val="en-US" w:eastAsia="zh-CN"/>
              </w:rPr>
              <w:t>2）</w:t>
            </w:r>
            <w:r>
              <w:rPr>
                <w:rFonts w:hint="eastAsia"/>
                <w:color w:val="000000" w:themeColor="text1"/>
                <w:sz w:val="21"/>
                <w:szCs w:val="21"/>
                <w:highlight w:val="none"/>
              </w:rPr>
              <w:t>防护栏设计</w:t>
            </w:r>
          </w:p>
          <w:p w14:paraId="092C1D2D">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color w:val="000000" w:themeColor="text1"/>
                <w:sz w:val="21"/>
                <w:szCs w:val="21"/>
                <w:highlight w:val="none"/>
              </w:rPr>
              <w:t>本项目设计速度为</w:t>
            </w:r>
            <w:r>
              <w:rPr>
                <w:rFonts w:hint="eastAsia"/>
                <w:color w:val="000000" w:themeColor="text1"/>
                <w:sz w:val="21"/>
                <w:szCs w:val="21"/>
                <w:highlight w:val="none"/>
                <w:lang w:val="en-US" w:eastAsia="zh-CN"/>
              </w:rPr>
              <w:t>60</w:t>
            </w:r>
            <w:r>
              <w:rPr>
                <w:rFonts w:hint="eastAsia"/>
                <w:color w:val="000000" w:themeColor="text1"/>
                <w:sz w:val="21"/>
                <w:szCs w:val="21"/>
                <w:highlight w:val="none"/>
              </w:rPr>
              <w:t>km/h，根据规范，防撞等级最低应为A级。本次评价要求在</w:t>
            </w:r>
            <w:r>
              <w:rPr>
                <w:rFonts w:hint="eastAsia"/>
                <w:color w:val="000000" w:themeColor="text1"/>
                <w:sz w:val="21"/>
                <w:szCs w:val="21"/>
                <w:highlight w:val="none"/>
                <w:lang w:val="en-US" w:eastAsia="zh-CN"/>
              </w:rPr>
              <w:t>跨越水体的桥梁及跨越铁路桥梁两侧采用钢筋混凝土防撞护栏（护栏高度不低于1.5m），</w:t>
            </w:r>
            <w:r>
              <w:rPr>
                <w:rFonts w:hint="eastAsia"/>
                <w:color w:val="000000" w:themeColor="text1"/>
                <w:sz w:val="21"/>
                <w:szCs w:val="21"/>
                <w:highlight w:val="none"/>
              </w:rPr>
              <w:t>进一步确保了90%以上失控车辆不越出、冲断或下穿护栏，将最大限度地降低运输车辆撞击护栏冲出路面的概率</w:t>
            </w:r>
            <w:r>
              <w:rPr>
                <w:rFonts w:hint="eastAsia"/>
                <w:color w:val="000000" w:themeColor="text1"/>
                <w:sz w:val="21"/>
                <w:szCs w:val="21"/>
                <w:highlight w:val="none"/>
                <w:lang w:val="en-US" w:eastAsia="zh-CN"/>
              </w:rPr>
              <w:t>；在跨河桥梁路段设置“减速行驶、安全驾驶”的警示牌</w:t>
            </w:r>
            <w:r>
              <w:rPr>
                <w:rFonts w:hint="eastAsia"/>
                <w:color w:val="000000" w:themeColor="text1"/>
                <w:sz w:val="21"/>
                <w:szCs w:val="21"/>
                <w:highlight w:val="none"/>
              </w:rPr>
              <w:t>，从而大大降低对河流水体污染的几率。</w:t>
            </w:r>
          </w:p>
          <w:p w14:paraId="279316D4">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color w:val="000000" w:themeColor="text1"/>
                <w:sz w:val="21"/>
                <w:szCs w:val="21"/>
                <w:highlight w:val="none"/>
                <w:lang w:val="en-US" w:eastAsia="zh-CN"/>
              </w:rPr>
              <w:t>（3）</w:t>
            </w:r>
            <w:r>
              <w:rPr>
                <w:rFonts w:hint="eastAsia"/>
                <w:color w:val="000000" w:themeColor="text1"/>
                <w:sz w:val="21"/>
                <w:szCs w:val="21"/>
                <w:highlight w:val="none"/>
              </w:rPr>
              <w:t>管理措施</w:t>
            </w:r>
          </w:p>
          <w:p w14:paraId="6DC8C2BC">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ascii="宋体" w:hAnsi="宋体" w:eastAsia="宋体" w:cs="宋体"/>
                <w:color w:val="000000" w:themeColor="text1"/>
                <w:sz w:val="21"/>
                <w:szCs w:val="21"/>
                <w:highlight w:val="none"/>
              </w:rPr>
              <w:t>①</w:t>
            </w:r>
            <w:r>
              <w:rPr>
                <w:rFonts w:hint="eastAsia"/>
                <w:color w:val="000000" w:themeColor="text1"/>
                <w:sz w:val="21"/>
                <w:szCs w:val="21"/>
                <w:highlight w:val="none"/>
              </w:rPr>
              <w:t>在运输危险化学品发生事故时，相关驾驶人员、押运人员应当立即采取相应的警示和安全措施，并向当地公安部门报告。公安部门接到报告后，组织做好污染事件现场附近的交通管制，控制事态发展，并按照编制的《环境风险应急预案》要求，向</w:t>
            </w:r>
            <w:r>
              <w:rPr>
                <w:rFonts w:hint="eastAsia"/>
                <w:color w:val="000000" w:themeColor="text1"/>
                <w:sz w:val="21"/>
                <w:szCs w:val="21"/>
                <w:highlight w:val="none"/>
                <w:lang w:val="en-US" w:eastAsia="zh-CN"/>
              </w:rPr>
              <w:t>鹤岗市</w:t>
            </w:r>
            <w:r>
              <w:rPr>
                <w:rFonts w:hint="eastAsia"/>
                <w:color w:val="000000" w:themeColor="text1"/>
                <w:sz w:val="21"/>
                <w:szCs w:val="21"/>
                <w:highlight w:val="none"/>
              </w:rPr>
              <w:t>人民政府和相关部门报告。</w:t>
            </w:r>
          </w:p>
          <w:p w14:paraId="0B9EF90B">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ascii="宋体" w:hAnsi="宋体" w:eastAsia="宋体" w:cs="宋体"/>
                <w:color w:val="000000" w:themeColor="text1"/>
                <w:sz w:val="21"/>
                <w:szCs w:val="21"/>
                <w:highlight w:val="none"/>
              </w:rPr>
              <w:t>②</w:t>
            </w:r>
            <w:r>
              <w:rPr>
                <w:rFonts w:hint="eastAsia"/>
                <w:color w:val="000000" w:themeColor="text1"/>
                <w:sz w:val="21"/>
                <w:szCs w:val="21"/>
                <w:highlight w:val="none"/>
              </w:rPr>
              <w:t>加强桥涵路段内侧防撞护栏设计；跨越桥梁路段设置警示牌，提醒司机进入减速慢行，谨慎驾驶。</w:t>
            </w:r>
          </w:p>
          <w:p w14:paraId="0D01BFAF">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ascii="宋体" w:hAnsi="宋体" w:eastAsia="宋体" w:cs="宋体"/>
                <w:color w:val="000000" w:themeColor="text1"/>
                <w:sz w:val="21"/>
                <w:szCs w:val="21"/>
                <w:highlight w:val="none"/>
              </w:rPr>
              <w:t>③</w:t>
            </w:r>
            <w:r>
              <w:rPr>
                <w:rFonts w:hint="eastAsia"/>
                <w:color w:val="000000" w:themeColor="text1"/>
                <w:sz w:val="21"/>
                <w:szCs w:val="21"/>
                <w:highlight w:val="none"/>
              </w:rPr>
              <w:t>运输车辆要有明显标志，应严格执行《化学危险品安全管理条例》等危险品运输的有关规定，对运输危险品车辆实行申报管理制度。车主需填写申报表，主要内容有危险货物执照号码、货物品种等级和编号、收发货人名称、装卸地点、货物特性等。</w:t>
            </w:r>
          </w:p>
          <w:p w14:paraId="4979085E">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ascii="宋体" w:hAnsi="宋体" w:eastAsia="宋体" w:cs="宋体"/>
                <w:color w:val="000000" w:themeColor="text1"/>
                <w:sz w:val="21"/>
                <w:szCs w:val="21"/>
                <w:highlight w:val="none"/>
              </w:rPr>
              <w:t>④</w:t>
            </w:r>
            <w:r>
              <w:rPr>
                <w:rFonts w:hint="eastAsia"/>
                <w:color w:val="000000" w:themeColor="text1"/>
                <w:sz w:val="21"/>
                <w:szCs w:val="21"/>
                <w:highlight w:val="none"/>
              </w:rPr>
              <w:t>对申报运输危险品车辆进行</w:t>
            </w:r>
            <w:r>
              <w:rPr>
                <w:rFonts w:hint="eastAsia"/>
                <w:color w:val="000000" w:themeColor="text1"/>
                <w:sz w:val="21"/>
                <w:szCs w:val="21"/>
                <w:highlight w:val="none"/>
                <w:lang w:eastAsia="zh-CN"/>
              </w:rPr>
              <w:t>“</w:t>
            </w:r>
            <w:r>
              <w:rPr>
                <w:rFonts w:hint="eastAsia"/>
                <w:color w:val="000000" w:themeColor="text1"/>
                <w:sz w:val="21"/>
                <w:szCs w:val="21"/>
                <w:highlight w:val="none"/>
              </w:rPr>
              <w:t>准运证</w:t>
            </w:r>
            <w:r>
              <w:rPr>
                <w:rFonts w:hint="eastAsia"/>
                <w:color w:val="000000" w:themeColor="text1"/>
                <w:sz w:val="21"/>
                <w:szCs w:val="21"/>
                <w:highlight w:val="none"/>
                <w:lang w:eastAsia="zh-CN"/>
              </w:rPr>
              <w:t>”</w:t>
            </w:r>
            <w:r>
              <w:rPr>
                <w:rFonts w:hint="eastAsia"/>
                <w:color w:val="000000" w:themeColor="text1"/>
                <w:sz w:val="21"/>
                <w:szCs w:val="21"/>
                <w:highlight w:val="none"/>
              </w:rPr>
              <w:t>、</w:t>
            </w:r>
            <w:r>
              <w:rPr>
                <w:rFonts w:hint="eastAsia"/>
                <w:color w:val="000000" w:themeColor="text1"/>
                <w:sz w:val="21"/>
                <w:szCs w:val="21"/>
                <w:highlight w:val="none"/>
                <w:lang w:eastAsia="zh-CN"/>
              </w:rPr>
              <w:t>“</w:t>
            </w:r>
            <w:r>
              <w:rPr>
                <w:rFonts w:hint="eastAsia"/>
                <w:color w:val="000000" w:themeColor="text1"/>
                <w:sz w:val="21"/>
                <w:szCs w:val="21"/>
                <w:highlight w:val="none"/>
              </w:rPr>
              <w:t>驾驶员证</w:t>
            </w:r>
            <w:r>
              <w:rPr>
                <w:rFonts w:hint="eastAsia"/>
                <w:color w:val="000000" w:themeColor="text1"/>
                <w:sz w:val="21"/>
                <w:szCs w:val="21"/>
                <w:highlight w:val="none"/>
                <w:lang w:eastAsia="zh-CN"/>
              </w:rPr>
              <w:t>”</w:t>
            </w:r>
            <w:r>
              <w:rPr>
                <w:rFonts w:hint="eastAsia"/>
                <w:color w:val="000000" w:themeColor="text1"/>
                <w:sz w:val="21"/>
                <w:szCs w:val="21"/>
                <w:highlight w:val="none"/>
              </w:rPr>
              <w:t>、</w:t>
            </w:r>
            <w:r>
              <w:rPr>
                <w:rFonts w:hint="eastAsia"/>
                <w:color w:val="000000" w:themeColor="text1"/>
                <w:sz w:val="21"/>
                <w:szCs w:val="21"/>
                <w:highlight w:val="none"/>
                <w:lang w:eastAsia="zh-CN"/>
              </w:rPr>
              <w:t>“</w:t>
            </w:r>
            <w:r>
              <w:rPr>
                <w:rFonts w:hint="eastAsia"/>
                <w:color w:val="000000" w:themeColor="text1"/>
                <w:sz w:val="21"/>
                <w:szCs w:val="21"/>
                <w:highlight w:val="none"/>
              </w:rPr>
              <w:t>押运员证</w:t>
            </w:r>
            <w:r>
              <w:rPr>
                <w:rFonts w:hint="eastAsia"/>
                <w:color w:val="000000" w:themeColor="text1"/>
                <w:sz w:val="21"/>
                <w:szCs w:val="21"/>
                <w:highlight w:val="none"/>
                <w:lang w:eastAsia="zh-CN"/>
              </w:rPr>
              <w:t>”</w:t>
            </w:r>
            <w:r>
              <w:rPr>
                <w:rFonts w:hint="eastAsia"/>
                <w:color w:val="000000" w:themeColor="text1"/>
                <w:sz w:val="21"/>
                <w:szCs w:val="21"/>
                <w:highlight w:val="none"/>
              </w:rPr>
              <w:t>和危险品运输行车路单（以下简称</w:t>
            </w:r>
            <w:r>
              <w:rPr>
                <w:rFonts w:hint="eastAsia"/>
                <w:color w:val="000000" w:themeColor="text1"/>
                <w:sz w:val="21"/>
                <w:szCs w:val="21"/>
                <w:highlight w:val="none"/>
                <w:lang w:eastAsia="zh-CN"/>
              </w:rPr>
              <w:t>“</w:t>
            </w:r>
            <w:r>
              <w:rPr>
                <w:rFonts w:hint="eastAsia"/>
                <w:color w:val="000000" w:themeColor="text1"/>
                <w:sz w:val="21"/>
                <w:szCs w:val="21"/>
                <w:highlight w:val="none"/>
              </w:rPr>
              <w:t>三证一单</w:t>
            </w:r>
            <w:r>
              <w:rPr>
                <w:rFonts w:hint="eastAsia"/>
                <w:color w:val="000000" w:themeColor="text1"/>
                <w:sz w:val="21"/>
                <w:szCs w:val="21"/>
                <w:highlight w:val="none"/>
                <w:lang w:eastAsia="zh-CN"/>
              </w:rPr>
              <w:t>”</w:t>
            </w:r>
            <w:r>
              <w:rPr>
                <w:rFonts w:hint="eastAsia"/>
                <w:color w:val="000000" w:themeColor="text1"/>
                <w:sz w:val="21"/>
                <w:szCs w:val="21"/>
                <w:highlight w:val="none"/>
              </w:rPr>
              <w:t>）检查，</w:t>
            </w:r>
            <w:r>
              <w:rPr>
                <w:rFonts w:hint="eastAsia"/>
                <w:color w:val="000000" w:themeColor="text1"/>
                <w:sz w:val="21"/>
                <w:szCs w:val="21"/>
                <w:highlight w:val="none"/>
                <w:lang w:eastAsia="zh-CN"/>
              </w:rPr>
              <w:t>“</w:t>
            </w:r>
            <w:r>
              <w:rPr>
                <w:rFonts w:hint="eastAsia"/>
                <w:color w:val="000000" w:themeColor="text1"/>
                <w:sz w:val="21"/>
                <w:szCs w:val="21"/>
                <w:highlight w:val="none"/>
              </w:rPr>
              <w:t>三证一单</w:t>
            </w:r>
            <w:r>
              <w:rPr>
                <w:rFonts w:hint="eastAsia"/>
                <w:color w:val="000000" w:themeColor="text1"/>
                <w:sz w:val="21"/>
                <w:szCs w:val="21"/>
                <w:highlight w:val="none"/>
                <w:lang w:eastAsia="zh-CN"/>
              </w:rPr>
              <w:t>”</w:t>
            </w:r>
            <w:r>
              <w:rPr>
                <w:rFonts w:hint="eastAsia"/>
                <w:color w:val="000000" w:themeColor="text1"/>
                <w:sz w:val="21"/>
                <w:szCs w:val="21"/>
                <w:highlight w:val="none"/>
              </w:rPr>
              <w:t>不全车辆将不允许驶上公路；检查运输危险品车辆是否安装GPS定位系统，是否按照危险品运输路线运行；除证件检查外，必要时应对运输危险品车辆进行安全检查。</w:t>
            </w:r>
          </w:p>
          <w:p w14:paraId="032F379E">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ascii="宋体" w:hAnsi="宋体" w:eastAsia="宋体" w:cs="宋体"/>
                <w:color w:val="000000" w:themeColor="text1"/>
                <w:sz w:val="21"/>
                <w:szCs w:val="21"/>
                <w:highlight w:val="none"/>
              </w:rPr>
              <w:t>⑤</w:t>
            </w:r>
            <w:r>
              <w:rPr>
                <w:rFonts w:hint="eastAsia"/>
                <w:color w:val="000000" w:themeColor="text1"/>
                <w:sz w:val="21"/>
                <w:szCs w:val="21"/>
                <w:highlight w:val="none"/>
              </w:rPr>
              <w:t>运输危险品车辆必须设置防渗、防漏设施，严禁超载运输。加强对运输危险品车辆进行的有效管理，在不良天气状况下，如遇暴雨、暴雪、大风、大雾、沙尘暴等不利气象条件时，应禁止危险品运输车辆上路，或者由公路养护管理部门派人协调指挥危险品运输车辆安全通过。</w:t>
            </w:r>
          </w:p>
          <w:p w14:paraId="26A8E0B7">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000000" w:themeColor="text1"/>
                <w:sz w:val="21"/>
                <w:szCs w:val="21"/>
                <w:highlight w:val="none"/>
              </w:rPr>
            </w:pPr>
            <w:r>
              <w:rPr>
                <w:rFonts w:hint="eastAsia" w:ascii="宋体" w:hAnsi="宋体" w:eastAsia="宋体" w:cs="宋体"/>
                <w:color w:val="000000" w:themeColor="text1"/>
                <w:sz w:val="21"/>
                <w:szCs w:val="21"/>
                <w:highlight w:val="none"/>
              </w:rPr>
              <w:t>⑥</w:t>
            </w:r>
            <w:r>
              <w:rPr>
                <w:rFonts w:hint="eastAsia"/>
                <w:color w:val="000000" w:themeColor="text1"/>
                <w:sz w:val="21"/>
                <w:szCs w:val="21"/>
                <w:highlight w:val="none"/>
              </w:rPr>
              <w:t>建立一支现代化的养护队伍，保证公路路面清洁、畅通，降雪后要及时清除路面畅通，减少因积雪导致的交通事故发生。</w:t>
            </w:r>
          </w:p>
          <w:p w14:paraId="46E7CB53">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r>
              <w:rPr>
                <w:rFonts w:hint="eastAsia" w:ascii="宋体" w:hAnsi="宋体" w:eastAsia="宋体" w:cs="宋体"/>
                <w:color w:val="000000" w:themeColor="text1"/>
                <w:sz w:val="21"/>
                <w:szCs w:val="21"/>
                <w:highlight w:val="none"/>
              </w:rPr>
              <w:t>⑦</w:t>
            </w:r>
            <w:r>
              <w:rPr>
                <w:rFonts w:hint="eastAsia"/>
                <w:color w:val="000000" w:themeColor="text1"/>
                <w:sz w:val="21"/>
                <w:szCs w:val="21"/>
                <w:highlight w:val="none"/>
              </w:rPr>
              <w:t>为了确保发生突发性事故时可以得到及时处置，公路管理部门应在工程运营期建立一支应急消防队伍，在发生风险事故立即报告</w:t>
            </w:r>
            <w:r>
              <w:rPr>
                <w:rFonts w:hint="eastAsia"/>
                <w:color w:val="000000" w:themeColor="text1"/>
                <w:sz w:val="21"/>
                <w:szCs w:val="21"/>
                <w:highlight w:val="none"/>
                <w:lang w:val="en-US" w:eastAsia="zh-CN"/>
              </w:rPr>
              <w:t>鹤岗市</w:t>
            </w:r>
            <w:r>
              <w:rPr>
                <w:rFonts w:hint="eastAsia"/>
                <w:color w:val="000000" w:themeColor="text1"/>
                <w:sz w:val="21"/>
                <w:szCs w:val="21"/>
                <w:highlight w:val="none"/>
              </w:rPr>
              <w:t>人民政府，并在当地政府部门指挥下，与地方消防、公安和环保部门一起，及时妥善处理好事故。</w:t>
            </w:r>
          </w:p>
        </w:tc>
      </w:tr>
      <w:tr w14:paraId="5DA67425">
        <w:tblPrEx>
          <w:tblCellMar>
            <w:top w:w="0" w:type="dxa"/>
            <w:left w:w="108" w:type="dxa"/>
            <w:bottom w:w="0" w:type="dxa"/>
            <w:right w:w="108" w:type="dxa"/>
          </w:tblCellMar>
        </w:tblPrEx>
        <w:trPr>
          <w:trHeight w:val="817" w:hRule="atLeast"/>
          <w:jc w:val="center"/>
        </w:trPr>
        <w:tc>
          <w:tcPr>
            <w:tcW w:w="1893" w:type="dxa"/>
            <w:gridSpan w:val="2"/>
            <w:tcBorders>
              <w:top w:val="single" w:color="auto" w:sz="4" w:space="0"/>
              <w:left w:val="single" w:color="auto" w:sz="4" w:space="0"/>
              <w:bottom w:val="single" w:color="auto" w:sz="4" w:space="0"/>
              <w:right w:val="single" w:color="auto" w:sz="4" w:space="0"/>
            </w:tcBorders>
            <w:vAlign w:val="center"/>
          </w:tcPr>
          <w:p w14:paraId="74A5FB0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000000" w:themeColor="text1"/>
                <w:sz w:val="21"/>
                <w:szCs w:val="21"/>
                <w:highlight w:val="none"/>
              </w:rPr>
            </w:pPr>
            <w:r>
              <w:rPr>
                <w:color w:val="000000" w:themeColor="text1"/>
                <w:sz w:val="21"/>
                <w:szCs w:val="21"/>
                <w:highlight w:val="none"/>
              </w:rPr>
              <w:t>评价结论与建议</w:t>
            </w:r>
          </w:p>
        </w:tc>
        <w:tc>
          <w:tcPr>
            <w:tcW w:w="6623" w:type="dxa"/>
            <w:gridSpan w:val="21"/>
            <w:tcBorders>
              <w:top w:val="single" w:color="auto" w:sz="4" w:space="0"/>
              <w:left w:val="nil"/>
              <w:bottom w:val="single" w:color="auto" w:sz="4" w:space="0"/>
              <w:right w:val="single" w:color="auto" w:sz="4" w:space="0"/>
            </w:tcBorders>
            <w:vAlign w:val="center"/>
          </w:tcPr>
          <w:p w14:paraId="5394E420">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color w:val="000000" w:themeColor="text1"/>
                <w:sz w:val="21"/>
                <w:szCs w:val="21"/>
                <w:highlight w:val="none"/>
              </w:rPr>
            </w:pPr>
            <w:r>
              <w:rPr>
                <w:color w:val="000000" w:themeColor="text1"/>
                <w:sz w:val="21"/>
                <w:szCs w:val="21"/>
                <w:highlight w:val="none"/>
              </w:rPr>
              <w:t>本项目采取切实可行的风险事故防范措施并制定风险应急预案，发生风险事故时应立即启动《风险事故预案》，在严格落实风险管理及应急措施后，可将风险发生的概率和影响后果降到最低限度。</w:t>
            </w:r>
          </w:p>
        </w:tc>
      </w:tr>
      <w:tr w14:paraId="289439E2">
        <w:tblPrEx>
          <w:tblCellMar>
            <w:top w:w="0" w:type="dxa"/>
            <w:left w:w="108" w:type="dxa"/>
            <w:bottom w:w="0" w:type="dxa"/>
            <w:right w:w="108" w:type="dxa"/>
          </w:tblCellMar>
        </w:tblPrEx>
        <w:trPr>
          <w:trHeight w:val="397" w:hRule="atLeast"/>
          <w:jc w:val="center"/>
        </w:trPr>
        <w:tc>
          <w:tcPr>
            <w:tcW w:w="8516" w:type="dxa"/>
            <w:gridSpan w:val="23"/>
            <w:tcBorders>
              <w:top w:val="single" w:color="auto" w:sz="4" w:space="0"/>
              <w:left w:val="single" w:color="auto" w:sz="4" w:space="0"/>
              <w:bottom w:val="single" w:color="auto" w:sz="4" w:space="0"/>
              <w:right w:val="single" w:color="auto" w:sz="4" w:space="0"/>
            </w:tcBorders>
            <w:vAlign w:val="center"/>
          </w:tcPr>
          <w:p w14:paraId="0BD593EB">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color w:val="000000" w:themeColor="text1"/>
                <w:sz w:val="21"/>
                <w:szCs w:val="21"/>
                <w:highlight w:val="none"/>
              </w:rPr>
            </w:pPr>
            <w:r>
              <w:rPr>
                <w:color w:val="000000" w:themeColor="text1"/>
                <w:sz w:val="21"/>
                <w:szCs w:val="21"/>
                <w:highlight w:val="none"/>
              </w:rPr>
              <w:t>注：</w:t>
            </w:r>
            <w:r>
              <w:rPr>
                <w:rFonts w:hint="eastAsia"/>
                <w:color w:val="000000" w:themeColor="text1"/>
                <w:sz w:val="21"/>
                <w:szCs w:val="21"/>
                <w:highlight w:val="none"/>
                <w:lang w:eastAsia="zh-CN"/>
              </w:rPr>
              <w:t>“</w:t>
            </w:r>
            <w:r>
              <w:rPr>
                <w:color w:val="000000" w:themeColor="text1"/>
                <w:sz w:val="21"/>
                <w:szCs w:val="21"/>
                <w:highlight w:val="none"/>
              </w:rPr>
              <w:t>□</w:t>
            </w:r>
            <w:r>
              <w:rPr>
                <w:rFonts w:hint="eastAsia"/>
                <w:color w:val="000000" w:themeColor="text1"/>
                <w:sz w:val="21"/>
                <w:szCs w:val="21"/>
                <w:highlight w:val="none"/>
                <w:lang w:eastAsia="zh-CN"/>
              </w:rPr>
              <w:t>”</w:t>
            </w:r>
            <w:r>
              <w:rPr>
                <w:color w:val="000000" w:themeColor="text1"/>
                <w:sz w:val="21"/>
                <w:szCs w:val="21"/>
                <w:highlight w:val="none"/>
              </w:rPr>
              <w:t>为勾选项，</w:t>
            </w:r>
            <w:r>
              <w:rPr>
                <w:rFonts w:hint="eastAsia"/>
                <w:color w:val="000000" w:themeColor="text1"/>
                <w:sz w:val="21"/>
                <w:szCs w:val="21"/>
                <w:highlight w:val="none"/>
                <w:lang w:eastAsia="zh-CN"/>
              </w:rPr>
              <w:t>“</w:t>
            </w:r>
            <w:r>
              <w:rPr>
                <w:color w:val="000000" w:themeColor="text1"/>
                <w:sz w:val="21"/>
                <w:szCs w:val="21"/>
                <w:highlight w:val="none"/>
              </w:rPr>
              <w:t xml:space="preserve"> </w:t>
            </w:r>
            <w:r>
              <w:rPr>
                <w:rFonts w:hint="eastAsia"/>
                <w:color w:val="000000" w:themeColor="text1"/>
                <w:sz w:val="21"/>
                <w:szCs w:val="21"/>
                <w:highlight w:val="none"/>
                <w:lang w:eastAsia="zh-CN"/>
              </w:rPr>
              <w:t>”</w:t>
            </w:r>
            <w:r>
              <w:rPr>
                <w:color w:val="000000" w:themeColor="text1"/>
                <w:sz w:val="21"/>
                <w:szCs w:val="21"/>
                <w:highlight w:val="none"/>
              </w:rPr>
              <w:t>为填写项。</w:t>
            </w:r>
          </w:p>
        </w:tc>
      </w:tr>
    </w:tbl>
    <w:p w14:paraId="668379A0">
      <w:pPr>
        <w:rPr>
          <w:color w:val="000000" w:themeColor="text1"/>
          <w:highlight w:val="none"/>
        </w:rPr>
      </w:pPr>
    </w:p>
    <w:p w14:paraId="043EC2C6">
      <w:pPr>
        <w:pageBreakBefore w:val="0"/>
        <w:wordWrap/>
        <w:topLinePunct w:val="0"/>
        <w:bidi w:val="0"/>
        <w:spacing w:line="360" w:lineRule="auto"/>
        <w:rPr>
          <w:color w:val="000000" w:themeColor="text1"/>
          <w:highlight w:val="none"/>
        </w:rPr>
      </w:pPr>
    </w:p>
    <w:p w14:paraId="56D06EB1">
      <w:pPr>
        <w:pStyle w:val="42"/>
        <w:rPr>
          <w:color w:val="000000" w:themeColor="text1"/>
          <w:highlight w:val="none"/>
        </w:rPr>
      </w:pPr>
    </w:p>
    <w:p w14:paraId="2A33A71E">
      <w:pPr>
        <w:rPr>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16C0C0A1">
      <w:pPr>
        <w:ind w:left="0" w:leftChars="0" w:firstLine="0" w:firstLineChars="0"/>
        <w:rPr>
          <w:color w:val="000000" w:themeColor="text1"/>
          <w:highlight w:val="none"/>
        </w:rPr>
      </w:pPr>
      <w:r>
        <w:rPr>
          <w:rFonts w:hint="default" w:ascii="Times New Roman" w:hAnsi="Times New Roman" w:cs="Times New Roman"/>
          <w:b/>
          <w:bCs/>
          <w:color w:val="000000" w:themeColor="text1"/>
          <w:highlight w:val="none"/>
          <w:lang w:val="en-US" w:eastAsia="zh-CN"/>
        </w:rPr>
        <w:t>附图1 项目地理位置图</w:t>
      </w:r>
    </w:p>
    <w:p w14:paraId="3BD57B1B">
      <w:pPr>
        <w:spacing w:line="240" w:lineRule="auto"/>
        <w:ind w:left="0" w:leftChars="0" w:firstLine="0" w:firstLineChars="0"/>
        <w:rPr>
          <w:rFonts w:hint="eastAsia" w:eastAsia="宋体"/>
          <w:b/>
          <w:bCs/>
          <w:color w:val="000000" w:themeColor="text1"/>
          <w:highlight w:val="none"/>
          <w:lang w:eastAsia="zh-CN"/>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linePitch="312" w:charSpace="0"/>
        </w:sectPr>
      </w:pPr>
      <w:r>
        <w:rPr>
          <w:rFonts w:hint="eastAsia" w:eastAsia="宋体"/>
          <w:b/>
          <w:bCs/>
          <w:color w:val="000000" w:themeColor="text1"/>
          <w:highlight w:val="none"/>
          <w:lang w:eastAsia="zh-CN"/>
        </w:rPr>
        <w:drawing>
          <wp:inline distT="0" distB="0" distL="114300" distR="114300">
            <wp:extent cx="6584315" cy="4627245"/>
            <wp:effectExtent l="0" t="0" r="6985" b="1905"/>
            <wp:docPr id="55" name="图片 55" descr="174047297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740472971256"/>
                    <pic:cNvPicPr>
                      <a:picLocks noChangeAspect="1"/>
                    </pic:cNvPicPr>
                  </pic:nvPicPr>
                  <pic:blipFill>
                    <a:blip r:embed="rId87"/>
                    <a:stretch>
                      <a:fillRect/>
                    </a:stretch>
                  </pic:blipFill>
                  <pic:spPr>
                    <a:xfrm>
                      <a:off x="0" y="0"/>
                      <a:ext cx="6584315" cy="4627245"/>
                    </a:xfrm>
                    <a:prstGeom prst="rect">
                      <a:avLst/>
                    </a:prstGeom>
                  </pic:spPr>
                </pic:pic>
              </a:graphicData>
            </a:graphic>
          </wp:inline>
        </w:drawing>
      </w:r>
    </w:p>
    <w:p w14:paraId="073F7519">
      <w:pPr>
        <w:spacing w:line="240" w:lineRule="auto"/>
        <w:ind w:left="0" w:leftChars="0" w:firstLine="0" w:firstLineChars="0"/>
        <w:rPr>
          <w:b/>
          <w:bCs/>
          <w:color w:val="000000" w:themeColor="text1"/>
          <w:highlight w:val="none"/>
        </w:rPr>
      </w:pPr>
      <w:r>
        <w:rPr>
          <w:b/>
          <w:bCs/>
          <w:color w:val="000000" w:themeColor="text1"/>
          <w:highlight w:val="none"/>
        </w:rPr>
        <w:t>附图</w:t>
      </w:r>
      <w:r>
        <w:rPr>
          <w:rFonts w:hint="eastAsia"/>
          <w:b/>
          <w:bCs/>
          <w:color w:val="000000" w:themeColor="text1"/>
          <w:highlight w:val="none"/>
          <w:lang w:val="en-US" w:eastAsia="zh-CN"/>
        </w:rPr>
        <w:t xml:space="preserve">2 </w:t>
      </w:r>
      <w:r>
        <w:rPr>
          <w:b/>
          <w:bCs/>
          <w:color w:val="000000" w:themeColor="text1"/>
          <w:highlight w:val="none"/>
        </w:rPr>
        <w:t>线路平</w:t>
      </w:r>
      <w:r>
        <w:rPr>
          <w:rFonts w:hint="eastAsia"/>
          <w:b/>
          <w:bCs/>
          <w:color w:val="000000" w:themeColor="text1"/>
          <w:highlight w:val="none"/>
          <w:lang w:eastAsia="zh-CN"/>
        </w:rPr>
        <w:t>、</w:t>
      </w:r>
      <w:r>
        <w:rPr>
          <w:b/>
          <w:bCs/>
          <w:color w:val="000000" w:themeColor="text1"/>
          <w:highlight w:val="none"/>
        </w:rPr>
        <w:t>纵面</w:t>
      </w:r>
      <w:r>
        <w:rPr>
          <w:rFonts w:hint="eastAsia"/>
          <w:b/>
          <w:bCs/>
          <w:color w:val="000000" w:themeColor="text1"/>
          <w:highlight w:val="none"/>
          <w:lang w:val="en-US" w:eastAsia="zh-CN"/>
        </w:rPr>
        <w:t>断</w:t>
      </w:r>
      <w:r>
        <w:rPr>
          <w:b/>
          <w:bCs/>
          <w:color w:val="000000" w:themeColor="text1"/>
          <w:highlight w:val="none"/>
        </w:rPr>
        <w:t>缩</w:t>
      </w:r>
      <w:r>
        <w:rPr>
          <w:rFonts w:hint="eastAsia"/>
          <w:b/>
          <w:bCs/>
          <w:color w:val="000000" w:themeColor="text1"/>
          <w:highlight w:val="none"/>
          <w:lang w:val="en-US" w:eastAsia="zh-CN"/>
        </w:rPr>
        <w:t>图</w:t>
      </w:r>
    </w:p>
    <w:p w14:paraId="13BB92C3">
      <w:pPr>
        <w:spacing w:line="240" w:lineRule="auto"/>
        <w:ind w:left="0" w:leftChars="0" w:firstLine="0" w:firstLineChars="0"/>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6619240" cy="4840605"/>
            <wp:effectExtent l="0" t="0" r="10160" b="17145"/>
            <wp:docPr id="99" name="图片 99" descr="174047344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1740473444018"/>
                    <pic:cNvPicPr>
                      <a:picLocks noChangeAspect="1"/>
                    </pic:cNvPicPr>
                  </pic:nvPicPr>
                  <pic:blipFill>
                    <a:blip r:embed="rId88"/>
                    <a:stretch>
                      <a:fillRect/>
                    </a:stretch>
                  </pic:blipFill>
                  <pic:spPr>
                    <a:xfrm>
                      <a:off x="0" y="0"/>
                      <a:ext cx="6619240" cy="4840605"/>
                    </a:xfrm>
                    <a:prstGeom prst="rect">
                      <a:avLst/>
                    </a:prstGeom>
                  </pic:spPr>
                </pic:pic>
              </a:graphicData>
            </a:graphic>
          </wp:inline>
        </w:drawing>
      </w:r>
    </w:p>
    <w:p w14:paraId="1C1D4EFF">
      <w:pPr>
        <w:ind w:left="0" w:leftChars="0" w:firstLine="0" w:firstLineChars="0"/>
        <w:rPr>
          <w:b/>
          <w:bCs/>
          <w:color w:val="000000" w:themeColor="text1"/>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linePitch="312" w:charSpace="0"/>
        </w:sectPr>
      </w:pPr>
    </w:p>
    <w:p w14:paraId="073E8701">
      <w:pPr>
        <w:ind w:left="0" w:leftChars="0" w:firstLine="0" w:firstLineChars="0"/>
        <w:rPr>
          <w:color w:val="000000" w:themeColor="text1"/>
          <w:highlight w:val="none"/>
        </w:rPr>
      </w:pPr>
      <w:r>
        <w:rPr>
          <w:b/>
          <w:bCs/>
          <w:color w:val="000000" w:themeColor="text1"/>
          <w:highlight w:val="none"/>
        </w:rPr>
        <w:t>附图</w:t>
      </w:r>
      <w:r>
        <w:rPr>
          <w:rFonts w:hint="eastAsia"/>
          <w:b/>
          <w:bCs/>
          <w:color w:val="000000" w:themeColor="text1"/>
          <w:highlight w:val="none"/>
          <w:lang w:val="en-US" w:eastAsia="zh-CN"/>
        </w:rPr>
        <w:t xml:space="preserve">3 </w:t>
      </w:r>
      <w:r>
        <w:rPr>
          <w:b/>
          <w:bCs/>
          <w:color w:val="000000" w:themeColor="text1"/>
          <w:highlight w:val="none"/>
        </w:rPr>
        <w:t>线路平面图</w:t>
      </w:r>
    </w:p>
    <w:p w14:paraId="6BFAFF11">
      <w:pPr>
        <w:spacing w:line="240" w:lineRule="auto"/>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6363335" cy="4639310"/>
            <wp:effectExtent l="0" t="0" r="18415" b="8890"/>
            <wp:docPr id="56" name="图片 56" descr="174047308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1740473088099"/>
                    <pic:cNvPicPr>
                      <a:picLocks noChangeAspect="1"/>
                    </pic:cNvPicPr>
                  </pic:nvPicPr>
                  <pic:blipFill>
                    <a:blip r:embed="rId89"/>
                    <a:stretch>
                      <a:fillRect/>
                    </a:stretch>
                  </pic:blipFill>
                  <pic:spPr>
                    <a:xfrm>
                      <a:off x="0" y="0"/>
                      <a:ext cx="6363335" cy="4639310"/>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312660" cy="5273040"/>
            <wp:effectExtent l="0" t="0" r="2540" b="3810"/>
            <wp:docPr id="81" name="图片 81" descr="174047313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1740473133279"/>
                    <pic:cNvPicPr>
                      <a:picLocks noChangeAspect="1"/>
                    </pic:cNvPicPr>
                  </pic:nvPicPr>
                  <pic:blipFill>
                    <a:blip r:embed="rId90"/>
                    <a:stretch>
                      <a:fillRect/>
                    </a:stretch>
                  </pic:blipFill>
                  <pic:spPr>
                    <a:xfrm>
                      <a:off x="0" y="0"/>
                      <a:ext cx="7312660" cy="5273040"/>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25030" cy="5271770"/>
            <wp:effectExtent l="0" t="0" r="13970" b="5080"/>
            <wp:docPr id="91" name="图片 91" descr="174047316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740473164111"/>
                    <pic:cNvPicPr>
                      <a:picLocks noChangeAspect="1"/>
                    </pic:cNvPicPr>
                  </pic:nvPicPr>
                  <pic:blipFill>
                    <a:blip r:embed="rId91"/>
                    <a:stretch>
                      <a:fillRect/>
                    </a:stretch>
                  </pic:blipFill>
                  <pic:spPr>
                    <a:xfrm>
                      <a:off x="0" y="0"/>
                      <a:ext cx="7225030" cy="5271770"/>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10425" cy="5272405"/>
            <wp:effectExtent l="0" t="0" r="9525" b="4445"/>
            <wp:docPr id="92" name="图片 92" descr="174047317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1740473178659"/>
                    <pic:cNvPicPr>
                      <a:picLocks noChangeAspect="1"/>
                    </pic:cNvPicPr>
                  </pic:nvPicPr>
                  <pic:blipFill>
                    <a:blip r:embed="rId92"/>
                    <a:stretch>
                      <a:fillRect/>
                    </a:stretch>
                  </pic:blipFill>
                  <pic:spPr>
                    <a:xfrm>
                      <a:off x="0" y="0"/>
                      <a:ext cx="7210425" cy="5272405"/>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02805" cy="5272405"/>
            <wp:effectExtent l="0" t="0" r="17145" b="4445"/>
            <wp:docPr id="93" name="图片 93" descr="1740473199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740473199602"/>
                    <pic:cNvPicPr>
                      <a:picLocks noChangeAspect="1"/>
                    </pic:cNvPicPr>
                  </pic:nvPicPr>
                  <pic:blipFill>
                    <a:blip r:embed="rId93"/>
                    <a:stretch>
                      <a:fillRect/>
                    </a:stretch>
                  </pic:blipFill>
                  <pic:spPr>
                    <a:xfrm>
                      <a:off x="0" y="0"/>
                      <a:ext cx="7202805" cy="5272405"/>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14870" cy="5272405"/>
            <wp:effectExtent l="0" t="0" r="5080" b="4445"/>
            <wp:docPr id="94" name="图片 94" descr="174047321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740473211668"/>
                    <pic:cNvPicPr>
                      <a:picLocks noChangeAspect="1"/>
                    </pic:cNvPicPr>
                  </pic:nvPicPr>
                  <pic:blipFill>
                    <a:blip r:embed="rId94"/>
                    <a:stretch>
                      <a:fillRect/>
                    </a:stretch>
                  </pic:blipFill>
                  <pic:spPr>
                    <a:xfrm>
                      <a:off x="0" y="0"/>
                      <a:ext cx="7214870" cy="5272405"/>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19315" cy="5272405"/>
            <wp:effectExtent l="0" t="0" r="635" b="4445"/>
            <wp:docPr id="95" name="图片 95" descr="174047322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740473224254"/>
                    <pic:cNvPicPr>
                      <a:picLocks noChangeAspect="1"/>
                    </pic:cNvPicPr>
                  </pic:nvPicPr>
                  <pic:blipFill>
                    <a:blip r:embed="rId95"/>
                    <a:stretch>
                      <a:fillRect/>
                    </a:stretch>
                  </pic:blipFill>
                  <pic:spPr>
                    <a:xfrm>
                      <a:off x="0" y="0"/>
                      <a:ext cx="7219315" cy="5272405"/>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07885" cy="5272405"/>
            <wp:effectExtent l="0" t="0" r="12065" b="4445"/>
            <wp:docPr id="96" name="图片 96" descr="174047323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1740473236379"/>
                    <pic:cNvPicPr>
                      <a:picLocks noChangeAspect="1"/>
                    </pic:cNvPicPr>
                  </pic:nvPicPr>
                  <pic:blipFill>
                    <a:blip r:embed="rId96"/>
                    <a:stretch>
                      <a:fillRect/>
                    </a:stretch>
                  </pic:blipFill>
                  <pic:spPr>
                    <a:xfrm>
                      <a:off x="0" y="0"/>
                      <a:ext cx="7207885" cy="5272405"/>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36460" cy="5272405"/>
            <wp:effectExtent l="0" t="0" r="2540" b="4445"/>
            <wp:docPr id="97" name="图片 97" descr="174047325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1740473250120"/>
                    <pic:cNvPicPr>
                      <a:picLocks noChangeAspect="1"/>
                    </pic:cNvPicPr>
                  </pic:nvPicPr>
                  <pic:blipFill>
                    <a:blip r:embed="rId97"/>
                    <a:stretch>
                      <a:fillRect/>
                    </a:stretch>
                  </pic:blipFill>
                  <pic:spPr>
                    <a:xfrm>
                      <a:off x="0" y="0"/>
                      <a:ext cx="7236460" cy="5272405"/>
                    </a:xfrm>
                    <a:prstGeom prst="rect">
                      <a:avLst/>
                    </a:prstGeom>
                  </pic:spPr>
                </pic:pic>
              </a:graphicData>
            </a:graphic>
          </wp:inline>
        </w:drawing>
      </w:r>
      <w:r>
        <w:rPr>
          <w:rFonts w:hint="eastAsia" w:eastAsia="宋体"/>
          <w:color w:val="000000" w:themeColor="text1"/>
          <w:highlight w:val="none"/>
          <w:lang w:eastAsia="zh-CN"/>
        </w:rPr>
        <w:drawing>
          <wp:inline distT="0" distB="0" distL="114300" distR="114300">
            <wp:extent cx="7204710" cy="5272405"/>
            <wp:effectExtent l="0" t="0" r="15240" b="4445"/>
            <wp:docPr id="98" name="图片 98" descr="174047326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1740473261956"/>
                    <pic:cNvPicPr>
                      <a:picLocks noChangeAspect="1"/>
                    </pic:cNvPicPr>
                  </pic:nvPicPr>
                  <pic:blipFill>
                    <a:blip r:embed="rId98"/>
                    <a:stretch>
                      <a:fillRect/>
                    </a:stretch>
                  </pic:blipFill>
                  <pic:spPr>
                    <a:xfrm>
                      <a:off x="0" y="0"/>
                      <a:ext cx="7204710" cy="5272405"/>
                    </a:xfrm>
                    <a:prstGeom prst="rect">
                      <a:avLst/>
                    </a:prstGeom>
                  </pic:spPr>
                </pic:pic>
              </a:graphicData>
            </a:graphic>
          </wp:inline>
        </w:drawing>
      </w:r>
    </w:p>
    <w:p w14:paraId="2A306656">
      <w:pPr>
        <w:pStyle w:val="42"/>
        <w:rPr>
          <w:color w:val="000000" w:themeColor="text1"/>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linePitch="312" w:charSpace="0"/>
        </w:sectPr>
      </w:pPr>
    </w:p>
    <w:p w14:paraId="59E5FE0C">
      <w:pPr>
        <w:spacing w:line="360" w:lineRule="auto"/>
        <w:ind w:left="0" w:leftChars="0" w:firstLine="0" w:firstLineChars="0"/>
        <w:rPr>
          <w:b/>
          <w:bCs/>
          <w:color w:val="000000" w:themeColor="text1"/>
          <w:highlight w:val="none"/>
        </w:rPr>
      </w:pPr>
      <w:r>
        <w:rPr>
          <w:b/>
          <w:bCs/>
          <w:color w:val="000000" w:themeColor="text1"/>
          <w:highlight w:val="none"/>
        </w:rPr>
        <w:t>附图</w:t>
      </w:r>
      <w:r>
        <w:rPr>
          <w:rFonts w:hint="eastAsia"/>
          <w:b/>
          <w:bCs/>
          <w:color w:val="000000" w:themeColor="text1"/>
          <w:highlight w:val="none"/>
          <w:lang w:val="en-US" w:eastAsia="zh-CN"/>
        </w:rPr>
        <w:t xml:space="preserve">4 </w:t>
      </w:r>
      <w:r>
        <w:rPr>
          <w:rFonts w:hint="eastAsia"/>
          <w:b/>
          <w:bCs/>
          <w:color w:val="000000" w:themeColor="text1"/>
          <w:highlight w:val="none"/>
        </w:rPr>
        <w:t>典型生态保护措施平面布置示意</w:t>
      </w:r>
      <w:r>
        <w:rPr>
          <w:b/>
          <w:bCs/>
          <w:color w:val="000000" w:themeColor="text1"/>
          <w:highlight w:val="none"/>
        </w:rPr>
        <w:t>图</w:t>
      </w:r>
    </w:p>
    <w:p w14:paraId="5399240C">
      <w:pPr>
        <w:spacing w:line="360" w:lineRule="auto"/>
        <w:ind w:left="0" w:leftChars="0" w:firstLine="0" w:firstLineChars="0"/>
        <w:rPr>
          <w:rFonts w:hint="eastAsia" w:eastAsia="宋体"/>
          <w:color w:val="000000" w:themeColor="text1"/>
          <w:highlight w:val="none"/>
          <w:lang w:eastAsia="zh-CN"/>
        </w:rPr>
      </w:pPr>
      <w:r>
        <w:rPr>
          <w:rFonts w:hint="eastAsia" w:eastAsia="仿宋_GB2312"/>
          <w:color w:val="000000" w:themeColor="text1"/>
          <w:highlight w:val="none"/>
          <w:lang w:eastAsia="zh-CN"/>
        </w:rPr>
        <w:drawing>
          <wp:inline distT="0" distB="0" distL="114300" distR="114300">
            <wp:extent cx="6876415" cy="4862830"/>
            <wp:effectExtent l="0" t="0" r="635" b="13970"/>
            <wp:docPr id="50" name="图片 50" descr="附图7-A3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附图7-A3_00(1)"/>
                    <pic:cNvPicPr>
                      <a:picLocks noChangeAspect="1"/>
                    </pic:cNvPicPr>
                  </pic:nvPicPr>
                  <pic:blipFill>
                    <a:blip r:embed="rId99"/>
                    <a:stretch>
                      <a:fillRect/>
                    </a:stretch>
                  </pic:blipFill>
                  <pic:spPr>
                    <a:xfrm>
                      <a:off x="0" y="0"/>
                      <a:ext cx="6876415" cy="4862830"/>
                    </a:xfrm>
                    <a:prstGeom prst="rect">
                      <a:avLst/>
                    </a:prstGeom>
                  </pic:spPr>
                </pic:pic>
              </a:graphicData>
            </a:graphic>
          </wp:inline>
        </w:drawing>
      </w:r>
    </w:p>
    <w:p w14:paraId="5556FE94">
      <w:pPr>
        <w:spacing w:line="360" w:lineRule="auto"/>
        <w:ind w:left="0" w:leftChars="0" w:firstLine="0" w:firstLineChars="0"/>
        <w:rPr>
          <w:b/>
          <w:bCs/>
          <w:color w:val="000000" w:themeColor="text1"/>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linePitch="312" w:charSpace="0"/>
        </w:sectPr>
      </w:pPr>
    </w:p>
    <w:p w14:paraId="45AF224A">
      <w:pPr>
        <w:spacing w:line="360" w:lineRule="auto"/>
        <w:ind w:left="0" w:leftChars="0" w:firstLine="0" w:firstLineChars="0"/>
        <w:rPr>
          <w:rFonts w:hint="eastAsia"/>
          <w:b/>
          <w:bCs/>
          <w:color w:val="000000" w:themeColor="text1"/>
          <w:highlight w:val="none"/>
        </w:rPr>
      </w:pPr>
      <w:r>
        <w:rPr>
          <w:b/>
          <w:bCs/>
          <w:color w:val="000000" w:themeColor="text1"/>
          <w:highlight w:val="none"/>
        </w:rPr>
        <w:t>附图</w:t>
      </w:r>
      <w:r>
        <w:rPr>
          <w:rFonts w:hint="eastAsia"/>
          <w:b/>
          <w:bCs/>
          <w:color w:val="000000" w:themeColor="text1"/>
          <w:highlight w:val="none"/>
          <w:lang w:val="en-US" w:eastAsia="zh-CN"/>
        </w:rPr>
        <w:t xml:space="preserve">5 </w:t>
      </w:r>
      <w:r>
        <w:rPr>
          <w:rFonts w:hint="eastAsia"/>
          <w:b/>
          <w:bCs/>
          <w:color w:val="000000" w:themeColor="text1"/>
          <w:highlight w:val="none"/>
        </w:rPr>
        <w:t>临时工程施工布置图</w:t>
      </w:r>
    </w:p>
    <w:p w14:paraId="51FCCCDA">
      <w:pPr>
        <w:pStyle w:val="42"/>
        <w:rPr>
          <w:rFonts w:hint="eastAsia" w:eastAsia="仿宋_GB2312"/>
          <w:color w:val="000000" w:themeColor="text1"/>
          <w:highlight w:val="none"/>
          <w:lang w:eastAsia="zh-CN"/>
        </w:rPr>
      </w:pPr>
      <w:r>
        <w:rPr>
          <w:rFonts w:hint="eastAsia" w:eastAsia="宋体"/>
          <w:color w:val="000000" w:themeColor="text1"/>
          <w:highlight w:val="none"/>
          <w:lang w:eastAsia="zh-CN"/>
        </w:rPr>
        <w:drawing>
          <wp:inline distT="0" distB="0" distL="114300" distR="114300">
            <wp:extent cx="6869430" cy="4858385"/>
            <wp:effectExtent l="0" t="0" r="7620" b="18415"/>
            <wp:docPr id="49" name="图片 49" descr="附图6-A3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附图6-A3_00"/>
                    <pic:cNvPicPr>
                      <a:picLocks noChangeAspect="1"/>
                    </pic:cNvPicPr>
                  </pic:nvPicPr>
                  <pic:blipFill>
                    <a:blip r:embed="rId100"/>
                    <a:stretch>
                      <a:fillRect/>
                    </a:stretch>
                  </pic:blipFill>
                  <pic:spPr>
                    <a:xfrm>
                      <a:off x="0" y="0"/>
                      <a:ext cx="6869430" cy="4858385"/>
                    </a:xfrm>
                    <a:prstGeom prst="rect">
                      <a:avLst/>
                    </a:prstGeom>
                  </pic:spPr>
                </pic:pic>
              </a:graphicData>
            </a:graphic>
          </wp:inline>
        </w:drawing>
      </w:r>
    </w:p>
    <w:p w14:paraId="716595DB">
      <w:pPr>
        <w:pStyle w:val="42"/>
        <w:rPr>
          <w:color w:val="000000" w:themeColor="text1"/>
          <w:highlight w:val="none"/>
        </w:rPr>
        <w:sectPr>
          <w:pgSz w:w="16838" w:h="11906" w:orient="landscape"/>
          <w:pgMar w:top="1797" w:right="1440" w:bottom="1797" w:left="1440" w:header="851" w:footer="992" w:gutter="0"/>
          <w:pgBorders>
            <w:top w:val="none" w:sz="0" w:space="0"/>
            <w:left w:val="none" w:sz="0" w:space="0"/>
            <w:bottom w:val="none" w:sz="0" w:space="0"/>
            <w:right w:val="none" w:sz="0" w:space="0"/>
          </w:pgBorders>
          <w:pgNumType w:fmt="decimal"/>
          <w:cols w:space="720" w:num="1"/>
          <w:docGrid w:linePitch="312" w:charSpace="0"/>
        </w:sectPr>
      </w:pPr>
    </w:p>
    <w:p w14:paraId="3E6FD704">
      <w:pPr>
        <w:spacing w:line="360" w:lineRule="auto"/>
        <w:ind w:left="0" w:leftChars="0" w:firstLine="0" w:firstLineChars="0"/>
        <w:rPr>
          <w:rFonts w:hint="default" w:eastAsia="宋体"/>
          <w:b/>
          <w:bCs/>
          <w:color w:val="000000" w:themeColor="text1"/>
          <w:highlight w:val="none"/>
          <w:lang w:val="en-US" w:eastAsia="zh-CN"/>
        </w:rPr>
      </w:pPr>
      <w:r>
        <w:rPr>
          <w:b/>
          <w:bCs/>
          <w:color w:val="000000" w:themeColor="text1"/>
          <w:highlight w:val="none"/>
        </w:rPr>
        <w:t>附图</w:t>
      </w:r>
      <w:r>
        <w:rPr>
          <w:rFonts w:hint="eastAsia"/>
          <w:b/>
          <w:bCs/>
          <w:color w:val="000000" w:themeColor="text1"/>
          <w:highlight w:val="none"/>
          <w:lang w:val="en-US" w:eastAsia="zh-CN"/>
        </w:rPr>
        <w:t>6 土地利用现状图</w:t>
      </w:r>
    </w:p>
    <w:p w14:paraId="7FCFA02A">
      <w:pPr>
        <w:pStyle w:val="42"/>
        <w:rPr>
          <w:rFonts w:hint="eastAsia" w:eastAsia="仿宋_GB2312"/>
          <w:color w:val="000000" w:themeColor="text1"/>
          <w:highlight w:val="none"/>
          <w:lang w:eastAsia="zh-CN"/>
        </w:rPr>
      </w:pPr>
      <w:r>
        <w:rPr>
          <w:rFonts w:hint="eastAsia" w:eastAsia="仿宋_GB2312"/>
          <w:color w:val="000000" w:themeColor="text1"/>
          <w:highlight w:val="none"/>
          <w:lang w:eastAsia="zh-CN"/>
        </w:rPr>
        <w:drawing>
          <wp:inline distT="0" distB="0" distL="114300" distR="114300">
            <wp:extent cx="5271135" cy="7450455"/>
            <wp:effectExtent l="0" t="0" r="5715" b="17145"/>
            <wp:docPr id="9" name="图片 9" descr="67cefb41cc28c46c3ceb792b6daec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7cefb41cc28c46c3ceb792b6daec2b"/>
                    <pic:cNvPicPr>
                      <a:picLocks noChangeAspect="1"/>
                    </pic:cNvPicPr>
                  </pic:nvPicPr>
                  <pic:blipFill>
                    <a:blip r:embed="rId101"/>
                    <a:stretch>
                      <a:fillRect/>
                    </a:stretch>
                  </pic:blipFill>
                  <pic:spPr>
                    <a:xfrm>
                      <a:off x="0" y="0"/>
                      <a:ext cx="5271135" cy="7450455"/>
                    </a:xfrm>
                    <a:prstGeom prst="rect">
                      <a:avLst/>
                    </a:prstGeom>
                  </pic:spPr>
                </pic:pic>
              </a:graphicData>
            </a:graphic>
          </wp:inline>
        </w:drawing>
      </w:r>
    </w:p>
    <w:p w14:paraId="526A600D">
      <w:pPr>
        <w:pageBreakBefore w:val="0"/>
        <w:wordWrap/>
        <w:topLinePunct w:val="0"/>
        <w:bidi w:val="0"/>
        <w:spacing w:line="360" w:lineRule="auto"/>
        <w:ind w:left="0" w:leftChars="0" w:firstLine="0" w:firstLineChars="0"/>
        <w:rPr>
          <w:b/>
          <w:bCs/>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7753D58E">
      <w:pPr>
        <w:spacing w:line="360" w:lineRule="auto"/>
        <w:ind w:left="0" w:leftChars="0" w:firstLine="0" w:firstLineChars="0"/>
        <w:rPr>
          <w:rFonts w:hint="eastAsia"/>
          <w:b/>
          <w:bCs/>
          <w:color w:val="000000" w:themeColor="text1"/>
          <w:highlight w:val="none"/>
          <w:lang w:val="en-US" w:eastAsia="zh-CN"/>
        </w:rPr>
      </w:pPr>
      <w:r>
        <w:rPr>
          <w:b/>
          <w:bCs/>
          <w:color w:val="000000" w:themeColor="text1"/>
          <w:highlight w:val="none"/>
        </w:rPr>
        <w:t>附图</w:t>
      </w:r>
      <w:r>
        <w:rPr>
          <w:rFonts w:hint="eastAsia"/>
          <w:b/>
          <w:bCs/>
          <w:color w:val="000000" w:themeColor="text1"/>
          <w:highlight w:val="none"/>
          <w:lang w:val="en-US" w:eastAsia="zh-CN"/>
        </w:rPr>
        <w:t>7 植被类型图</w:t>
      </w:r>
    </w:p>
    <w:p w14:paraId="310DB186">
      <w:pPr>
        <w:pStyle w:val="42"/>
        <w:rPr>
          <w:rFonts w:hint="default"/>
          <w:color w:val="000000" w:themeColor="text1"/>
          <w:highlight w:val="none"/>
          <w:lang w:val="en-US" w:eastAsia="zh-CN"/>
        </w:rPr>
      </w:pPr>
      <w:r>
        <w:rPr>
          <w:rFonts w:hint="default"/>
          <w:color w:val="000000" w:themeColor="text1"/>
          <w:highlight w:val="none"/>
          <w:lang w:val="en-US" w:eastAsia="zh-CN"/>
        </w:rPr>
        <w:drawing>
          <wp:inline distT="0" distB="0" distL="114300" distR="114300">
            <wp:extent cx="5271135" cy="7450455"/>
            <wp:effectExtent l="0" t="0" r="5715" b="17145"/>
            <wp:docPr id="8" name="图片 8" descr="4763f3831bc707c601d592c683195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763f3831bc707c601d592c683195fd"/>
                    <pic:cNvPicPr>
                      <a:picLocks noChangeAspect="1"/>
                    </pic:cNvPicPr>
                  </pic:nvPicPr>
                  <pic:blipFill>
                    <a:blip r:embed="rId102"/>
                    <a:stretch>
                      <a:fillRect/>
                    </a:stretch>
                  </pic:blipFill>
                  <pic:spPr>
                    <a:xfrm>
                      <a:off x="0" y="0"/>
                      <a:ext cx="5271135" cy="7450455"/>
                    </a:xfrm>
                    <a:prstGeom prst="rect">
                      <a:avLst/>
                    </a:prstGeom>
                  </pic:spPr>
                </pic:pic>
              </a:graphicData>
            </a:graphic>
          </wp:inline>
        </w:drawing>
      </w:r>
    </w:p>
    <w:p w14:paraId="316B3ACC">
      <w:pPr>
        <w:pageBreakBefore w:val="0"/>
        <w:wordWrap/>
        <w:topLinePunct w:val="0"/>
        <w:bidi w:val="0"/>
        <w:spacing w:line="360" w:lineRule="auto"/>
        <w:ind w:left="0" w:leftChars="0" w:firstLine="0" w:firstLineChars="0"/>
        <w:rPr>
          <w:b/>
          <w:bCs/>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240D1B00">
      <w:pPr>
        <w:spacing w:line="360" w:lineRule="auto"/>
        <w:ind w:left="0" w:leftChars="0" w:firstLine="0" w:firstLineChars="0"/>
        <w:rPr>
          <w:rFonts w:hint="default"/>
          <w:b/>
          <w:bCs/>
          <w:color w:val="000000" w:themeColor="text1"/>
          <w:highlight w:val="none"/>
          <w:lang w:val="en-US" w:eastAsia="zh-CN"/>
        </w:rPr>
      </w:pPr>
      <w:r>
        <w:rPr>
          <w:b/>
          <w:bCs/>
          <w:color w:val="000000" w:themeColor="text1"/>
          <w:highlight w:val="none"/>
        </w:rPr>
        <w:t>附图</w:t>
      </w:r>
      <w:r>
        <w:rPr>
          <w:rFonts w:hint="eastAsia"/>
          <w:b/>
          <w:bCs/>
          <w:color w:val="000000" w:themeColor="text1"/>
          <w:highlight w:val="none"/>
          <w:lang w:val="en-US" w:eastAsia="zh-CN"/>
        </w:rPr>
        <w:t>8 项目区水系图</w:t>
      </w:r>
    </w:p>
    <w:p w14:paraId="3EDBB277">
      <w:pPr>
        <w:pStyle w:val="9"/>
        <w:spacing w:line="240" w:lineRule="auto"/>
        <w:ind w:left="0" w:leftChars="0" w:firstLine="0" w:firstLineChars="0"/>
        <w:rPr>
          <w:rFonts w:hint="eastAsia" w:eastAsia="宋体"/>
          <w:color w:val="000000" w:themeColor="text1"/>
          <w:highlight w:val="none"/>
          <w:lang w:eastAsia="zh-CN"/>
        </w:rPr>
      </w:pPr>
    </w:p>
    <w:p w14:paraId="657432A1">
      <w:pPr>
        <w:pStyle w:val="9"/>
        <w:spacing w:line="240" w:lineRule="auto"/>
        <w:ind w:left="0" w:leftChars="0" w:firstLine="0" w:firstLineChars="0"/>
        <w:rPr>
          <w:rFonts w:hint="eastAsia" w:eastAsia="宋体"/>
          <w:color w:val="000000" w:themeColor="text1"/>
          <w:highlight w:val="none"/>
          <w:lang w:eastAsia="zh-CN"/>
        </w:rPr>
      </w:pPr>
      <w:r>
        <w:rPr>
          <w:rFonts w:hint="eastAsia" w:eastAsia="宋体"/>
          <w:color w:val="000000" w:themeColor="text1"/>
          <w:highlight w:val="none"/>
          <w:lang w:eastAsia="zh-CN"/>
        </w:rPr>
        <w:drawing>
          <wp:inline distT="0" distB="0" distL="114300" distR="114300">
            <wp:extent cx="5277485" cy="6293485"/>
            <wp:effectExtent l="0" t="0" r="0" b="0"/>
            <wp:docPr id="123" name="图片 123" descr="附图2-A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附图2-A4_00"/>
                    <pic:cNvPicPr>
                      <a:picLocks noChangeAspect="1"/>
                    </pic:cNvPicPr>
                  </pic:nvPicPr>
                  <pic:blipFill>
                    <a:blip r:embed="rId103"/>
                    <a:srcRect t="6306" b="9352"/>
                    <a:stretch>
                      <a:fillRect/>
                    </a:stretch>
                  </pic:blipFill>
                  <pic:spPr>
                    <a:xfrm>
                      <a:off x="0" y="0"/>
                      <a:ext cx="5277485" cy="6293485"/>
                    </a:xfrm>
                    <a:prstGeom prst="rect">
                      <a:avLst/>
                    </a:prstGeom>
                  </pic:spPr>
                </pic:pic>
              </a:graphicData>
            </a:graphic>
          </wp:inline>
        </w:drawing>
      </w:r>
    </w:p>
    <w:p w14:paraId="6E544F26">
      <w:pPr>
        <w:rPr>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0B23E438">
      <w:pPr>
        <w:pageBreakBefore w:val="0"/>
        <w:wordWrap/>
        <w:topLinePunct w:val="0"/>
        <w:bidi w:val="0"/>
        <w:spacing w:line="360" w:lineRule="auto"/>
        <w:ind w:left="0" w:leftChars="0" w:firstLine="0" w:firstLineChars="0"/>
        <w:rPr>
          <w:rFonts w:hint="eastAsia"/>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件1 立项文件</w:t>
      </w:r>
    </w:p>
    <w:p w14:paraId="0A53A407">
      <w:pPr>
        <w:pageBreakBefore w:val="0"/>
        <w:wordWrap/>
        <w:topLinePunct w:val="0"/>
        <w:bidi w:val="0"/>
        <w:spacing w:line="360" w:lineRule="auto"/>
        <w:rPr>
          <w:rFonts w:hint="eastAsia"/>
          <w:color w:val="000000" w:themeColor="text1"/>
          <w:highlight w:val="none"/>
          <w:lang w:val="en-US" w:eastAsia="zh-CN"/>
        </w:rPr>
      </w:pPr>
      <w:r>
        <w:rPr>
          <w:rFonts w:hint="eastAsia"/>
          <w:color w:val="000000" w:themeColor="text1"/>
          <w:highlight w:val="none"/>
          <w:lang w:val="en-US" w:eastAsia="zh-CN"/>
        </w:rPr>
        <w:drawing>
          <wp:inline distT="0" distB="0" distL="114300" distR="114300">
            <wp:extent cx="5278120" cy="6791960"/>
            <wp:effectExtent l="0" t="0" r="17780" b="8890"/>
            <wp:docPr id="2" name="图片 2" descr="174168706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41687060016"/>
                    <pic:cNvPicPr>
                      <a:picLocks noChangeAspect="1"/>
                    </pic:cNvPicPr>
                  </pic:nvPicPr>
                  <pic:blipFill>
                    <a:blip r:embed="rId104"/>
                    <a:stretch>
                      <a:fillRect/>
                    </a:stretch>
                  </pic:blipFill>
                  <pic:spPr>
                    <a:xfrm>
                      <a:off x="0" y="0"/>
                      <a:ext cx="5278120" cy="6791960"/>
                    </a:xfrm>
                    <a:prstGeom prst="rect">
                      <a:avLst/>
                    </a:prstGeom>
                  </pic:spPr>
                </pic:pic>
              </a:graphicData>
            </a:graphic>
          </wp:inline>
        </w:drawing>
      </w:r>
    </w:p>
    <w:p w14:paraId="2AC4A87B">
      <w:pPr>
        <w:pageBreakBefore w:val="0"/>
        <w:wordWrap/>
        <w:topLinePunct w:val="0"/>
        <w:bidi w:val="0"/>
        <w:spacing w:line="360" w:lineRule="auto"/>
        <w:ind w:left="0" w:leftChars="0" w:firstLine="0" w:firstLineChars="0"/>
        <w:rPr>
          <w:b/>
          <w:bCs/>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736CFA95">
      <w:pPr>
        <w:pageBreakBefore w:val="0"/>
        <w:wordWrap/>
        <w:topLinePunct w:val="0"/>
        <w:bidi w:val="0"/>
        <w:spacing w:line="360" w:lineRule="auto"/>
        <w:ind w:left="0" w:leftChars="0" w:firstLine="0" w:firstLineChars="0"/>
        <w:rPr>
          <w:rFonts w:hint="eastAsia"/>
          <w:b/>
          <w:bCs/>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件2 关于建设用地预审意见的函</w:t>
      </w:r>
    </w:p>
    <w:p w14:paraId="7CE2AC6E">
      <w:pPr>
        <w:pStyle w:val="42"/>
        <w:rPr>
          <w:rFonts w:hint="default"/>
          <w:color w:val="000000" w:themeColor="text1"/>
          <w:highlight w:val="none"/>
          <w:lang w:val="en-US" w:eastAsia="zh-CN"/>
        </w:rPr>
      </w:pPr>
      <w:r>
        <w:rPr>
          <w:rFonts w:hint="default"/>
          <w:color w:val="000000" w:themeColor="text1"/>
          <w:highlight w:val="none"/>
          <w:lang w:val="en-US" w:eastAsia="zh-CN"/>
        </w:rPr>
        <w:drawing>
          <wp:inline distT="0" distB="0" distL="114300" distR="114300">
            <wp:extent cx="5272405" cy="6662420"/>
            <wp:effectExtent l="0" t="0" r="4445" b="5080"/>
            <wp:docPr id="45" name="图片 45" descr="174047194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740471944732"/>
                    <pic:cNvPicPr>
                      <a:picLocks noChangeAspect="1"/>
                    </pic:cNvPicPr>
                  </pic:nvPicPr>
                  <pic:blipFill>
                    <a:blip r:embed="rId105"/>
                    <a:stretch>
                      <a:fillRect/>
                    </a:stretch>
                  </pic:blipFill>
                  <pic:spPr>
                    <a:xfrm>
                      <a:off x="0" y="0"/>
                      <a:ext cx="5272405" cy="6662420"/>
                    </a:xfrm>
                    <a:prstGeom prst="rect">
                      <a:avLst/>
                    </a:prstGeom>
                  </pic:spPr>
                </pic:pic>
              </a:graphicData>
            </a:graphic>
          </wp:inline>
        </w:drawing>
      </w:r>
    </w:p>
    <w:p w14:paraId="7C16F83F">
      <w:pPr>
        <w:pageBreakBefore w:val="0"/>
        <w:wordWrap/>
        <w:topLinePunct w:val="0"/>
        <w:bidi w:val="0"/>
        <w:spacing w:line="360" w:lineRule="auto"/>
        <w:ind w:left="0" w:leftChars="0" w:firstLine="0" w:firstLineChars="0"/>
        <w:rPr>
          <w:rFonts w:hint="eastAsia" w:eastAsia="宋体"/>
          <w:b/>
          <w:bCs/>
          <w:color w:val="000000" w:themeColor="text1"/>
          <w:highlight w:val="none"/>
          <w:lang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r>
        <w:rPr>
          <w:rFonts w:hint="eastAsia" w:eastAsia="宋体"/>
          <w:b/>
          <w:bCs/>
          <w:color w:val="000000" w:themeColor="text1"/>
          <w:highlight w:val="none"/>
          <w:lang w:eastAsia="zh-CN"/>
        </w:rPr>
        <w:drawing>
          <wp:inline distT="0" distB="0" distL="114300" distR="114300">
            <wp:extent cx="5274310" cy="7164705"/>
            <wp:effectExtent l="0" t="0" r="2540" b="17145"/>
            <wp:docPr id="46" name="图片 46" descr="174047196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740471965701"/>
                    <pic:cNvPicPr>
                      <a:picLocks noChangeAspect="1"/>
                    </pic:cNvPicPr>
                  </pic:nvPicPr>
                  <pic:blipFill>
                    <a:blip r:embed="rId106"/>
                    <a:stretch>
                      <a:fillRect/>
                    </a:stretch>
                  </pic:blipFill>
                  <pic:spPr>
                    <a:xfrm>
                      <a:off x="0" y="0"/>
                      <a:ext cx="5274310" cy="7164705"/>
                    </a:xfrm>
                    <a:prstGeom prst="rect">
                      <a:avLst/>
                    </a:prstGeom>
                  </pic:spPr>
                </pic:pic>
              </a:graphicData>
            </a:graphic>
          </wp:inline>
        </w:drawing>
      </w:r>
    </w:p>
    <w:p w14:paraId="6923FEAF">
      <w:pPr>
        <w:pageBreakBefore w:val="0"/>
        <w:wordWrap/>
        <w:topLinePunct w:val="0"/>
        <w:bidi w:val="0"/>
        <w:spacing w:line="360" w:lineRule="auto"/>
        <w:ind w:left="0" w:leftChars="0" w:firstLine="0" w:firstLineChars="0"/>
        <w:rPr>
          <w:rFonts w:hint="default"/>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件3 建设项目土地预审与选址意见书</w:t>
      </w:r>
    </w:p>
    <w:p w14:paraId="34848474">
      <w:pPr>
        <w:pageBreakBefore w:val="0"/>
        <w:wordWrap/>
        <w:topLinePunct w:val="0"/>
        <w:bidi w:val="0"/>
        <w:spacing w:line="360" w:lineRule="auto"/>
        <w:ind w:left="0" w:leftChars="0" w:firstLine="0" w:firstLineChars="0"/>
        <w:rPr>
          <w:rFonts w:hint="eastAsia"/>
          <w:color w:val="000000" w:themeColor="text1"/>
          <w:highlight w:val="none"/>
          <w:lang w:val="en-US" w:eastAsia="zh-CN"/>
        </w:rPr>
      </w:pPr>
      <w:r>
        <w:rPr>
          <w:rFonts w:hint="eastAsia"/>
          <w:color w:val="000000" w:themeColor="text1"/>
          <w:highlight w:val="none"/>
          <w:lang w:val="en-US" w:eastAsia="zh-CN"/>
        </w:rPr>
        <w:drawing>
          <wp:inline distT="0" distB="0" distL="114300" distR="114300">
            <wp:extent cx="5275580" cy="7464425"/>
            <wp:effectExtent l="0" t="0" r="1270" b="3175"/>
            <wp:docPr id="40" name="图片 40" descr="新建黑龙江鹤岗机场场外配套工程选址意见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新建黑龙江鹤岗机场场外配套工程选址意见书_00"/>
                    <pic:cNvPicPr>
                      <a:picLocks noChangeAspect="1"/>
                    </pic:cNvPicPr>
                  </pic:nvPicPr>
                  <pic:blipFill>
                    <a:blip r:embed="rId107"/>
                    <a:stretch>
                      <a:fillRect/>
                    </a:stretch>
                  </pic:blipFill>
                  <pic:spPr>
                    <a:xfrm>
                      <a:off x="0" y="0"/>
                      <a:ext cx="5275580" cy="7464425"/>
                    </a:xfrm>
                    <a:prstGeom prst="rect">
                      <a:avLst/>
                    </a:prstGeom>
                  </pic:spPr>
                </pic:pic>
              </a:graphicData>
            </a:graphic>
          </wp:inline>
        </w:drawing>
      </w:r>
    </w:p>
    <w:p w14:paraId="1D921314">
      <w:pPr>
        <w:pageBreakBefore w:val="0"/>
        <w:wordWrap/>
        <w:topLinePunct w:val="0"/>
        <w:bidi w:val="0"/>
        <w:spacing w:line="360" w:lineRule="auto"/>
        <w:ind w:left="0" w:leftChars="0" w:firstLine="0" w:firstLineChars="0"/>
        <w:rPr>
          <w:rFonts w:hint="eastAsia"/>
          <w:color w:val="000000" w:themeColor="text1"/>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0597F95A">
      <w:pPr>
        <w:pageBreakBefore w:val="0"/>
        <w:wordWrap/>
        <w:topLinePunct w:val="0"/>
        <w:bidi w:val="0"/>
        <w:spacing w:line="360" w:lineRule="auto"/>
        <w:ind w:left="0" w:leftChars="0" w:firstLine="0" w:firstLineChars="0"/>
        <w:rPr>
          <w:rFonts w:hint="eastAsia"/>
          <w:b/>
          <w:bCs/>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件4 检测报告</w:t>
      </w:r>
    </w:p>
    <w:p w14:paraId="5EE73D61">
      <w:pPr>
        <w:pStyle w:val="42"/>
        <w:rPr>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r>
        <w:rPr>
          <w:color w:val="000000" w:themeColor="text1"/>
          <w:highlight w:val="none"/>
        </w:rPr>
        <w:drawing>
          <wp:inline distT="0" distB="0" distL="114300" distR="114300">
            <wp:extent cx="5277485" cy="7459980"/>
            <wp:effectExtent l="0" t="0" r="18415" b="7620"/>
            <wp:docPr id="1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9"/>
                    <pic:cNvPicPr>
                      <a:picLocks noChangeAspect="1"/>
                    </pic:cNvPicPr>
                  </pic:nvPicPr>
                  <pic:blipFill>
                    <a:blip r:embed="rId108"/>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0"/>
                    <pic:cNvPicPr>
                      <a:picLocks noChangeAspect="1"/>
                    </pic:cNvPicPr>
                  </pic:nvPicPr>
                  <pic:blipFill>
                    <a:blip r:embed="rId109"/>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1"/>
                    <pic:cNvPicPr>
                      <a:picLocks noChangeAspect="1"/>
                    </pic:cNvPicPr>
                  </pic:nvPicPr>
                  <pic:blipFill>
                    <a:blip r:embed="rId110"/>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pic:cNvPicPr>
                      <a:picLocks noChangeAspect="1"/>
                    </pic:cNvPicPr>
                  </pic:nvPicPr>
                  <pic:blipFill>
                    <a:blip r:embed="rId111"/>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112"/>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
                    <pic:cNvPicPr>
                      <a:picLocks noChangeAspect="1"/>
                    </pic:cNvPicPr>
                  </pic:nvPicPr>
                  <pic:blipFill>
                    <a:blip r:embed="rId113"/>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0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
                    <pic:cNvPicPr>
                      <a:picLocks noChangeAspect="1"/>
                    </pic:cNvPicPr>
                  </pic:nvPicPr>
                  <pic:blipFill>
                    <a:blip r:embed="rId114"/>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9"/>
                    <pic:cNvPicPr>
                      <a:picLocks noChangeAspect="1"/>
                    </pic:cNvPicPr>
                  </pic:nvPicPr>
                  <pic:blipFill>
                    <a:blip r:embed="rId115"/>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8120" cy="3733800"/>
            <wp:effectExtent l="0" t="0" r="17780" b="0"/>
            <wp:docPr id="1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0"/>
                    <pic:cNvPicPr>
                      <a:picLocks noChangeAspect="1"/>
                    </pic:cNvPicPr>
                  </pic:nvPicPr>
                  <pic:blipFill>
                    <a:blip r:embed="rId116"/>
                    <a:stretch>
                      <a:fillRect/>
                    </a:stretch>
                  </pic:blipFill>
                  <pic:spPr>
                    <a:xfrm>
                      <a:off x="0" y="0"/>
                      <a:ext cx="5278120" cy="3733800"/>
                    </a:xfrm>
                    <a:prstGeom prst="rect">
                      <a:avLst/>
                    </a:prstGeom>
                    <a:noFill/>
                    <a:ln>
                      <a:noFill/>
                    </a:ln>
                  </pic:spPr>
                </pic:pic>
              </a:graphicData>
            </a:graphic>
          </wp:inline>
        </w:drawing>
      </w:r>
      <w:r>
        <w:rPr>
          <w:color w:val="000000" w:themeColor="text1"/>
          <w:highlight w:val="none"/>
        </w:rPr>
        <w:drawing>
          <wp:inline distT="0" distB="0" distL="114300" distR="114300">
            <wp:extent cx="5278120" cy="3733800"/>
            <wp:effectExtent l="0" t="0" r="17780" b="0"/>
            <wp:docPr id="1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
                    <pic:cNvPicPr>
                      <a:picLocks noChangeAspect="1"/>
                    </pic:cNvPicPr>
                  </pic:nvPicPr>
                  <pic:blipFill>
                    <a:blip r:embed="rId117"/>
                    <a:stretch>
                      <a:fillRect/>
                    </a:stretch>
                  </pic:blipFill>
                  <pic:spPr>
                    <a:xfrm>
                      <a:off x="0" y="0"/>
                      <a:ext cx="5278120" cy="373380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7"/>
                    <pic:cNvPicPr>
                      <a:picLocks noChangeAspect="1"/>
                    </pic:cNvPicPr>
                  </pic:nvPicPr>
                  <pic:blipFill>
                    <a:blip r:embed="rId118"/>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
                    <pic:cNvPicPr>
                      <a:picLocks noChangeAspect="1"/>
                    </pic:cNvPicPr>
                  </pic:nvPicPr>
                  <pic:blipFill>
                    <a:blip r:embed="rId119"/>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9"/>
                    <pic:cNvPicPr>
                      <a:picLocks noChangeAspect="1"/>
                    </pic:cNvPicPr>
                  </pic:nvPicPr>
                  <pic:blipFill>
                    <a:blip r:embed="rId120"/>
                    <a:stretch>
                      <a:fillRect/>
                    </a:stretch>
                  </pic:blipFill>
                  <pic:spPr>
                    <a:xfrm>
                      <a:off x="0" y="0"/>
                      <a:ext cx="5277485" cy="7459980"/>
                    </a:xfrm>
                    <a:prstGeom prst="rect">
                      <a:avLst/>
                    </a:prstGeom>
                    <a:noFill/>
                    <a:ln>
                      <a:noFill/>
                    </a:ln>
                  </pic:spPr>
                </pic:pic>
              </a:graphicData>
            </a:graphic>
          </wp:inline>
        </w:drawing>
      </w:r>
      <w:r>
        <w:rPr>
          <w:color w:val="000000" w:themeColor="text1"/>
          <w:highlight w:val="none"/>
        </w:rPr>
        <w:drawing>
          <wp:inline distT="0" distB="0" distL="114300" distR="114300">
            <wp:extent cx="5277485" cy="7459980"/>
            <wp:effectExtent l="0" t="0" r="18415" b="7620"/>
            <wp:docPr id="1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
                    <pic:cNvPicPr>
                      <a:picLocks noChangeAspect="1"/>
                    </pic:cNvPicPr>
                  </pic:nvPicPr>
                  <pic:blipFill>
                    <a:blip r:embed="rId121"/>
                    <a:stretch>
                      <a:fillRect/>
                    </a:stretch>
                  </pic:blipFill>
                  <pic:spPr>
                    <a:xfrm>
                      <a:off x="0" y="0"/>
                      <a:ext cx="5277485" cy="7459980"/>
                    </a:xfrm>
                    <a:prstGeom prst="rect">
                      <a:avLst/>
                    </a:prstGeom>
                    <a:noFill/>
                    <a:ln>
                      <a:noFill/>
                    </a:ln>
                  </pic:spPr>
                </pic:pic>
              </a:graphicData>
            </a:graphic>
          </wp:inline>
        </w:drawing>
      </w:r>
    </w:p>
    <w:p w14:paraId="032EEF2D">
      <w:pPr>
        <w:pageBreakBefore w:val="0"/>
        <w:wordWrap/>
        <w:topLinePunct w:val="0"/>
        <w:bidi w:val="0"/>
        <w:spacing w:line="360" w:lineRule="auto"/>
        <w:ind w:left="0" w:leftChars="0" w:firstLine="0" w:firstLineChars="0"/>
        <w:rPr>
          <w:rFonts w:hint="eastAsia"/>
          <w:b/>
          <w:bCs/>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件5 生态环境分区管控分析报告</w:t>
      </w:r>
    </w:p>
    <w:p w14:paraId="1F59DEE5">
      <w:pPr>
        <w:spacing w:line="240" w:lineRule="auto"/>
        <w:rPr>
          <w:rFonts w:hint="eastAsia"/>
          <w:color w:val="000000" w:themeColor="text1"/>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r>
        <w:rPr>
          <w:rFonts w:hint="eastAsia"/>
          <w:color w:val="000000" w:themeColor="text1"/>
          <w:highlight w:val="none"/>
          <w:lang w:val="en-US" w:eastAsia="zh-CN"/>
        </w:rPr>
        <w:drawing>
          <wp:inline distT="0" distB="0" distL="114300" distR="114300">
            <wp:extent cx="5275580" cy="3596005"/>
            <wp:effectExtent l="0" t="0" r="1270" b="4445"/>
            <wp:docPr id="38" name="图片 38" descr="1742974299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742974299935"/>
                    <pic:cNvPicPr>
                      <a:picLocks noChangeAspect="1"/>
                    </pic:cNvPicPr>
                  </pic:nvPicPr>
                  <pic:blipFill>
                    <a:blip r:embed="rId122"/>
                    <a:stretch>
                      <a:fillRect/>
                    </a:stretch>
                  </pic:blipFill>
                  <pic:spPr>
                    <a:xfrm>
                      <a:off x="0" y="0"/>
                      <a:ext cx="5275580" cy="3596005"/>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1770" cy="3702050"/>
            <wp:effectExtent l="0" t="0" r="5080" b="12700"/>
            <wp:docPr id="80" name="图片 80" descr="174297433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742974333981"/>
                    <pic:cNvPicPr>
                      <a:picLocks noChangeAspect="1"/>
                    </pic:cNvPicPr>
                  </pic:nvPicPr>
                  <pic:blipFill>
                    <a:blip r:embed="rId123"/>
                    <a:stretch>
                      <a:fillRect/>
                    </a:stretch>
                  </pic:blipFill>
                  <pic:spPr>
                    <a:xfrm>
                      <a:off x="0" y="0"/>
                      <a:ext cx="5271770" cy="3702050"/>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4945" cy="3585210"/>
            <wp:effectExtent l="0" t="0" r="1905" b="15240"/>
            <wp:docPr id="82" name="图片 82" descr="174297434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1742974345363"/>
                    <pic:cNvPicPr>
                      <a:picLocks noChangeAspect="1"/>
                    </pic:cNvPicPr>
                  </pic:nvPicPr>
                  <pic:blipFill>
                    <a:blip r:embed="rId124"/>
                    <a:stretch>
                      <a:fillRect/>
                    </a:stretch>
                  </pic:blipFill>
                  <pic:spPr>
                    <a:xfrm>
                      <a:off x="0" y="0"/>
                      <a:ext cx="5274945" cy="3585210"/>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4310" cy="3542030"/>
            <wp:effectExtent l="0" t="0" r="2540" b="1270"/>
            <wp:docPr id="83" name="图片 83" descr="1742974355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742974355786"/>
                    <pic:cNvPicPr>
                      <a:picLocks noChangeAspect="1"/>
                    </pic:cNvPicPr>
                  </pic:nvPicPr>
                  <pic:blipFill>
                    <a:blip r:embed="rId125"/>
                    <a:stretch>
                      <a:fillRect/>
                    </a:stretch>
                  </pic:blipFill>
                  <pic:spPr>
                    <a:xfrm>
                      <a:off x="0" y="0"/>
                      <a:ext cx="5274310" cy="3542030"/>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4945" cy="3640455"/>
            <wp:effectExtent l="0" t="0" r="1905" b="17145"/>
            <wp:docPr id="85" name="图片 85" descr="174297439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1742974395371"/>
                    <pic:cNvPicPr>
                      <a:picLocks noChangeAspect="1"/>
                    </pic:cNvPicPr>
                  </pic:nvPicPr>
                  <pic:blipFill>
                    <a:blip r:embed="rId126"/>
                    <a:stretch>
                      <a:fillRect/>
                    </a:stretch>
                  </pic:blipFill>
                  <pic:spPr>
                    <a:xfrm>
                      <a:off x="0" y="0"/>
                      <a:ext cx="5274945" cy="3640455"/>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5580" cy="3267710"/>
            <wp:effectExtent l="0" t="0" r="1270" b="8890"/>
            <wp:docPr id="87" name="图片 87" descr="1742974407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742974407516"/>
                    <pic:cNvPicPr>
                      <a:picLocks noChangeAspect="1"/>
                    </pic:cNvPicPr>
                  </pic:nvPicPr>
                  <pic:blipFill>
                    <a:blip r:embed="rId127"/>
                    <a:stretch>
                      <a:fillRect/>
                    </a:stretch>
                  </pic:blipFill>
                  <pic:spPr>
                    <a:xfrm>
                      <a:off x="0" y="0"/>
                      <a:ext cx="5275580" cy="3267710"/>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0500" cy="3515995"/>
            <wp:effectExtent l="0" t="0" r="6350" b="8255"/>
            <wp:docPr id="89" name="图片 89" descr="174297441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1742974417281"/>
                    <pic:cNvPicPr>
                      <a:picLocks noChangeAspect="1"/>
                    </pic:cNvPicPr>
                  </pic:nvPicPr>
                  <pic:blipFill>
                    <a:blip r:embed="rId128"/>
                    <a:stretch>
                      <a:fillRect/>
                    </a:stretch>
                  </pic:blipFill>
                  <pic:spPr>
                    <a:xfrm>
                      <a:off x="0" y="0"/>
                      <a:ext cx="5270500" cy="3515995"/>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1135" cy="3451225"/>
            <wp:effectExtent l="0" t="0" r="5715" b="15875"/>
            <wp:docPr id="90" name="图片 90" descr="174297442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1742974426261"/>
                    <pic:cNvPicPr>
                      <a:picLocks noChangeAspect="1"/>
                    </pic:cNvPicPr>
                  </pic:nvPicPr>
                  <pic:blipFill>
                    <a:blip r:embed="rId129"/>
                    <a:stretch>
                      <a:fillRect/>
                    </a:stretch>
                  </pic:blipFill>
                  <pic:spPr>
                    <a:xfrm>
                      <a:off x="0" y="0"/>
                      <a:ext cx="5271135" cy="3451225"/>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1135" cy="3789680"/>
            <wp:effectExtent l="0" t="0" r="5715" b="1270"/>
            <wp:docPr id="100" name="图片 100" descr="174297444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742974440020"/>
                    <pic:cNvPicPr>
                      <a:picLocks noChangeAspect="1"/>
                    </pic:cNvPicPr>
                  </pic:nvPicPr>
                  <pic:blipFill>
                    <a:blip r:embed="rId130"/>
                    <a:stretch>
                      <a:fillRect/>
                    </a:stretch>
                  </pic:blipFill>
                  <pic:spPr>
                    <a:xfrm>
                      <a:off x="0" y="0"/>
                      <a:ext cx="5271135" cy="3789680"/>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69865" cy="3606800"/>
            <wp:effectExtent l="0" t="0" r="6985" b="12700"/>
            <wp:docPr id="101" name="图片 101" descr="174297444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1742974448657"/>
                    <pic:cNvPicPr>
                      <a:picLocks noChangeAspect="1"/>
                    </pic:cNvPicPr>
                  </pic:nvPicPr>
                  <pic:blipFill>
                    <a:blip r:embed="rId131"/>
                    <a:stretch>
                      <a:fillRect/>
                    </a:stretch>
                  </pic:blipFill>
                  <pic:spPr>
                    <a:xfrm>
                      <a:off x="0" y="0"/>
                      <a:ext cx="5269865" cy="3606800"/>
                    </a:xfrm>
                    <a:prstGeom prst="rect">
                      <a:avLst/>
                    </a:prstGeom>
                  </pic:spPr>
                </pic:pic>
              </a:graphicData>
            </a:graphic>
          </wp:inline>
        </w:drawing>
      </w:r>
      <w:r>
        <w:rPr>
          <w:rFonts w:hint="eastAsia"/>
          <w:color w:val="000000" w:themeColor="text1"/>
          <w:highlight w:val="none"/>
          <w:lang w:val="en-US" w:eastAsia="zh-CN"/>
        </w:rPr>
        <w:drawing>
          <wp:inline distT="0" distB="0" distL="114300" distR="114300">
            <wp:extent cx="5272405" cy="3738245"/>
            <wp:effectExtent l="0" t="0" r="4445" b="14605"/>
            <wp:docPr id="102" name="图片 102" descr="174297446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1742974463669"/>
                    <pic:cNvPicPr>
                      <a:picLocks noChangeAspect="1"/>
                    </pic:cNvPicPr>
                  </pic:nvPicPr>
                  <pic:blipFill>
                    <a:blip r:embed="rId132"/>
                    <a:stretch>
                      <a:fillRect/>
                    </a:stretch>
                  </pic:blipFill>
                  <pic:spPr>
                    <a:xfrm>
                      <a:off x="0" y="0"/>
                      <a:ext cx="5272405" cy="3738245"/>
                    </a:xfrm>
                    <a:prstGeom prst="rect">
                      <a:avLst/>
                    </a:prstGeom>
                  </pic:spPr>
                </pic:pic>
              </a:graphicData>
            </a:graphic>
          </wp:inline>
        </w:drawing>
      </w:r>
    </w:p>
    <w:p w14:paraId="4AE30992">
      <w:pPr>
        <w:pageBreakBefore w:val="0"/>
        <w:wordWrap/>
        <w:topLinePunct w:val="0"/>
        <w:bidi w:val="0"/>
        <w:spacing w:line="360" w:lineRule="auto"/>
        <w:ind w:left="0" w:leftChars="0" w:firstLine="0" w:firstLineChars="0"/>
        <w:rPr>
          <w:rFonts w:hint="default"/>
          <w:b/>
          <w:bCs/>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件6 中国铁路哈尔滨局集团有限公司关于鹤岗市新建机场连接线工程跨越鹤北线铁路的复函</w:t>
      </w:r>
    </w:p>
    <w:p w14:paraId="40D00D1F">
      <w:pPr>
        <w:pageBreakBefore w:val="0"/>
        <w:wordWrap/>
        <w:topLinePunct w:val="0"/>
        <w:bidi w:val="0"/>
        <w:spacing w:line="360" w:lineRule="auto"/>
        <w:ind w:left="0" w:leftChars="0" w:firstLine="0" w:firstLineChars="0"/>
        <w:rPr>
          <w:rFonts w:hint="eastAsia"/>
          <w:b/>
          <w:bCs/>
          <w:color w:val="000000" w:themeColor="text1"/>
          <w:highlight w:val="none"/>
          <w:lang w:val="en-US" w:eastAsia="zh-CN"/>
        </w:rPr>
      </w:pPr>
      <w:r>
        <w:rPr>
          <w:rFonts w:ascii="宋体" w:hAnsi="宋体" w:eastAsia="宋体" w:cs="宋体"/>
          <w:color w:val="000000" w:themeColor="text1"/>
          <w:sz w:val="24"/>
          <w:szCs w:val="24"/>
          <w:highlight w:val="none"/>
        </w:rPr>
        <w:fldChar w:fldCharType="begin"/>
      </w:r>
      <w:r>
        <w:rPr>
          <w:rFonts w:ascii="宋体" w:hAnsi="宋体" w:eastAsia="宋体" w:cs="宋体"/>
          <w:color w:val="000000" w:themeColor="text1"/>
          <w:sz w:val="24"/>
          <w:szCs w:val="24"/>
          <w:highlight w:val="none"/>
        </w:rPr>
        <w:instrText xml:space="preserve">INCLUDEPICTURE \d "C:\\Users\\邹鹏\\AppData\\Local\\Temp\\QQ_1744973513828.png" \* MERGEFORMATINET </w:instrText>
      </w:r>
      <w:r>
        <w:rPr>
          <w:rFonts w:ascii="宋体" w:hAnsi="宋体" w:eastAsia="宋体" w:cs="宋体"/>
          <w:color w:val="000000" w:themeColor="text1"/>
          <w:sz w:val="24"/>
          <w:szCs w:val="24"/>
          <w:highlight w:val="none"/>
        </w:rPr>
        <w:fldChar w:fldCharType="separate"/>
      </w:r>
      <w:r>
        <w:rPr>
          <w:rFonts w:ascii="宋体" w:hAnsi="宋体" w:eastAsia="宋体" w:cs="宋体"/>
          <w:color w:val="000000" w:themeColor="text1"/>
          <w:sz w:val="24"/>
          <w:szCs w:val="24"/>
          <w:highlight w:val="none"/>
        </w:rPr>
        <w:drawing>
          <wp:inline distT="0" distB="0" distL="114300" distR="114300">
            <wp:extent cx="5230495" cy="7333615"/>
            <wp:effectExtent l="0" t="0" r="8255" b="635"/>
            <wp:docPr id="106" name="图片 10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IMG_256"/>
                    <pic:cNvPicPr>
                      <a:picLocks noChangeAspect="1"/>
                    </pic:cNvPicPr>
                  </pic:nvPicPr>
                  <pic:blipFill>
                    <a:blip r:embed="rId133"/>
                    <a:stretch>
                      <a:fillRect/>
                    </a:stretch>
                  </pic:blipFill>
                  <pic:spPr>
                    <a:xfrm>
                      <a:off x="0" y="0"/>
                      <a:ext cx="5230495" cy="7333615"/>
                    </a:xfrm>
                    <a:prstGeom prst="rect">
                      <a:avLst/>
                    </a:prstGeom>
                    <a:noFill/>
                    <a:ln>
                      <a:noFill/>
                    </a:ln>
                  </pic:spPr>
                </pic:pic>
              </a:graphicData>
            </a:graphic>
          </wp:inline>
        </w:drawing>
      </w:r>
      <w:r>
        <w:rPr>
          <w:rFonts w:ascii="宋体" w:hAnsi="宋体" w:eastAsia="宋体" w:cs="宋体"/>
          <w:color w:val="000000" w:themeColor="text1"/>
          <w:sz w:val="24"/>
          <w:szCs w:val="24"/>
          <w:highlight w:val="none"/>
        </w:rPr>
        <w:fldChar w:fldCharType="end"/>
      </w:r>
    </w:p>
    <w:p w14:paraId="1FF755B2">
      <w:pPr>
        <w:spacing w:line="240" w:lineRule="auto"/>
        <w:rPr>
          <w:rFonts w:ascii="宋体" w:hAnsi="宋体" w:eastAsia="宋体" w:cs="宋体"/>
          <w:color w:val="000000" w:themeColor="text1"/>
          <w:sz w:val="24"/>
          <w:szCs w:val="24"/>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r>
        <w:rPr>
          <w:rFonts w:ascii="宋体" w:hAnsi="宋体" w:eastAsia="宋体" w:cs="宋体"/>
          <w:color w:val="000000" w:themeColor="text1"/>
          <w:sz w:val="24"/>
          <w:szCs w:val="24"/>
          <w:highlight w:val="none"/>
        </w:rPr>
        <w:fldChar w:fldCharType="begin"/>
      </w:r>
      <w:r>
        <w:rPr>
          <w:rFonts w:ascii="宋体" w:hAnsi="宋体" w:eastAsia="宋体" w:cs="宋体"/>
          <w:color w:val="000000" w:themeColor="text1"/>
          <w:sz w:val="24"/>
          <w:szCs w:val="24"/>
          <w:highlight w:val="none"/>
        </w:rPr>
        <w:instrText xml:space="preserve">INCLUDEPICTURE \d "C:\\Users\\邹鹏\\AppData\\Local\\Temp\\QQ_1744973545135.png" \* MERGEFORMATINET </w:instrText>
      </w:r>
      <w:r>
        <w:rPr>
          <w:rFonts w:ascii="宋体" w:hAnsi="宋体" w:eastAsia="宋体" w:cs="宋体"/>
          <w:color w:val="000000" w:themeColor="text1"/>
          <w:sz w:val="24"/>
          <w:szCs w:val="24"/>
          <w:highlight w:val="none"/>
        </w:rPr>
        <w:fldChar w:fldCharType="separate"/>
      </w:r>
      <w:r>
        <w:rPr>
          <w:rFonts w:ascii="宋体" w:hAnsi="宋体" w:eastAsia="宋体" w:cs="宋体"/>
          <w:color w:val="000000" w:themeColor="text1"/>
          <w:sz w:val="24"/>
          <w:szCs w:val="24"/>
          <w:highlight w:val="none"/>
        </w:rPr>
        <w:drawing>
          <wp:inline distT="0" distB="0" distL="114300" distR="114300">
            <wp:extent cx="5232400" cy="7690485"/>
            <wp:effectExtent l="0" t="0" r="6350" b="5715"/>
            <wp:docPr id="107" name="图片 10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IMG_256"/>
                    <pic:cNvPicPr>
                      <a:picLocks noChangeAspect="1"/>
                    </pic:cNvPicPr>
                  </pic:nvPicPr>
                  <pic:blipFill>
                    <a:blip r:embed="rId134"/>
                    <a:stretch>
                      <a:fillRect/>
                    </a:stretch>
                  </pic:blipFill>
                  <pic:spPr>
                    <a:xfrm>
                      <a:off x="0" y="0"/>
                      <a:ext cx="5232400" cy="7690485"/>
                    </a:xfrm>
                    <a:prstGeom prst="rect">
                      <a:avLst/>
                    </a:prstGeom>
                    <a:noFill/>
                    <a:ln>
                      <a:noFill/>
                    </a:ln>
                  </pic:spPr>
                </pic:pic>
              </a:graphicData>
            </a:graphic>
          </wp:inline>
        </w:drawing>
      </w:r>
      <w:r>
        <w:rPr>
          <w:rFonts w:ascii="宋体" w:hAnsi="宋体" w:eastAsia="宋体" w:cs="宋体"/>
          <w:color w:val="000000" w:themeColor="text1"/>
          <w:sz w:val="24"/>
          <w:szCs w:val="24"/>
          <w:highlight w:val="none"/>
        </w:rPr>
        <w:fldChar w:fldCharType="end"/>
      </w:r>
    </w:p>
    <w:p w14:paraId="51357377">
      <w:pPr>
        <w:pageBreakBefore w:val="0"/>
        <w:wordWrap/>
        <w:topLinePunct w:val="0"/>
        <w:bidi w:val="0"/>
        <w:spacing w:line="360" w:lineRule="auto"/>
        <w:ind w:left="0" w:leftChars="0" w:firstLine="0" w:firstLineChars="0"/>
        <w:rPr>
          <w:rFonts w:hint="eastAsia"/>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件7 鹤岗市交通运输局关于新建黑龙江鹤岗机场场外配套工程机场进场路工程初步设计的批复</w:t>
      </w:r>
    </w:p>
    <w:p w14:paraId="1F0EA2D1">
      <w:pPr>
        <w:spacing w:line="240" w:lineRule="auto"/>
        <w:rPr>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r>
        <w:rPr>
          <w:color w:val="000000" w:themeColor="text1"/>
          <w:highlight w:val="none"/>
        </w:rPr>
        <w:drawing>
          <wp:inline distT="0" distB="0" distL="114300" distR="114300">
            <wp:extent cx="5245100" cy="7418070"/>
            <wp:effectExtent l="0" t="0" r="12700" b="11430"/>
            <wp:docPr id="1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
                    <pic:cNvPicPr>
                      <a:picLocks noChangeAspect="1"/>
                    </pic:cNvPicPr>
                  </pic:nvPicPr>
                  <pic:blipFill>
                    <a:blip r:embed="rId135"/>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3"/>
                    <pic:cNvPicPr>
                      <a:picLocks noChangeAspect="1"/>
                    </pic:cNvPicPr>
                  </pic:nvPicPr>
                  <pic:blipFill>
                    <a:blip r:embed="rId136"/>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4"/>
                    <pic:cNvPicPr>
                      <a:picLocks noChangeAspect="1"/>
                    </pic:cNvPicPr>
                  </pic:nvPicPr>
                  <pic:blipFill>
                    <a:blip r:embed="rId137"/>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5"/>
                    <pic:cNvPicPr>
                      <a:picLocks noChangeAspect="1"/>
                    </pic:cNvPicPr>
                  </pic:nvPicPr>
                  <pic:blipFill>
                    <a:blip r:embed="rId138"/>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6"/>
                    <pic:cNvPicPr>
                      <a:picLocks noChangeAspect="1"/>
                    </pic:cNvPicPr>
                  </pic:nvPicPr>
                  <pic:blipFill>
                    <a:blip r:embed="rId139"/>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7"/>
                    <pic:cNvPicPr>
                      <a:picLocks noChangeAspect="1"/>
                    </pic:cNvPicPr>
                  </pic:nvPicPr>
                  <pic:blipFill>
                    <a:blip r:embed="rId140"/>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8"/>
                    <pic:cNvPicPr>
                      <a:picLocks noChangeAspect="1"/>
                    </pic:cNvPicPr>
                  </pic:nvPicPr>
                  <pic:blipFill>
                    <a:blip r:embed="rId141"/>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9"/>
                    <pic:cNvPicPr>
                      <a:picLocks noChangeAspect="1"/>
                    </pic:cNvPicPr>
                  </pic:nvPicPr>
                  <pic:blipFill>
                    <a:blip r:embed="rId142"/>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0"/>
                    <pic:cNvPicPr>
                      <a:picLocks noChangeAspect="1"/>
                    </pic:cNvPicPr>
                  </pic:nvPicPr>
                  <pic:blipFill>
                    <a:blip r:embed="rId143"/>
                    <a:stretch>
                      <a:fillRect/>
                    </a:stretch>
                  </pic:blipFill>
                  <pic:spPr>
                    <a:xfrm>
                      <a:off x="0" y="0"/>
                      <a:ext cx="5245100" cy="7418070"/>
                    </a:xfrm>
                    <a:prstGeom prst="rect">
                      <a:avLst/>
                    </a:prstGeom>
                    <a:noFill/>
                    <a:ln>
                      <a:noFill/>
                    </a:ln>
                  </pic:spPr>
                </pic:pic>
              </a:graphicData>
            </a:graphic>
          </wp:inline>
        </w:drawing>
      </w:r>
      <w:r>
        <w:rPr>
          <w:color w:val="000000" w:themeColor="text1"/>
          <w:highlight w:val="none"/>
        </w:rPr>
        <w:drawing>
          <wp:inline distT="0" distB="0" distL="114300" distR="114300">
            <wp:extent cx="5245100" cy="7418070"/>
            <wp:effectExtent l="0" t="0" r="12700" b="11430"/>
            <wp:docPr id="1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1"/>
                    <pic:cNvPicPr>
                      <a:picLocks noChangeAspect="1"/>
                    </pic:cNvPicPr>
                  </pic:nvPicPr>
                  <pic:blipFill>
                    <a:blip r:embed="rId144"/>
                    <a:stretch>
                      <a:fillRect/>
                    </a:stretch>
                  </pic:blipFill>
                  <pic:spPr>
                    <a:xfrm>
                      <a:off x="0" y="0"/>
                      <a:ext cx="5245100" cy="7418070"/>
                    </a:xfrm>
                    <a:prstGeom prst="rect">
                      <a:avLst/>
                    </a:prstGeom>
                    <a:noFill/>
                    <a:ln>
                      <a:noFill/>
                    </a:ln>
                  </pic:spPr>
                </pic:pic>
              </a:graphicData>
            </a:graphic>
          </wp:inline>
        </w:drawing>
      </w:r>
    </w:p>
    <w:p w14:paraId="777D1E63">
      <w:pPr>
        <w:pageBreakBefore w:val="0"/>
        <w:wordWrap/>
        <w:topLinePunct w:val="0"/>
        <w:bidi w:val="0"/>
        <w:spacing w:line="360" w:lineRule="auto"/>
        <w:ind w:left="0" w:leftChars="0" w:firstLine="0" w:firstLineChars="0"/>
        <w:rPr>
          <w:rFonts w:hint="default"/>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件8 外购材料意向书</w:t>
      </w:r>
    </w:p>
    <w:p w14:paraId="5BB75AC2">
      <w:pPr>
        <w:spacing w:line="240" w:lineRule="auto"/>
        <w:rPr>
          <w:rFonts w:hint="eastAsia"/>
          <w:color w:val="000000" w:themeColor="text1"/>
          <w:highlight w:val="none"/>
          <w:lang w:val="en-US" w:eastAsia="zh-CN"/>
        </w:rPr>
      </w:pPr>
      <w:r>
        <w:rPr>
          <w:color w:val="000000" w:themeColor="text1"/>
          <w:highlight w:val="none"/>
        </w:rPr>
        <w:drawing>
          <wp:inline distT="0" distB="0" distL="114300" distR="114300">
            <wp:extent cx="5142865" cy="6998335"/>
            <wp:effectExtent l="0" t="0" r="635" b="12065"/>
            <wp:docPr id="1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
                    <pic:cNvPicPr>
                      <a:picLocks noChangeAspect="1"/>
                    </pic:cNvPicPr>
                  </pic:nvPicPr>
                  <pic:blipFill>
                    <a:blip r:embed="rId145"/>
                    <a:stretch>
                      <a:fillRect/>
                    </a:stretch>
                  </pic:blipFill>
                  <pic:spPr>
                    <a:xfrm>
                      <a:off x="0" y="0"/>
                      <a:ext cx="5142865" cy="6998335"/>
                    </a:xfrm>
                    <a:prstGeom prst="rect">
                      <a:avLst/>
                    </a:prstGeom>
                    <a:noFill/>
                    <a:ln>
                      <a:noFill/>
                    </a:ln>
                  </pic:spPr>
                </pic:pic>
              </a:graphicData>
            </a:graphic>
          </wp:inline>
        </w:drawing>
      </w:r>
    </w:p>
    <w:p w14:paraId="69FF5B5D">
      <w:pPr>
        <w:spacing w:line="240" w:lineRule="auto"/>
        <w:ind w:left="0" w:leftChars="0" w:firstLine="0" w:firstLineChars="0"/>
        <w:rPr>
          <w:rFonts w:hint="eastAsia"/>
          <w:color w:val="000000" w:themeColor="text1"/>
          <w:highlight w:val="none"/>
          <w:lang w:val="en-US" w:eastAsia="zh-CN"/>
        </w:rPr>
      </w:pPr>
      <w:r>
        <w:rPr>
          <w:rFonts w:hint="eastAsia"/>
          <w:color w:val="000000" w:themeColor="text1"/>
          <w:highlight w:val="none"/>
          <w:lang w:val="en-US" w:eastAsia="zh-CN"/>
        </w:rPr>
        <w:drawing>
          <wp:inline distT="0" distB="0" distL="114300" distR="114300">
            <wp:extent cx="5273675" cy="7152640"/>
            <wp:effectExtent l="0" t="0" r="3175" b="10160"/>
            <wp:docPr id="137" name="图片 137" descr="174848522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1748485220186"/>
                    <pic:cNvPicPr>
                      <a:picLocks noChangeAspect="1"/>
                    </pic:cNvPicPr>
                  </pic:nvPicPr>
                  <pic:blipFill>
                    <a:blip r:embed="rId146"/>
                    <a:stretch>
                      <a:fillRect/>
                    </a:stretch>
                  </pic:blipFill>
                  <pic:spPr>
                    <a:xfrm>
                      <a:off x="0" y="0"/>
                      <a:ext cx="5273675" cy="7152640"/>
                    </a:xfrm>
                    <a:prstGeom prst="rect">
                      <a:avLst/>
                    </a:prstGeom>
                  </pic:spPr>
                </pic:pic>
              </a:graphicData>
            </a:graphic>
          </wp:inline>
        </w:drawing>
      </w:r>
    </w:p>
    <w:p w14:paraId="6DA07A69">
      <w:pPr>
        <w:spacing w:line="240" w:lineRule="auto"/>
        <w:ind w:left="0" w:leftChars="0" w:firstLine="0" w:firstLineChars="0"/>
        <w:rPr>
          <w:rFonts w:hint="eastAsia"/>
          <w:color w:val="000000" w:themeColor="text1"/>
          <w:highlight w:val="none"/>
          <w:lang w:val="en-US" w:eastAsia="zh-CN"/>
        </w:rPr>
      </w:pPr>
      <w:r>
        <w:rPr>
          <w:rFonts w:hint="eastAsia"/>
          <w:color w:val="000000" w:themeColor="text1"/>
          <w:highlight w:val="none"/>
          <w:lang w:val="en-US" w:eastAsia="zh-CN"/>
        </w:rPr>
        <w:drawing>
          <wp:inline distT="0" distB="0" distL="114300" distR="114300">
            <wp:extent cx="5277485" cy="7277100"/>
            <wp:effectExtent l="0" t="0" r="18415" b="0"/>
            <wp:docPr id="139" name="图片 139" descr="174848525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1748485258877"/>
                    <pic:cNvPicPr>
                      <a:picLocks noChangeAspect="1"/>
                    </pic:cNvPicPr>
                  </pic:nvPicPr>
                  <pic:blipFill>
                    <a:blip r:embed="rId147"/>
                    <a:stretch>
                      <a:fillRect/>
                    </a:stretch>
                  </pic:blipFill>
                  <pic:spPr>
                    <a:xfrm>
                      <a:off x="0" y="0"/>
                      <a:ext cx="5277485" cy="7277100"/>
                    </a:xfrm>
                    <a:prstGeom prst="rect">
                      <a:avLst/>
                    </a:prstGeom>
                  </pic:spPr>
                </pic:pic>
              </a:graphicData>
            </a:graphic>
          </wp:inline>
        </w:drawing>
      </w:r>
    </w:p>
    <w:p w14:paraId="15DD1396">
      <w:pPr>
        <w:spacing w:line="240" w:lineRule="auto"/>
        <w:ind w:left="0" w:leftChars="0" w:firstLine="0" w:firstLineChars="0"/>
        <w:rPr>
          <w:rFonts w:hint="eastAsia"/>
          <w:color w:val="000000" w:themeColor="text1"/>
          <w:highlight w:val="none"/>
          <w:lang w:val="en-US" w:eastAsia="zh-CN"/>
        </w:rPr>
      </w:pPr>
      <w:r>
        <w:rPr>
          <w:color w:val="000000" w:themeColor="text1"/>
          <w:highlight w:val="none"/>
        </w:rPr>
        <w:drawing>
          <wp:inline distT="0" distB="0" distL="114300" distR="114300">
            <wp:extent cx="5241925" cy="7490460"/>
            <wp:effectExtent l="0" t="0" r="15875" b="15240"/>
            <wp:docPr id="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pic:cNvPicPr>
                      <a:picLocks noChangeAspect="1"/>
                    </pic:cNvPicPr>
                  </pic:nvPicPr>
                  <pic:blipFill>
                    <a:blip r:embed="rId148"/>
                    <a:stretch>
                      <a:fillRect/>
                    </a:stretch>
                  </pic:blipFill>
                  <pic:spPr>
                    <a:xfrm>
                      <a:off x="0" y="0"/>
                      <a:ext cx="5241925" cy="7490460"/>
                    </a:xfrm>
                    <a:prstGeom prst="rect">
                      <a:avLst/>
                    </a:prstGeom>
                    <a:noFill/>
                    <a:ln>
                      <a:noFill/>
                    </a:ln>
                  </pic:spPr>
                </pic:pic>
              </a:graphicData>
            </a:graphic>
          </wp:inline>
        </w:drawing>
      </w:r>
    </w:p>
    <w:p w14:paraId="171B334E">
      <w:pPr>
        <w:spacing w:line="240" w:lineRule="auto"/>
        <w:ind w:left="0" w:leftChars="0" w:firstLine="0" w:firstLineChars="0"/>
        <w:rPr>
          <w:rFonts w:hint="eastAsia"/>
          <w:color w:val="000000" w:themeColor="text1"/>
          <w:highlight w:val="none"/>
          <w:lang w:val="en-US" w:eastAsia="zh-CN"/>
        </w:rPr>
      </w:pPr>
      <w:r>
        <w:rPr>
          <w:color w:val="000000" w:themeColor="text1"/>
          <w:highlight w:val="none"/>
        </w:rPr>
        <w:drawing>
          <wp:inline distT="0" distB="0" distL="114300" distR="114300">
            <wp:extent cx="5273040" cy="7497445"/>
            <wp:effectExtent l="0" t="0" r="3810" b="8255"/>
            <wp:docPr id="1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
                    <pic:cNvPicPr>
                      <a:picLocks noChangeAspect="1"/>
                    </pic:cNvPicPr>
                  </pic:nvPicPr>
                  <pic:blipFill>
                    <a:blip r:embed="rId149"/>
                    <a:stretch>
                      <a:fillRect/>
                    </a:stretch>
                  </pic:blipFill>
                  <pic:spPr>
                    <a:xfrm>
                      <a:off x="0" y="0"/>
                      <a:ext cx="5273040" cy="7497445"/>
                    </a:xfrm>
                    <a:prstGeom prst="rect">
                      <a:avLst/>
                    </a:prstGeom>
                    <a:noFill/>
                    <a:ln>
                      <a:noFill/>
                    </a:ln>
                  </pic:spPr>
                </pic:pic>
              </a:graphicData>
            </a:graphic>
          </wp:inline>
        </w:drawing>
      </w:r>
    </w:p>
    <w:p w14:paraId="538C8A64">
      <w:pPr>
        <w:spacing w:line="240" w:lineRule="auto"/>
        <w:ind w:left="0" w:leftChars="0" w:firstLine="0" w:firstLineChars="0"/>
        <w:rPr>
          <w:color w:val="000000" w:themeColor="text1"/>
          <w:highlight w:val="none"/>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r>
        <w:rPr>
          <w:color w:val="000000" w:themeColor="text1"/>
          <w:highlight w:val="none"/>
        </w:rPr>
        <w:drawing>
          <wp:inline distT="0" distB="0" distL="114300" distR="114300">
            <wp:extent cx="5484495" cy="7549515"/>
            <wp:effectExtent l="0" t="0" r="1905" b="13335"/>
            <wp:docPr id="1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pic:cNvPicPr>
                      <a:picLocks noChangeAspect="1"/>
                    </pic:cNvPicPr>
                  </pic:nvPicPr>
                  <pic:blipFill>
                    <a:blip r:embed="rId150"/>
                    <a:stretch>
                      <a:fillRect/>
                    </a:stretch>
                  </pic:blipFill>
                  <pic:spPr>
                    <a:xfrm>
                      <a:off x="0" y="0"/>
                      <a:ext cx="5484495" cy="7549515"/>
                    </a:xfrm>
                    <a:prstGeom prst="rect">
                      <a:avLst/>
                    </a:prstGeom>
                    <a:noFill/>
                    <a:ln>
                      <a:noFill/>
                    </a:ln>
                  </pic:spPr>
                </pic:pic>
              </a:graphicData>
            </a:graphic>
          </wp:inline>
        </w:drawing>
      </w:r>
    </w:p>
    <w:p w14:paraId="75A4BEF8">
      <w:pPr>
        <w:pageBreakBefore w:val="0"/>
        <w:wordWrap/>
        <w:topLinePunct w:val="0"/>
        <w:bidi w:val="0"/>
        <w:spacing w:line="360" w:lineRule="auto"/>
        <w:ind w:left="0" w:leftChars="0" w:firstLine="0" w:firstLineChars="0"/>
        <w:rPr>
          <w:rFonts w:hint="default"/>
          <w:color w:val="000000" w:themeColor="text1"/>
          <w:highlight w:val="none"/>
          <w:lang w:val="en-US" w:eastAsia="zh-CN"/>
        </w:rPr>
      </w:pPr>
      <w:r>
        <w:rPr>
          <w:b/>
          <w:bCs/>
          <w:color w:val="000000" w:themeColor="text1"/>
          <w:highlight w:val="none"/>
        </w:rPr>
        <w:t>附</w:t>
      </w:r>
      <w:r>
        <w:rPr>
          <w:rFonts w:hint="eastAsia"/>
          <w:b/>
          <w:bCs/>
          <w:color w:val="000000" w:themeColor="text1"/>
          <w:highlight w:val="none"/>
          <w:lang w:val="en-US" w:eastAsia="zh-CN"/>
        </w:rPr>
        <w:t>件9 弃土去向意见书</w:t>
      </w:r>
    </w:p>
    <w:p w14:paraId="1DEF9F0D">
      <w:pPr>
        <w:spacing w:line="240" w:lineRule="auto"/>
        <w:ind w:left="0" w:leftChars="0" w:firstLine="0" w:firstLineChars="0"/>
        <w:rPr>
          <w:rFonts w:hint="eastAsia"/>
          <w:color w:val="000000" w:themeColor="text1"/>
          <w:highlight w:val="none"/>
          <w:lang w:val="en-US" w:eastAsia="zh-CN"/>
        </w:rPr>
      </w:pPr>
      <w:r>
        <w:rPr>
          <w:rFonts w:hint="eastAsia" w:eastAsia="仿宋_GB2312"/>
          <w:color w:val="000000" w:themeColor="text1"/>
          <w:highlight w:val="none"/>
          <w:lang w:eastAsia="zh-CN"/>
        </w:rPr>
        <w:drawing>
          <wp:inline distT="0" distB="0" distL="114300" distR="114300">
            <wp:extent cx="5234940" cy="7593330"/>
            <wp:effectExtent l="0" t="0" r="3810" b="7620"/>
            <wp:docPr id="143" name="图片 143" descr="5d7fd76f6ac9ae3d192b06e6458b2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5d7fd76f6ac9ae3d192b06e6458b2c7"/>
                    <pic:cNvPicPr>
                      <a:picLocks noChangeAspect="1"/>
                    </pic:cNvPicPr>
                  </pic:nvPicPr>
                  <pic:blipFill>
                    <a:blip r:embed="rId151"/>
                    <a:stretch>
                      <a:fillRect/>
                    </a:stretch>
                  </pic:blipFill>
                  <pic:spPr>
                    <a:xfrm>
                      <a:off x="0" y="0"/>
                      <a:ext cx="5234940" cy="7593330"/>
                    </a:xfrm>
                    <a:prstGeom prst="rect">
                      <a:avLst/>
                    </a:prstGeom>
                  </pic:spPr>
                </pic:pic>
              </a:graphicData>
            </a:graphic>
          </wp:inline>
        </w:drawing>
      </w:r>
    </w:p>
    <w:p w14:paraId="10295CC6">
      <w:pPr>
        <w:spacing w:line="240" w:lineRule="auto"/>
        <w:rPr>
          <w:rFonts w:hint="eastAsia"/>
          <w:color w:val="000000" w:themeColor="text1"/>
          <w:highlight w:val="none"/>
          <w:lang w:val="en-US" w:eastAsia="zh-CN"/>
        </w:rPr>
      </w:pPr>
    </w:p>
    <w:p w14:paraId="608EEC26">
      <w:pPr>
        <w:spacing w:line="240" w:lineRule="auto"/>
        <w:ind w:left="0" w:leftChars="0" w:firstLine="0" w:firstLineChars="0"/>
        <w:rPr>
          <w:rFonts w:hint="eastAsia"/>
          <w:color w:val="000000" w:themeColor="text1"/>
          <w:highlight w:val="none"/>
          <w:lang w:val="en-US" w:eastAsia="zh-CN"/>
        </w:rPr>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720" w:num="1"/>
          <w:docGrid w:linePitch="312" w:charSpace="0"/>
        </w:sectPr>
      </w:pPr>
    </w:p>
    <w:p w14:paraId="14D228D6">
      <w:pPr>
        <w:spacing w:line="240" w:lineRule="auto"/>
        <w:ind w:left="0" w:leftChars="0" w:firstLine="0" w:firstLineChars="0"/>
        <w:rPr>
          <w:rFonts w:hint="eastAsia"/>
          <w:color w:val="000000" w:themeColor="text1"/>
          <w:highlight w:val="none"/>
          <w:lang w:val="en-US" w:eastAsia="zh-CN"/>
        </w:rPr>
        <w:sectPr>
          <w:pgSz w:w="23811" w:h="16838"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linePitch="312" w:charSpace="0"/>
        </w:sectPr>
      </w:pPr>
      <w:r>
        <w:rPr>
          <w:rFonts w:hint="eastAsia"/>
          <w:color w:val="000000" w:themeColor="text1"/>
          <w:highlight w:val="none"/>
          <w:lang w:val="en-US" w:eastAsia="zh-CN"/>
        </w:rPr>
        <w:drawing>
          <wp:anchor distT="0" distB="0" distL="114300" distR="114300" simplePos="0" relativeHeight="251712512" behindDoc="0" locked="0" layoutInCell="1" allowOverlap="1">
            <wp:simplePos x="0" y="0"/>
            <wp:positionH relativeFrom="column">
              <wp:posOffset>1096645</wp:posOffset>
            </wp:positionH>
            <wp:positionV relativeFrom="paragraph">
              <wp:posOffset>-3098165</wp:posOffset>
            </wp:positionV>
            <wp:extent cx="10622915" cy="15030450"/>
            <wp:effectExtent l="0" t="0" r="0" b="6985"/>
            <wp:wrapNone/>
            <wp:docPr id="103" name="图片 103" descr="2025041610511251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20250416105112511_00"/>
                    <pic:cNvPicPr>
                      <a:picLocks noChangeAspect="1"/>
                    </pic:cNvPicPr>
                  </pic:nvPicPr>
                  <pic:blipFill>
                    <a:blip r:embed="rId152"/>
                    <a:stretch>
                      <a:fillRect/>
                    </a:stretch>
                  </pic:blipFill>
                  <pic:spPr>
                    <a:xfrm rot="5400000">
                      <a:off x="0" y="0"/>
                      <a:ext cx="10622915" cy="15030450"/>
                    </a:xfrm>
                    <a:prstGeom prst="rect">
                      <a:avLst/>
                    </a:prstGeom>
                  </pic:spPr>
                </pic:pic>
              </a:graphicData>
            </a:graphic>
          </wp:anchor>
        </w:drawing>
      </w:r>
    </w:p>
    <w:p w14:paraId="7C70A37A">
      <w:pPr>
        <w:spacing w:line="240" w:lineRule="auto"/>
        <w:ind w:left="0" w:leftChars="0" w:firstLine="0" w:firstLineChars="0"/>
        <w:rPr>
          <w:rFonts w:hint="eastAsia"/>
          <w:color w:val="000000" w:themeColor="text1"/>
          <w:highlight w:val="none"/>
          <w:lang w:val="en-US" w:eastAsia="zh-CN"/>
        </w:rPr>
      </w:pPr>
      <w:r>
        <w:rPr>
          <w:rFonts w:hint="eastAsia"/>
          <w:color w:val="000000" w:themeColor="text1"/>
          <w:highlight w:val="none"/>
          <w:lang w:val="en-US" w:eastAsia="zh-CN"/>
        </w:rPr>
        <w:drawing>
          <wp:anchor distT="0" distB="0" distL="114300" distR="114300" simplePos="0" relativeHeight="251713536" behindDoc="0" locked="0" layoutInCell="1" allowOverlap="1">
            <wp:simplePos x="0" y="0"/>
            <wp:positionH relativeFrom="column">
              <wp:posOffset>948690</wp:posOffset>
            </wp:positionH>
            <wp:positionV relativeFrom="paragraph">
              <wp:posOffset>-3329305</wp:posOffset>
            </wp:positionV>
            <wp:extent cx="10829925" cy="15323185"/>
            <wp:effectExtent l="0" t="0" r="12065" b="9525"/>
            <wp:wrapNone/>
            <wp:docPr id="105" name="图片 105" descr="2025041610511251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20250416105112511_01"/>
                    <pic:cNvPicPr>
                      <a:picLocks noChangeAspect="1"/>
                    </pic:cNvPicPr>
                  </pic:nvPicPr>
                  <pic:blipFill>
                    <a:blip r:embed="rId153"/>
                    <a:stretch>
                      <a:fillRect/>
                    </a:stretch>
                  </pic:blipFill>
                  <pic:spPr>
                    <a:xfrm rot="5400000">
                      <a:off x="0" y="0"/>
                      <a:ext cx="10829925" cy="15323185"/>
                    </a:xfrm>
                    <a:prstGeom prst="rect">
                      <a:avLst/>
                    </a:prstGeom>
                  </pic:spPr>
                </pic:pic>
              </a:graphicData>
            </a:graphic>
          </wp:anchor>
        </w:drawing>
      </w:r>
    </w:p>
    <w:sectPr>
      <w:pgSz w:w="23811" w:h="16838" w:orient="landscape"/>
      <w:pgMar w:top="1440" w:right="1800" w:bottom="1440" w:left="1800"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entury Gothic">
    <w:altName w:val="Yu Gothic UI"/>
    <w:panose1 w:val="020B0502020202020204"/>
    <w:charset w:val="00"/>
    <w:family w:val="swiss"/>
    <w:pitch w:val="default"/>
    <w:sig w:usb0="00000000" w:usb1="00000000" w:usb2="00000000" w:usb3="00000000" w:csb0="2000009F" w:csb1="DFD70000"/>
  </w:font>
  <w:font w:name="Yu Gothic UI">
    <w:panose1 w:val="020B0500000000000000"/>
    <w:charset w:val="80"/>
    <w:family w:val="auto"/>
    <w:pitch w:val="default"/>
    <w:sig w:usb0="E00002FF" w:usb1="2AC7FDFF" w:usb2="00000016" w:usb3="00000000" w:csb0="2002009F" w:csb1="00000000"/>
  </w:font>
  <w:font w:name="Segoe UI Symbol">
    <w:panose1 w:val="020B0502040204020203"/>
    <w:charset w:val="00"/>
    <w:family w:val="swiss"/>
    <w:pitch w:val="default"/>
    <w:sig w:usb0="800001E3" w:usb1="1200FFEF" w:usb2="00040000" w:usb3="04000000" w:csb0="00000001" w:csb1="4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BC54FA">
    <w:pPr>
      <w:pStyle w:val="2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8FDDE">
    <w:pPr>
      <w:pStyle w:val="2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57C80">
    <w:pPr>
      <w:pStyle w:val="2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45E0B1">
    <w:pPr>
      <w:pStyle w:val="23"/>
      <w:framePr w:w="902" w:wrap="around" w:vAnchor="text" w:hAnchor="margin" w:xAlign="center" w:y="6"/>
      <w:ind w:firstLine="420"/>
      <w:rPr>
        <w:rStyle w:val="37"/>
      </w:rPr>
    </w:pPr>
    <w:r>
      <w:rPr>
        <w:sz w:val="21"/>
        <w:szCs w:val="21"/>
      </w:rPr>
      <w:fldChar w:fldCharType="begin"/>
    </w:r>
    <w:r>
      <w:rPr>
        <w:rStyle w:val="37"/>
        <w:sz w:val="21"/>
        <w:szCs w:val="21"/>
      </w:rPr>
      <w:instrText xml:space="preserve">PAGE  </w:instrText>
    </w:r>
    <w:r>
      <w:rPr>
        <w:sz w:val="21"/>
        <w:szCs w:val="21"/>
      </w:rPr>
      <w:fldChar w:fldCharType="separate"/>
    </w:r>
    <w:r>
      <w:rPr>
        <w:rStyle w:val="37"/>
        <w:sz w:val="21"/>
        <w:szCs w:val="21"/>
      </w:rPr>
      <w:t>5</w:t>
    </w:r>
    <w:r>
      <w:rPr>
        <w:sz w:val="21"/>
        <w:szCs w:val="21"/>
      </w:rPr>
      <w:fldChar w:fldCharType="end"/>
    </w:r>
    <w:r>
      <w:rPr>
        <w:rFonts w:hint="eastAsia"/>
      </w:rPr>
      <w:t xml:space="preserve"> </w:t>
    </w:r>
  </w:p>
  <w:p w14:paraId="4E926AEA">
    <w:pPr>
      <w:pStyle w:val="23"/>
      <w:ind w:firstLine="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350CE9">
    <w:pPr>
      <w:pStyle w:val="23"/>
      <w:ind w:firstLine="360"/>
    </w:pPr>
    <w:r>
      <w:rPr>
        <w:sz w:val="18"/>
      </w:rPr>
      <w:pict>
        <v:shape id="_x0000_s1027" o:spid="_x0000_s1027" o:spt="202" type="#_x0000_t202" style="position:absolute;left:0pt;margin-top:0pt;height:144pt;width:144pt;mso-position-horizontal:center;mso-position-horizontal-relative:margin;mso-wrap-style:none;z-index:251714560;mso-width-relative:page;mso-height-relative:page;" filled="f" stroked="f" coordsize="21600,21600">
          <v:path/>
          <v:fill on="f" focussize="0,0"/>
          <v:stroke on="f"/>
          <v:imagedata o:title=""/>
          <o:lock v:ext="edit" aspectratio="f"/>
          <v:textbox inset="0mm,0mm,0mm,0mm" style="mso-fit-shape-to-text:t;">
            <w:txbxContent>
              <w:p w14:paraId="27A49B1B">
                <w:pPr>
                  <w:pStyle w:val="23"/>
                </w:pPr>
                <w:r>
                  <w:fldChar w:fldCharType="begin"/>
                </w:r>
                <w:r>
                  <w:instrText xml:space="preserve"> PAGE  \* MERGEFORMAT </w:instrText>
                </w:r>
                <w:r>
                  <w:fldChar w:fldCharType="separate"/>
                </w:r>
                <w:r>
                  <w:t>V</w:t>
                </w:r>
                <w:r>
                  <w:fldChar w:fldCharType="end"/>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82CFD5">
    <w:pPr>
      <w:pStyle w:val="23"/>
      <w:ind w:firstLine="360"/>
    </w:pPr>
    <w:r>
      <w:rPr>
        <w:sz w:val="18"/>
      </w:rPr>
      <w:pict>
        <v:shape id="_x0000_s1028" o:spid="_x0000_s1028" o:spt="202" type="#_x0000_t202" style="position:absolute;left:0pt;margin-top:0pt;height:144pt;width:144pt;mso-position-horizontal:center;mso-position-horizontal-relative:margin;mso-wrap-style:none;z-index:251715584;mso-width-relative:page;mso-height-relative:page;" filled="f" stroked="f" coordsize="21600,21600">
          <v:path/>
          <v:fill on="f" focussize="0,0"/>
          <v:stroke on="f"/>
          <v:imagedata o:title=""/>
          <o:lock v:ext="edit" aspectratio="f"/>
          <v:textbox inset="0mm,0mm,0mm,0mm" style="mso-fit-shape-to-text:t;">
            <w:txbxContent>
              <w:p w14:paraId="402AE4C3">
                <w:pPr>
                  <w:pStyle w:val="23"/>
                </w:pPr>
                <w:r>
                  <w:fldChar w:fldCharType="begin"/>
                </w:r>
                <w:r>
                  <w:instrText xml:space="preserve"> PAGE  \* MERGEFORMAT </w:instrText>
                </w:r>
                <w:r>
                  <w:fldChar w:fldCharType="separate"/>
                </w:r>
                <w:r>
                  <w:t>I</w:t>
                </w:r>
                <w:r>
                  <w:fldChar w:fldCharType="end"/>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41E9D">
    <w:pPr>
      <w:pStyle w:val="23"/>
      <w:ind w:firstLine="360"/>
      <w:jc w:val="center"/>
    </w:pPr>
    <w:r>
      <w:rPr>
        <w:sz w:val="18"/>
      </w:rPr>
      <w:pict>
        <v:shape id="_x0000_s1029" o:spid="_x0000_s1029" o:spt="202" type="#_x0000_t202" style="position:absolute;left:0pt;margin-top:0pt;height:144pt;width:144pt;mso-position-horizontal:center;mso-position-horizontal-relative:margin;mso-wrap-style:none;z-index:251716608;mso-width-relative:page;mso-height-relative:page;" filled="f" stroked="f" coordsize="21600,21600">
          <v:path/>
          <v:fill on="f" focussize="0,0"/>
          <v:stroke on="f"/>
          <v:imagedata o:title=""/>
          <o:lock v:ext="edit" aspectratio="f"/>
          <v:textbox inset="0mm,0mm,0mm,0mm" style="mso-fit-shape-to-text:t;">
            <w:txbxContent>
              <w:p w14:paraId="6DC235C1">
                <w:pPr>
                  <w:pStyle w:val="23"/>
                  <w:ind w:firstLine="420"/>
                  <w:rPr>
                    <w:rStyle w:val="37"/>
                  </w:rPr>
                </w:pPr>
                <w:r>
                  <w:rPr>
                    <w:sz w:val="21"/>
                    <w:szCs w:val="21"/>
                  </w:rPr>
                  <w:fldChar w:fldCharType="begin"/>
                </w:r>
                <w:r>
                  <w:rPr>
                    <w:rStyle w:val="37"/>
                    <w:sz w:val="21"/>
                    <w:szCs w:val="21"/>
                  </w:rPr>
                  <w:instrText xml:space="preserve">PAGE  </w:instrText>
                </w:r>
                <w:r>
                  <w:rPr>
                    <w:sz w:val="21"/>
                    <w:szCs w:val="21"/>
                  </w:rPr>
                  <w:fldChar w:fldCharType="separate"/>
                </w:r>
                <w:r>
                  <w:rPr>
                    <w:rStyle w:val="37"/>
                    <w:sz w:val="21"/>
                    <w:szCs w:val="21"/>
                  </w:rPr>
                  <w:t>5</w:t>
                </w:r>
                <w:r>
                  <w:rPr>
                    <w:sz w:val="21"/>
                    <w:szCs w:val="21"/>
                  </w:rPr>
                  <w:fldChar w:fldCharType="end"/>
                </w:r>
                <w:r>
                  <w:rPr>
                    <w:rFonts w:hint="eastAsia"/>
                  </w:rPr>
                  <w:t xml:space="preserve"> </w:t>
                </w:r>
              </w:p>
            </w:txbxContent>
          </v:textbox>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04007D">
    <w:pPr>
      <w:pStyle w:val="23"/>
      <w:ind w:firstLine="360"/>
      <w:jc w:val="center"/>
    </w:pPr>
    <w:r>
      <w:pict>
        <v:shape id="文本框 1025" o:spid="_x0000_s1025" o:spt="202" type="#_x0000_t202" style="position:absolute;left:0pt;margin-top:0pt;height:12.05pt;width:47.5pt;mso-position-horizontal:center;mso-position-horizontal-relative:margin;z-index:251709440;mso-width-relative:page;mso-height-relative:page;" filled="f" stroked="f" coordsize="21600,21600">
          <v:path/>
          <v:fill on="f" focussize="0,0"/>
          <v:stroke on="f" weight="0.5pt"/>
          <v:imagedata o:title=""/>
          <o:lock v:ext="edit" aspectratio="f"/>
          <v:textbox inset="0mm,0mm,0mm,0mm" style="mso-fit-shape-to-text:t;">
            <w:txbxContent>
              <w:p w14:paraId="518934E2">
                <w:pPr>
                  <w:pStyle w:val="23"/>
                  <w:ind w:firstLine="420"/>
                  <w:rPr>
                    <w:sz w:val="21"/>
                    <w:szCs w:val="21"/>
                  </w:rPr>
                </w:pPr>
                <w:r>
                  <w:rPr>
                    <w:sz w:val="21"/>
                    <w:szCs w:val="21"/>
                  </w:rPr>
                  <w:fldChar w:fldCharType="begin"/>
                </w:r>
                <w:r>
                  <w:rPr>
                    <w:rStyle w:val="37"/>
                    <w:sz w:val="21"/>
                    <w:szCs w:val="21"/>
                  </w:rPr>
                  <w:instrText xml:space="preserve">PAGE  </w:instrText>
                </w:r>
                <w:r>
                  <w:rPr>
                    <w:sz w:val="21"/>
                    <w:szCs w:val="21"/>
                  </w:rPr>
                  <w:fldChar w:fldCharType="separate"/>
                </w:r>
                <w:r>
                  <w:rPr>
                    <w:rStyle w:val="37"/>
                    <w:sz w:val="21"/>
                    <w:szCs w:val="21"/>
                  </w:rPr>
                  <w:t>153</w:t>
                </w:r>
                <w:r>
                  <w:rPr>
                    <w:sz w:val="21"/>
                    <w:szCs w:val="21"/>
                  </w:rPr>
                  <w:fldChar w:fldCharType="end"/>
                </w:r>
              </w:p>
            </w:txbxContent>
          </v:textbox>
        </v:shape>
      </w:pict>
    </w:r>
    <w:r>
      <w:rPr>
        <w:rFonts w:hint="eastAsia"/>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F3419">
    <w:pPr>
      <w:pStyle w:val="23"/>
      <w:ind w:firstLine="360"/>
    </w:pPr>
    <w:r>
      <w:pict>
        <v:shape id="文本框 28" o:spid="_x0000_s1026" o:spt="202" type="#_x0000_t202" style="position:absolute;left:0pt;margin-top:0pt;height:144pt;width:144pt;mso-position-horizontal:center;mso-position-horizontal-relative:margin;mso-wrap-style:none;z-index:251710464;mso-width-relative:page;mso-height-relative:page;" filled="f" stroked="f" coordsize="21600,21600">
          <v:path/>
          <v:fill on="f" focussize="0,0"/>
          <v:stroke on="f" weight="0.5pt"/>
          <v:imagedata o:title=""/>
          <o:lock v:ext="edit" aspectratio="f"/>
          <v:textbox inset="0mm,0mm,0mm,0mm" style="mso-fit-shape-to-text:t;">
            <w:txbxContent>
              <w:p w14:paraId="52D2A280">
                <w:pPr>
                  <w:pStyle w:val="23"/>
                  <w:ind w:firstLine="420"/>
                  <w:rPr>
                    <w:sz w:val="21"/>
                    <w:szCs w:val="21"/>
                  </w:rPr>
                </w:pPr>
                <w:r>
                  <w:rPr>
                    <w:sz w:val="21"/>
                    <w:szCs w:val="21"/>
                  </w:rPr>
                  <w:fldChar w:fldCharType="begin"/>
                </w:r>
                <w:r>
                  <w:rPr>
                    <w:sz w:val="21"/>
                    <w:szCs w:val="21"/>
                  </w:rPr>
                  <w:instrText xml:space="preserve"> PAGE  \* MERGEFORMAT </w:instrText>
                </w:r>
                <w:r>
                  <w:rPr>
                    <w:sz w:val="21"/>
                    <w:szCs w:val="21"/>
                  </w:rPr>
                  <w:fldChar w:fldCharType="separate"/>
                </w:r>
                <w:r>
                  <w:rPr>
                    <w:sz w:val="21"/>
                    <w:szCs w:val="21"/>
                  </w:rPr>
                  <w:t>389</w:t>
                </w:r>
                <w:r>
                  <w:rPr>
                    <w:sz w:val="21"/>
                    <w:szCs w:val="21"/>
                  </w:rP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FFAA84">
    <w:pPr>
      <w:pStyle w:val="24"/>
      <w:pBdr>
        <w:top w:val="none" w:color="auto" w:sz="0" w:space="1"/>
        <w:left w:val="none" w:color="auto" w:sz="0" w:space="4"/>
        <w:bottom w:val="none" w:color="auto" w:sz="0" w:space="1"/>
        <w:right w:val="none" w:color="auto" w:sz="0" w:space="4"/>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AFB56">
    <w:pPr>
      <w:pStyle w:val="2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0499A">
    <w:pPr>
      <w:pStyle w:val="2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65553">
    <w:pPr>
      <w:pStyle w:val="24"/>
      <w:pBdr>
        <w:top w:val="none" w:color="auto" w:sz="0" w:space="1"/>
        <w:left w:val="none" w:color="auto" w:sz="0" w:space="4"/>
        <w:bottom w:val="single" w:color="auto" w:sz="4" w:space="1"/>
        <w:right w:val="none" w:color="auto" w:sz="0" w:space="4"/>
      </w:pBdr>
      <w:ind w:right="180" w:firstLine="360"/>
      <w:rPr>
        <w:rFonts w:ascii="黑体" w:hAnsi="黑体" w:eastAsia="黑体" w:cs="黑体"/>
      </w:rPr>
    </w:pPr>
    <w:r>
      <w:rPr>
        <w:rFonts w:hint="eastAsia" w:ascii="黑体" w:hAnsi="黑体" w:eastAsia="黑体" w:cs="黑体"/>
        <w:lang w:val="en-US" w:eastAsia="zh-CN"/>
      </w:rPr>
      <w:t>新建黑龙江鹤岗机场场外配套工程（机场进场路建设工程）项目</w:t>
    </w:r>
    <w:r>
      <w:rPr>
        <w:rFonts w:hint="eastAsia" w:ascii="黑体" w:hAnsi="黑体" w:eastAsia="黑体" w:cs="黑体"/>
      </w:rPr>
      <w:t>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AEC34DC"/>
    <w:multiLevelType w:val="multilevel"/>
    <w:tmpl w:val="6AEC34DC"/>
    <w:lvl w:ilvl="0" w:tentative="0">
      <w:start w:val="1"/>
      <w:numFmt w:val="decimal"/>
      <w:lvlText w:val="%1"/>
      <w:lvlJc w:val="left"/>
      <w:pPr>
        <w:ind w:left="3126" w:hanging="432"/>
      </w:pPr>
      <w:rPr>
        <w:rFonts w:hint="eastAsia"/>
      </w:rPr>
    </w:lvl>
    <w:lvl w:ilvl="1" w:tentative="0">
      <w:start w:val="1"/>
      <w:numFmt w:val="decimal"/>
      <w:lvlText w:val="%1.%2"/>
      <w:lvlJc w:val="left"/>
      <w:pPr>
        <w:ind w:left="860" w:hanging="576"/>
      </w:pPr>
      <w:rPr>
        <w:rFonts w:hint="eastAsia"/>
      </w:rPr>
    </w:lvl>
    <w:lvl w:ilvl="2" w:tentative="0">
      <w:start w:val="1"/>
      <w:numFmt w:val="decimal"/>
      <w:suff w:val="nothing"/>
      <w:lvlText w:val="%1.%2.%3"/>
      <w:lvlJc w:val="left"/>
      <w:pPr>
        <w:ind w:left="1277" w:hanging="851"/>
      </w:pPr>
    </w:lvl>
    <w:lvl w:ilvl="3" w:tentative="0">
      <w:start w:val="1"/>
      <w:numFmt w:val="decimal"/>
      <w:suff w:val="nothing"/>
      <w:lvlText w:val="%1.%2.%3.%4"/>
      <w:lvlJc w:val="left"/>
      <w:pPr>
        <w:ind w:left="864" w:hanging="864"/>
      </w:p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jgxNTFmMzQ5MGMzOGMzMDE5N2ExZDQ1MjAzYmMxYjQifQ=="/>
    <w:docVar w:name="KSO_WPS_MARK_KEY" w:val="ecfa951a-2331-45d8-8823-416c67f08a1f"/>
  </w:docVars>
  <w:rsids>
    <w:rsidRoot w:val="00172A27"/>
    <w:rsid w:val="00000DBD"/>
    <w:rsid w:val="00000EA2"/>
    <w:rsid w:val="00001295"/>
    <w:rsid w:val="000012A0"/>
    <w:rsid w:val="00001687"/>
    <w:rsid w:val="00001847"/>
    <w:rsid w:val="00003CB4"/>
    <w:rsid w:val="000048FA"/>
    <w:rsid w:val="00004E10"/>
    <w:rsid w:val="0000546B"/>
    <w:rsid w:val="00005A6D"/>
    <w:rsid w:val="00005D12"/>
    <w:rsid w:val="00006530"/>
    <w:rsid w:val="000067FB"/>
    <w:rsid w:val="000077D8"/>
    <w:rsid w:val="000079A6"/>
    <w:rsid w:val="00007AD1"/>
    <w:rsid w:val="00007EE7"/>
    <w:rsid w:val="00010A1B"/>
    <w:rsid w:val="0001102B"/>
    <w:rsid w:val="00011ED4"/>
    <w:rsid w:val="00011F90"/>
    <w:rsid w:val="0001239F"/>
    <w:rsid w:val="00012CB9"/>
    <w:rsid w:val="000132DA"/>
    <w:rsid w:val="000134CB"/>
    <w:rsid w:val="00013F92"/>
    <w:rsid w:val="0001487B"/>
    <w:rsid w:val="000149F8"/>
    <w:rsid w:val="00015996"/>
    <w:rsid w:val="00016D14"/>
    <w:rsid w:val="00017308"/>
    <w:rsid w:val="0002033D"/>
    <w:rsid w:val="00021461"/>
    <w:rsid w:val="0002173A"/>
    <w:rsid w:val="00021EB5"/>
    <w:rsid w:val="0002200E"/>
    <w:rsid w:val="00022442"/>
    <w:rsid w:val="0002256A"/>
    <w:rsid w:val="00022B19"/>
    <w:rsid w:val="0002324E"/>
    <w:rsid w:val="000234DE"/>
    <w:rsid w:val="00023613"/>
    <w:rsid w:val="00023964"/>
    <w:rsid w:val="0002404F"/>
    <w:rsid w:val="000242EF"/>
    <w:rsid w:val="0002476B"/>
    <w:rsid w:val="00024AD6"/>
    <w:rsid w:val="00025AC4"/>
    <w:rsid w:val="00025E03"/>
    <w:rsid w:val="00026415"/>
    <w:rsid w:val="00026D68"/>
    <w:rsid w:val="00027013"/>
    <w:rsid w:val="00027439"/>
    <w:rsid w:val="00027901"/>
    <w:rsid w:val="00027A63"/>
    <w:rsid w:val="000303BA"/>
    <w:rsid w:val="000309D9"/>
    <w:rsid w:val="00031325"/>
    <w:rsid w:val="00032AC6"/>
    <w:rsid w:val="00033086"/>
    <w:rsid w:val="00033664"/>
    <w:rsid w:val="00033BDF"/>
    <w:rsid w:val="000340D1"/>
    <w:rsid w:val="00034458"/>
    <w:rsid w:val="000344A5"/>
    <w:rsid w:val="00034B96"/>
    <w:rsid w:val="00034FA1"/>
    <w:rsid w:val="00034FCC"/>
    <w:rsid w:val="00035496"/>
    <w:rsid w:val="00035D03"/>
    <w:rsid w:val="0003620E"/>
    <w:rsid w:val="0003674E"/>
    <w:rsid w:val="00036A4B"/>
    <w:rsid w:val="00036A6D"/>
    <w:rsid w:val="00036B2F"/>
    <w:rsid w:val="000371C2"/>
    <w:rsid w:val="0003788C"/>
    <w:rsid w:val="00037C91"/>
    <w:rsid w:val="00037CBD"/>
    <w:rsid w:val="00037F73"/>
    <w:rsid w:val="000406FE"/>
    <w:rsid w:val="00041428"/>
    <w:rsid w:val="00041552"/>
    <w:rsid w:val="00041CCD"/>
    <w:rsid w:val="000420E0"/>
    <w:rsid w:val="00042484"/>
    <w:rsid w:val="00042859"/>
    <w:rsid w:val="00042DE9"/>
    <w:rsid w:val="000440AF"/>
    <w:rsid w:val="000441C0"/>
    <w:rsid w:val="00045011"/>
    <w:rsid w:val="00045062"/>
    <w:rsid w:val="000462A8"/>
    <w:rsid w:val="000466C9"/>
    <w:rsid w:val="00046A56"/>
    <w:rsid w:val="00046E35"/>
    <w:rsid w:val="000479D3"/>
    <w:rsid w:val="00050521"/>
    <w:rsid w:val="00050792"/>
    <w:rsid w:val="00050B4D"/>
    <w:rsid w:val="000518AC"/>
    <w:rsid w:val="00051BCE"/>
    <w:rsid w:val="00051FA4"/>
    <w:rsid w:val="00051FC1"/>
    <w:rsid w:val="00052260"/>
    <w:rsid w:val="00052412"/>
    <w:rsid w:val="000526DF"/>
    <w:rsid w:val="00052EB3"/>
    <w:rsid w:val="00052F2D"/>
    <w:rsid w:val="00053294"/>
    <w:rsid w:val="00053F89"/>
    <w:rsid w:val="00054741"/>
    <w:rsid w:val="00054E9E"/>
    <w:rsid w:val="00054FB7"/>
    <w:rsid w:val="000553D3"/>
    <w:rsid w:val="000553F6"/>
    <w:rsid w:val="00055400"/>
    <w:rsid w:val="00055541"/>
    <w:rsid w:val="0005594A"/>
    <w:rsid w:val="00055C70"/>
    <w:rsid w:val="00055D3D"/>
    <w:rsid w:val="000562BF"/>
    <w:rsid w:val="0005711C"/>
    <w:rsid w:val="000571B8"/>
    <w:rsid w:val="00057F11"/>
    <w:rsid w:val="00060457"/>
    <w:rsid w:val="0006063A"/>
    <w:rsid w:val="000606F7"/>
    <w:rsid w:val="0006095A"/>
    <w:rsid w:val="0006128F"/>
    <w:rsid w:val="000615FE"/>
    <w:rsid w:val="00063EBF"/>
    <w:rsid w:val="000641E4"/>
    <w:rsid w:val="00064BF9"/>
    <w:rsid w:val="00064C7A"/>
    <w:rsid w:val="000653D1"/>
    <w:rsid w:val="000658D8"/>
    <w:rsid w:val="00065B22"/>
    <w:rsid w:val="00065CA0"/>
    <w:rsid w:val="000662E9"/>
    <w:rsid w:val="00066525"/>
    <w:rsid w:val="000666F4"/>
    <w:rsid w:val="00066A91"/>
    <w:rsid w:val="00066BE1"/>
    <w:rsid w:val="00066F0D"/>
    <w:rsid w:val="000676D4"/>
    <w:rsid w:val="00070041"/>
    <w:rsid w:val="00071357"/>
    <w:rsid w:val="000718AB"/>
    <w:rsid w:val="000720D3"/>
    <w:rsid w:val="000721B5"/>
    <w:rsid w:val="00073656"/>
    <w:rsid w:val="000738F4"/>
    <w:rsid w:val="00073E8B"/>
    <w:rsid w:val="00074382"/>
    <w:rsid w:val="0007490E"/>
    <w:rsid w:val="000752F7"/>
    <w:rsid w:val="000754B2"/>
    <w:rsid w:val="000756A3"/>
    <w:rsid w:val="000760AB"/>
    <w:rsid w:val="0007650C"/>
    <w:rsid w:val="00076B9E"/>
    <w:rsid w:val="00076F10"/>
    <w:rsid w:val="00076F25"/>
    <w:rsid w:val="000774F0"/>
    <w:rsid w:val="00077A2D"/>
    <w:rsid w:val="00077F03"/>
    <w:rsid w:val="00080A4D"/>
    <w:rsid w:val="0008104D"/>
    <w:rsid w:val="000812DD"/>
    <w:rsid w:val="00081FA9"/>
    <w:rsid w:val="0008213D"/>
    <w:rsid w:val="00082BEB"/>
    <w:rsid w:val="00083A9B"/>
    <w:rsid w:val="00083ABB"/>
    <w:rsid w:val="000844ED"/>
    <w:rsid w:val="000849FE"/>
    <w:rsid w:val="00084A52"/>
    <w:rsid w:val="00084EB5"/>
    <w:rsid w:val="00085737"/>
    <w:rsid w:val="00085FFB"/>
    <w:rsid w:val="00086C08"/>
    <w:rsid w:val="00086EB7"/>
    <w:rsid w:val="000875D9"/>
    <w:rsid w:val="0008767C"/>
    <w:rsid w:val="00087706"/>
    <w:rsid w:val="00087CA6"/>
    <w:rsid w:val="00087CC1"/>
    <w:rsid w:val="00090586"/>
    <w:rsid w:val="00090FEE"/>
    <w:rsid w:val="000911E9"/>
    <w:rsid w:val="00091AE5"/>
    <w:rsid w:val="00091E64"/>
    <w:rsid w:val="00092083"/>
    <w:rsid w:val="000926BC"/>
    <w:rsid w:val="0009287C"/>
    <w:rsid w:val="000929B4"/>
    <w:rsid w:val="00092F6D"/>
    <w:rsid w:val="00093916"/>
    <w:rsid w:val="00094AC9"/>
    <w:rsid w:val="000952CE"/>
    <w:rsid w:val="00095DEB"/>
    <w:rsid w:val="00096261"/>
    <w:rsid w:val="00096E19"/>
    <w:rsid w:val="0009700C"/>
    <w:rsid w:val="00097463"/>
    <w:rsid w:val="000975F2"/>
    <w:rsid w:val="000976E2"/>
    <w:rsid w:val="00097EFF"/>
    <w:rsid w:val="00097FC7"/>
    <w:rsid w:val="000A0D14"/>
    <w:rsid w:val="000A0DAA"/>
    <w:rsid w:val="000A1175"/>
    <w:rsid w:val="000A13A2"/>
    <w:rsid w:val="000A1617"/>
    <w:rsid w:val="000A1A83"/>
    <w:rsid w:val="000A1CDD"/>
    <w:rsid w:val="000A35F1"/>
    <w:rsid w:val="000A3CEE"/>
    <w:rsid w:val="000A468F"/>
    <w:rsid w:val="000A5E11"/>
    <w:rsid w:val="000A615C"/>
    <w:rsid w:val="000A6427"/>
    <w:rsid w:val="000A682B"/>
    <w:rsid w:val="000A71F2"/>
    <w:rsid w:val="000A775C"/>
    <w:rsid w:val="000A7994"/>
    <w:rsid w:val="000A7B64"/>
    <w:rsid w:val="000A7CF0"/>
    <w:rsid w:val="000B0910"/>
    <w:rsid w:val="000B0E29"/>
    <w:rsid w:val="000B1A7F"/>
    <w:rsid w:val="000B1C47"/>
    <w:rsid w:val="000B2139"/>
    <w:rsid w:val="000B2BDC"/>
    <w:rsid w:val="000B2D0F"/>
    <w:rsid w:val="000B3036"/>
    <w:rsid w:val="000B3CBD"/>
    <w:rsid w:val="000B4D87"/>
    <w:rsid w:val="000B5486"/>
    <w:rsid w:val="000B593B"/>
    <w:rsid w:val="000B5BC2"/>
    <w:rsid w:val="000B5CCE"/>
    <w:rsid w:val="000B62BE"/>
    <w:rsid w:val="000B6605"/>
    <w:rsid w:val="000B6D71"/>
    <w:rsid w:val="000B7506"/>
    <w:rsid w:val="000B752A"/>
    <w:rsid w:val="000C0CB5"/>
    <w:rsid w:val="000C108E"/>
    <w:rsid w:val="000C27D6"/>
    <w:rsid w:val="000C294B"/>
    <w:rsid w:val="000C2AEF"/>
    <w:rsid w:val="000C2DA3"/>
    <w:rsid w:val="000C3945"/>
    <w:rsid w:val="000C4505"/>
    <w:rsid w:val="000C73A3"/>
    <w:rsid w:val="000C74EA"/>
    <w:rsid w:val="000C76E9"/>
    <w:rsid w:val="000C79E0"/>
    <w:rsid w:val="000C7B78"/>
    <w:rsid w:val="000D0DBE"/>
    <w:rsid w:val="000D106D"/>
    <w:rsid w:val="000D11FA"/>
    <w:rsid w:val="000D1300"/>
    <w:rsid w:val="000D1804"/>
    <w:rsid w:val="000D1EA2"/>
    <w:rsid w:val="000D20DD"/>
    <w:rsid w:val="000D26E0"/>
    <w:rsid w:val="000D33F9"/>
    <w:rsid w:val="000D3EE0"/>
    <w:rsid w:val="000D50EB"/>
    <w:rsid w:val="000D5141"/>
    <w:rsid w:val="000D5374"/>
    <w:rsid w:val="000D6231"/>
    <w:rsid w:val="000D6663"/>
    <w:rsid w:val="000D67F1"/>
    <w:rsid w:val="000D6D1F"/>
    <w:rsid w:val="000D7A2A"/>
    <w:rsid w:val="000D7E65"/>
    <w:rsid w:val="000D7FBB"/>
    <w:rsid w:val="000E0B34"/>
    <w:rsid w:val="000E16B8"/>
    <w:rsid w:val="000E1A8B"/>
    <w:rsid w:val="000E221B"/>
    <w:rsid w:val="000E30C9"/>
    <w:rsid w:val="000E3C64"/>
    <w:rsid w:val="000E3FB7"/>
    <w:rsid w:val="000E56E7"/>
    <w:rsid w:val="000E5F91"/>
    <w:rsid w:val="000E714B"/>
    <w:rsid w:val="000E7482"/>
    <w:rsid w:val="000E7790"/>
    <w:rsid w:val="000F0975"/>
    <w:rsid w:val="000F0B21"/>
    <w:rsid w:val="000F0B7C"/>
    <w:rsid w:val="000F1259"/>
    <w:rsid w:val="000F1494"/>
    <w:rsid w:val="000F179A"/>
    <w:rsid w:val="000F18D1"/>
    <w:rsid w:val="000F193B"/>
    <w:rsid w:val="000F2CBC"/>
    <w:rsid w:val="000F40EF"/>
    <w:rsid w:val="000F5233"/>
    <w:rsid w:val="000F5316"/>
    <w:rsid w:val="000F595D"/>
    <w:rsid w:val="000F5E3F"/>
    <w:rsid w:val="000F6A5E"/>
    <w:rsid w:val="000F6EAB"/>
    <w:rsid w:val="000F71F3"/>
    <w:rsid w:val="000F725D"/>
    <w:rsid w:val="000F7EF1"/>
    <w:rsid w:val="00100014"/>
    <w:rsid w:val="00100065"/>
    <w:rsid w:val="00100228"/>
    <w:rsid w:val="0010075E"/>
    <w:rsid w:val="001008C3"/>
    <w:rsid w:val="00101176"/>
    <w:rsid w:val="00101E88"/>
    <w:rsid w:val="00102A12"/>
    <w:rsid w:val="00102B89"/>
    <w:rsid w:val="00102D81"/>
    <w:rsid w:val="00102EDC"/>
    <w:rsid w:val="001033C6"/>
    <w:rsid w:val="00103DFE"/>
    <w:rsid w:val="00104713"/>
    <w:rsid w:val="00105775"/>
    <w:rsid w:val="00105D43"/>
    <w:rsid w:val="00107A78"/>
    <w:rsid w:val="00107D05"/>
    <w:rsid w:val="00110EC0"/>
    <w:rsid w:val="001110E0"/>
    <w:rsid w:val="00111AD4"/>
    <w:rsid w:val="00111B1A"/>
    <w:rsid w:val="00112A5A"/>
    <w:rsid w:val="00112BAA"/>
    <w:rsid w:val="00112CAE"/>
    <w:rsid w:val="00112D09"/>
    <w:rsid w:val="00112FFA"/>
    <w:rsid w:val="00113131"/>
    <w:rsid w:val="00113476"/>
    <w:rsid w:val="00113F50"/>
    <w:rsid w:val="0011452E"/>
    <w:rsid w:val="00114CF6"/>
    <w:rsid w:val="00114FD9"/>
    <w:rsid w:val="001155E1"/>
    <w:rsid w:val="00116AB6"/>
    <w:rsid w:val="00117368"/>
    <w:rsid w:val="001176F6"/>
    <w:rsid w:val="00120933"/>
    <w:rsid w:val="00121CAC"/>
    <w:rsid w:val="00121CEF"/>
    <w:rsid w:val="00121F74"/>
    <w:rsid w:val="001220C5"/>
    <w:rsid w:val="001239E8"/>
    <w:rsid w:val="00123AEB"/>
    <w:rsid w:val="001243D9"/>
    <w:rsid w:val="001248CA"/>
    <w:rsid w:val="00124A03"/>
    <w:rsid w:val="001251C0"/>
    <w:rsid w:val="00125D5E"/>
    <w:rsid w:val="00125E94"/>
    <w:rsid w:val="001263B7"/>
    <w:rsid w:val="00127D48"/>
    <w:rsid w:val="001301AF"/>
    <w:rsid w:val="001302A5"/>
    <w:rsid w:val="0013040E"/>
    <w:rsid w:val="00130E6D"/>
    <w:rsid w:val="00132622"/>
    <w:rsid w:val="00132652"/>
    <w:rsid w:val="00132696"/>
    <w:rsid w:val="001337A1"/>
    <w:rsid w:val="00133ED0"/>
    <w:rsid w:val="0013407D"/>
    <w:rsid w:val="001346F9"/>
    <w:rsid w:val="00135099"/>
    <w:rsid w:val="001368EB"/>
    <w:rsid w:val="00136C78"/>
    <w:rsid w:val="00137924"/>
    <w:rsid w:val="00137B8B"/>
    <w:rsid w:val="00137DCA"/>
    <w:rsid w:val="0014065D"/>
    <w:rsid w:val="00140906"/>
    <w:rsid w:val="001409E7"/>
    <w:rsid w:val="00140BFA"/>
    <w:rsid w:val="001414E5"/>
    <w:rsid w:val="001416F5"/>
    <w:rsid w:val="001436AF"/>
    <w:rsid w:val="00144B6F"/>
    <w:rsid w:val="00144E4D"/>
    <w:rsid w:val="00145D66"/>
    <w:rsid w:val="001464D1"/>
    <w:rsid w:val="00147204"/>
    <w:rsid w:val="00147E3A"/>
    <w:rsid w:val="00147ED2"/>
    <w:rsid w:val="00150502"/>
    <w:rsid w:val="00150CDD"/>
    <w:rsid w:val="00150D4C"/>
    <w:rsid w:val="00151346"/>
    <w:rsid w:val="00151409"/>
    <w:rsid w:val="001514F5"/>
    <w:rsid w:val="00151D5D"/>
    <w:rsid w:val="001530EE"/>
    <w:rsid w:val="0015320F"/>
    <w:rsid w:val="00153703"/>
    <w:rsid w:val="0015381E"/>
    <w:rsid w:val="0015409E"/>
    <w:rsid w:val="0015477A"/>
    <w:rsid w:val="0015540F"/>
    <w:rsid w:val="001566DA"/>
    <w:rsid w:val="0015767E"/>
    <w:rsid w:val="001578B9"/>
    <w:rsid w:val="0016009F"/>
    <w:rsid w:val="00160714"/>
    <w:rsid w:val="001608D3"/>
    <w:rsid w:val="00160A5B"/>
    <w:rsid w:val="00162B2F"/>
    <w:rsid w:val="0016370A"/>
    <w:rsid w:val="00163E78"/>
    <w:rsid w:val="001642C1"/>
    <w:rsid w:val="001648B3"/>
    <w:rsid w:val="00164E40"/>
    <w:rsid w:val="001651AE"/>
    <w:rsid w:val="00165D92"/>
    <w:rsid w:val="00166388"/>
    <w:rsid w:val="00166A79"/>
    <w:rsid w:val="0017065F"/>
    <w:rsid w:val="0017070F"/>
    <w:rsid w:val="00170910"/>
    <w:rsid w:val="00170A66"/>
    <w:rsid w:val="00170E9E"/>
    <w:rsid w:val="00170F7B"/>
    <w:rsid w:val="001711BE"/>
    <w:rsid w:val="0017201D"/>
    <w:rsid w:val="0017215D"/>
    <w:rsid w:val="00172236"/>
    <w:rsid w:val="00172637"/>
    <w:rsid w:val="00172647"/>
    <w:rsid w:val="00172878"/>
    <w:rsid w:val="001728D1"/>
    <w:rsid w:val="00172A27"/>
    <w:rsid w:val="0017333B"/>
    <w:rsid w:val="001735B7"/>
    <w:rsid w:val="00174C81"/>
    <w:rsid w:val="00175BBE"/>
    <w:rsid w:val="00176591"/>
    <w:rsid w:val="001766EF"/>
    <w:rsid w:val="00176B87"/>
    <w:rsid w:val="00177A35"/>
    <w:rsid w:val="00177AC5"/>
    <w:rsid w:val="00177C04"/>
    <w:rsid w:val="001801E0"/>
    <w:rsid w:val="001802AD"/>
    <w:rsid w:val="00181097"/>
    <w:rsid w:val="001810EC"/>
    <w:rsid w:val="001817B6"/>
    <w:rsid w:val="001818CF"/>
    <w:rsid w:val="0018242E"/>
    <w:rsid w:val="0018258A"/>
    <w:rsid w:val="00183810"/>
    <w:rsid w:val="00183BAC"/>
    <w:rsid w:val="001840B0"/>
    <w:rsid w:val="001841CE"/>
    <w:rsid w:val="001851A0"/>
    <w:rsid w:val="001858E0"/>
    <w:rsid w:val="00185D3E"/>
    <w:rsid w:val="00185D86"/>
    <w:rsid w:val="00186C7A"/>
    <w:rsid w:val="001871CA"/>
    <w:rsid w:val="00187367"/>
    <w:rsid w:val="001877DB"/>
    <w:rsid w:val="00187BD0"/>
    <w:rsid w:val="0019020D"/>
    <w:rsid w:val="00190ECC"/>
    <w:rsid w:val="001911D6"/>
    <w:rsid w:val="00191F41"/>
    <w:rsid w:val="00192DED"/>
    <w:rsid w:val="00193101"/>
    <w:rsid w:val="0019393A"/>
    <w:rsid w:val="00193D57"/>
    <w:rsid w:val="0019451A"/>
    <w:rsid w:val="0019461A"/>
    <w:rsid w:val="00194BB2"/>
    <w:rsid w:val="00194E8D"/>
    <w:rsid w:val="00195BAF"/>
    <w:rsid w:val="00195DC4"/>
    <w:rsid w:val="00195E20"/>
    <w:rsid w:val="0019614C"/>
    <w:rsid w:val="00196376"/>
    <w:rsid w:val="00196ADE"/>
    <w:rsid w:val="00197716"/>
    <w:rsid w:val="00197C8C"/>
    <w:rsid w:val="001A067F"/>
    <w:rsid w:val="001A1D41"/>
    <w:rsid w:val="001A252D"/>
    <w:rsid w:val="001A27DE"/>
    <w:rsid w:val="001A29CD"/>
    <w:rsid w:val="001A2E60"/>
    <w:rsid w:val="001A45AB"/>
    <w:rsid w:val="001A4955"/>
    <w:rsid w:val="001A4F4B"/>
    <w:rsid w:val="001A5029"/>
    <w:rsid w:val="001A5154"/>
    <w:rsid w:val="001A7227"/>
    <w:rsid w:val="001A777B"/>
    <w:rsid w:val="001A7B25"/>
    <w:rsid w:val="001B062D"/>
    <w:rsid w:val="001B1448"/>
    <w:rsid w:val="001B1BF5"/>
    <w:rsid w:val="001B2707"/>
    <w:rsid w:val="001B29C7"/>
    <w:rsid w:val="001B3A35"/>
    <w:rsid w:val="001B433C"/>
    <w:rsid w:val="001B4E61"/>
    <w:rsid w:val="001B57F6"/>
    <w:rsid w:val="001B5F75"/>
    <w:rsid w:val="001B666A"/>
    <w:rsid w:val="001B6A5F"/>
    <w:rsid w:val="001B6A61"/>
    <w:rsid w:val="001B6F6E"/>
    <w:rsid w:val="001B7523"/>
    <w:rsid w:val="001B7622"/>
    <w:rsid w:val="001B7A43"/>
    <w:rsid w:val="001B7BCC"/>
    <w:rsid w:val="001B7FD3"/>
    <w:rsid w:val="001C0813"/>
    <w:rsid w:val="001C0845"/>
    <w:rsid w:val="001C0E0D"/>
    <w:rsid w:val="001C179A"/>
    <w:rsid w:val="001C2F6A"/>
    <w:rsid w:val="001C3432"/>
    <w:rsid w:val="001C5390"/>
    <w:rsid w:val="001C545E"/>
    <w:rsid w:val="001C5593"/>
    <w:rsid w:val="001C5938"/>
    <w:rsid w:val="001C5DD7"/>
    <w:rsid w:val="001C630B"/>
    <w:rsid w:val="001D01C9"/>
    <w:rsid w:val="001D04BB"/>
    <w:rsid w:val="001D0F06"/>
    <w:rsid w:val="001D104A"/>
    <w:rsid w:val="001D147F"/>
    <w:rsid w:val="001D14B6"/>
    <w:rsid w:val="001D1829"/>
    <w:rsid w:val="001D35AA"/>
    <w:rsid w:val="001D3FBE"/>
    <w:rsid w:val="001D4127"/>
    <w:rsid w:val="001D4AF5"/>
    <w:rsid w:val="001D4BE7"/>
    <w:rsid w:val="001D59C9"/>
    <w:rsid w:val="001D5ACC"/>
    <w:rsid w:val="001D61C9"/>
    <w:rsid w:val="001D7A4A"/>
    <w:rsid w:val="001D7F5B"/>
    <w:rsid w:val="001E0900"/>
    <w:rsid w:val="001E0FBC"/>
    <w:rsid w:val="001E4F45"/>
    <w:rsid w:val="001E51DD"/>
    <w:rsid w:val="001E5BEB"/>
    <w:rsid w:val="001E5E0E"/>
    <w:rsid w:val="001E6D83"/>
    <w:rsid w:val="001E70CF"/>
    <w:rsid w:val="001E73B3"/>
    <w:rsid w:val="001E775F"/>
    <w:rsid w:val="001F1C98"/>
    <w:rsid w:val="001F1FB4"/>
    <w:rsid w:val="001F254B"/>
    <w:rsid w:val="001F267F"/>
    <w:rsid w:val="001F2D26"/>
    <w:rsid w:val="001F37ED"/>
    <w:rsid w:val="001F3B63"/>
    <w:rsid w:val="001F3D58"/>
    <w:rsid w:val="001F4CA8"/>
    <w:rsid w:val="001F5D49"/>
    <w:rsid w:val="001F70BE"/>
    <w:rsid w:val="001F760F"/>
    <w:rsid w:val="001F7F7D"/>
    <w:rsid w:val="002013B2"/>
    <w:rsid w:val="00201548"/>
    <w:rsid w:val="00201899"/>
    <w:rsid w:val="00201B92"/>
    <w:rsid w:val="00201E79"/>
    <w:rsid w:val="00202AEE"/>
    <w:rsid w:val="002036A7"/>
    <w:rsid w:val="002046FE"/>
    <w:rsid w:val="00205079"/>
    <w:rsid w:val="00205B51"/>
    <w:rsid w:val="00206088"/>
    <w:rsid w:val="00206A79"/>
    <w:rsid w:val="00206E13"/>
    <w:rsid w:val="00207268"/>
    <w:rsid w:val="0020738E"/>
    <w:rsid w:val="00210AA5"/>
    <w:rsid w:val="00211558"/>
    <w:rsid w:val="00211659"/>
    <w:rsid w:val="00211B3A"/>
    <w:rsid w:val="002126E7"/>
    <w:rsid w:val="00212839"/>
    <w:rsid w:val="00212BC3"/>
    <w:rsid w:val="002134C0"/>
    <w:rsid w:val="0021410E"/>
    <w:rsid w:val="00214B0C"/>
    <w:rsid w:val="00214B85"/>
    <w:rsid w:val="00215269"/>
    <w:rsid w:val="00215FF7"/>
    <w:rsid w:val="0021602E"/>
    <w:rsid w:val="0021610E"/>
    <w:rsid w:val="0021678F"/>
    <w:rsid w:val="002176FF"/>
    <w:rsid w:val="002177B1"/>
    <w:rsid w:val="00217898"/>
    <w:rsid w:val="00217C0B"/>
    <w:rsid w:val="00220928"/>
    <w:rsid w:val="0022104B"/>
    <w:rsid w:val="00221365"/>
    <w:rsid w:val="002218B8"/>
    <w:rsid w:val="00221CA9"/>
    <w:rsid w:val="00221FB7"/>
    <w:rsid w:val="00222D4F"/>
    <w:rsid w:val="002234BE"/>
    <w:rsid w:val="00223A3D"/>
    <w:rsid w:val="00224325"/>
    <w:rsid w:val="00225021"/>
    <w:rsid w:val="002255DA"/>
    <w:rsid w:val="0022571D"/>
    <w:rsid w:val="002259F9"/>
    <w:rsid w:val="00225D30"/>
    <w:rsid w:val="0022665E"/>
    <w:rsid w:val="00226672"/>
    <w:rsid w:val="002266FB"/>
    <w:rsid w:val="00226CA6"/>
    <w:rsid w:val="00226E26"/>
    <w:rsid w:val="00227517"/>
    <w:rsid w:val="00227BE2"/>
    <w:rsid w:val="00227C54"/>
    <w:rsid w:val="002304B9"/>
    <w:rsid w:val="0023066C"/>
    <w:rsid w:val="0023110E"/>
    <w:rsid w:val="00231980"/>
    <w:rsid w:val="00232C3A"/>
    <w:rsid w:val="00233055"/>
    <w:rsid w:val="002330DE"/>
    <w:rsid w:val="00233260"/>
    <w:rsid w:val="002334DB"/>
    <w:rsid w:val="002335FA"/>
    <w:rsid w:val="002341CE"/>
    <w:rsid w:val="002347DB"/>
    <w:rsid w:val="002350AF"/>
    <w:rsid w:val="00235189"/>
    <w:rsid w:val="00236F58"/>
    <w:rsid w:val="00237150"/>
    <w:rsid w:val="002400C4"/>
    <w:rsid w:val="00241100"/>
    <w:rsid w:val="0024195C"/>
    <w:rsid w:val="00241A58"/>
    <w:rsid w:val="00242267"/>
    <w:rsid w:val="0024266A"/>
    <w:rsid w:val="0024296E"/>
    <w:rsid w:val="00242B5F"/>
    <w:rsid w:val="00243806"/>
    <w:rsid w:val="002439E3"/>
    <w:rsid w:val="00243A8A"/>
    <w:rsid w:val="0024467F"/>
    <w:rsid w:val="0024522D"/>
    <w:rsid w:val="002457F3"/>
    <w:rsid w:val="00245FFA"/>
    <w:rsid w:val="0024620A"/>
    <w:rsid w:val="002466FE"/>
    <w:rsid w:val="00246DA2"/>
    <w:rsid w:val="002501DC"/>
    <w:rsid w:val="002501E5"/>
    <w:rsid w:val="00250875"/>
    <w:rsid w:val="002509AA"/>
    <w:rsid w:val="002511B1"/>
    <w:rsid w:val="00252940"/>
    <w:rsid w:val="0025320E"/>
    <w:rsid w:val="002540BC"/>
    <w:rsid w:val="002541C8"/>
    <w:rsid w:val="002543AB"/>
    <w:rsid w:val="00255C4B"/>
    <w:rsid w:val="00256CF1"/>
    <w:rsid w:val="00256EAF"/>
    <w:rsid w:val="0025771F"/>
    <w:rsid w:val="00257E47"/>
    <w:rsid w:val="00257F5E"/>
    <w:rsid w:val="0026028D"/>
    <w:rsid w:val="002603E4"/>
    <w:rsid w:val="00260507"/>
    <w:rsid w:val="00260615"/>
    <w:rsid w:val="002609EE"/>
    <w:rsid w:val="00261B0E"/>
    <w:rsid w:val="00261C69"/>
    <w:rsid w:val="00263911"/>
    <w:rsid w:val="00263D9F"/>
    <w:rsid w:val="00263FE1"/>
    <w:rsid w:val="002648F0"/>
    <w:rsid w:val="00265B03"/>
    <w:rsid w:val="00265F05"/>
    <w:rsid w:val="002664D9"/>
    <w:rsid w:val="00266AE4"/>
    <w:rsid w:val="00266EB7"/>
    <w:rsid w:val="002673B6"/>
    <w:rsid w:val="0026796F"/>
    <w:rsid w:val="002701B2"/>
    <w:rsid w:val="002705F5"/>
    <w:rsid w:val="00270872"/>
    <w:rsid w:val="00270E8F"/>
    <w:rsid w:val="00271561"/>
    <w:rsid w:val="00271A06"/>
    <w:rsid w:val="00272A50"/>
    <w:rsid w:val="00272EA1"/>
    <w:rsid w:val="00272F7A"/>
    <w:rsid w:val="00273063"/>
    <w:rsid w:val="002736CD"/>
    <w:rsid w:val="00273C48"/>
    <w:rsid w:val="002740D0"/>
    <w:rsid w:val="00274223"/>
    <w:rsid w:val="00275236"/>
    <w:rsid w:val="00276471"/>
    <w:rsid w:val="00276654"/>
    <w:rsid w:val="0027686D"/>
    <w:rsid w:val="00276EDC"/>
    <w:rsid w:val="00277256"/>
    <w:rsid w:val="00277708"/>
    <w:rsid w:val="002777DC"/>
    <w:rsid w:val="0028055F"/>
    <w:rsid w:val="00280797"/>
    <w:rsid w:val="00280989"/>
    <w:rsid w:val="00280CE3"/>
    <w:rsid w:val="00280D68"/>
    <w:rsid w:val="00281C43"/>
    <w:rsid w:val="00281E75"/>
    <w:rsid w:val="00282586"/>
    <w:rsid w:val="0028293C"/>
    <w:rsid w:val="00283102"/>
    <w:rsid w:val="00283914"/>
    <w:rsid w:val="0028423B"/>
    <w:rsid w:val="0028456C"/>
    <w:rsid w:val="00284796"/>
    <w:rsid w:val="0028510E"/>
    <w:rsid w:val="00285AD3"/>
    <w:rsid w:val="0028629F"/>
    <w:rsid w:val="002863EC"/>
    <w:rsid w:val="002866D7"/>
    <w:rsid w:val="002868FB"/>
    <w:rsid w:val="00287C97"/>
    <w:rsid w:val="00290FDD"/>
    <w:rsid w:val="00291873"/>
    <w:rsid w:val="00291E04"/>
    <w:rsid w:val="002925AC"/>
    <w:rsid w:val="00293322"/>
    <w:rsid w:val="00293C93"/>
    <w:rsid w:val="00293F10"/>
    <w:rsid w:val="002941A1"/>
    <w:rsid w:val="00294359"/>
    <w:rsid w:val="002943B5"/>
    <w:rsid w:val="00294A4B"/>
    <w:rsid w:val="00295075"/>
    <w:rsid w:val="00296E51"/>
    <w:rsid w:val="00296F1D"/>
    <w:rsid w:val="002979E9"/>
    <w:rsid w:val="002A0423"/>
    <w:rsid w:val="002A09A4"/>
    <w:rsid w:val="002A0F7C"/>
    <w:rsid w:val="002A1413"/>
    <w:rsid w:val="002A1637"/>
    <w:rsid w:val="002A3984"/>
    <w:rsid w:val="002A3C16"/>
    <w:rsid w:val="002A4025"/>
    <w:rsid w:val="002A4708"/>
    <w:rsid w:val="002A4E43"/>
    <w:rsid w:val="002A5999"/>
    <w:rsid w:val="002A660E"/>
    <w:rsid w:val="002A6F07"/>
    <w:rsid w:val="002A73C0"/>
    <w:rsid w:val="002A75B9"/>
    <w:rsid w:val="002A76C4"/>
    <w:rsid w:val="002A7BE5"/>
    <w:rsid w:val="002B04AC"/>
    <w:rsid w:val="002B0736"/>
    <w:rsid w:val="002B1328"/>
    <w:rsid w:val="002B3944"/>
    <w:rsid w:val="002B3E37"/>
    <w:rsid w:val="002B5FC5"/>
    <w:rsid w:val="002B61C5"/>
    <w:rsid w:val="002B64A1"/>
    <w:rsid w:val="002B669E"/>
    <w:rsid w:val="002B6D06"/>
    <w:rsid w:val="002C01BE"/>
    <w:rsid w:val="002C02AD"/>
    <w:rsid w:val="002C1663"/>
    <w:rsid w:val="002C1CB2"/>
    <w:rsid w:val="002C1F18"/>
    <w:rsid w:val="002C21B2"/>
    <w:rsid w:val="002C246A"/>
    <w:rsid w:val="002C2CE8"/>
    <w:rsid w:val="002C316F"/>
    <w:rsid w:val="002C3AAF"/>
    <w:rsid w:val="002C47EE"/>
    <w:rsid w:val="002C4B92"/>
    <w:rsid w:val="002C4D1D"/>
    <w:rsid w:val="002C54C9"/>
    <w:rsid w:val="002C5E92"/>
    <w:rsid w:val="002C6099"/>
    <w:rsid w:val="002C6B63"/>
    <w:rsid w:val="002C6CE2"/>
    <w:rsid w:val="002C7173"/>
    <w:rsid w:val="002C7B3F"/>
    <w:rsid w:val="002D0286"/>
    <w:rsid w:val="002D0C16"/>
    <w:rsid w:val="002D0DCC"/>
    <w:rsid w:val="002D2252"/>
    <w:rsid w:val="002D2852"/>
    <w:rsid w:val="002D41EF"/>
    <w:rsid w:val="002D4815"/>
    <w:rsid w:val="002D4AF7"/>
    <w:rsid w:val="002D4CF1"/>
    <w:rsid w:val="002D71C2"/>
    <w:rsid w:val="002D7B60"/>
    <w:rsid w:val="002E01AB"/>
    <w:rsid w:val="002E039E"/>
    <w:rsid w:val="002E0C3C"/>
    <w:rsid w:val="002E0E06"/>
    <w:rsid w:val="002E0FA6"/>
    <w:rsid w:val="002E0FD1"/>
    <w:rsid w:val="002E1005"/>
    <w:rsid w:val="002E1A03"/>
    <w:rsid w:val="002E1F58"/>
    <w:rsid w:val="002E2798"/>
    <w:rsid w:val="002E2BDB"/>
    <w:rsid w:val="002E4B7D"/>
    <w:rsid w:val="002E4F48"/>
    <w:rsid w:val="002E50B4"/>
    <w:rsid w:val="002E5E0E"/>
    <w:rsid w:val="002E646A"/>
    <w:rsid w:val="002E66CA"/>
    <w:rsid w:val="002E71FA"/>
    <w:rsid w:val="002E74F2"/>
    <w:rsid w:val="002E76C3"/>
    <w:rsid w:val="002F01DE"/>
    <w:rsid w:val="002F06E5"/>
    <w:rsid w:val="002F0894"/>
    <w:rsid w:val="002F1364"/>
    <w:rsid w:val="002F1BE7"/>
    <w:rsid w:val="002F24CA"/>
    <w:rsid w:val="002F2711"/>
    <w:rsid w:val="002F2C46"/>
    <w:rsid w:val="002F3372"/>
    <w:rsid w:val="002F39B2"/>
    <w:rsid w:val="002F3D46"/>
    <w:rsid w:val="002F4449"/>
    <w:rsid w:val="002F4525"/>
    <w:rsid w:val="002F609B"/>
    <w:rsid w:val="002F698F"/>
    <w:rsid w:val="002F6A3B"/>
    <w:rsid w:val="002F7338"/>
    <w:rsid w:val="00300120"/>
    <w:rsid w:val="0030020B"/>
    <w:rsid w:val="0030088F"/>
    <w:rsid w:val="00301E21"/>
    <w:rsid w:val="00302012"/>
    <w:rsid w:val="00302812"/>
    <w:rsid w:val="003028DB"/>
    <w:rsid w:val="003029C1"/>
    <w:rsid w:val="00303873"/>
    <w:rsid w:val="00304738"/>
    <w:rsid w:val="003049D8"/>
    <w:rsid w:val="00304CAB"/>
    <w:rsid w:val="00304D31"/>
    <w:rsid w:val="00305A2C"/>
    <w:rsid w:val="00306A8C"/>
    <w:rsid w:val="00306B1C"/>
    <w:rsid w:val="00306B2E"/>
    <w:rsid w:val="00307B62"/>
    <w:rsid w:val="0031124B"/>
    <w:rsid w:val="00311B53"/>
    <w:rsid w:val="00312211"/>
    <w:rsid w:val="00312400"/>
    <w:rsid w:val="00312FDF"/>
    <w:rsid w:val="00313453"/>
    <w:rsid w:val="00313A8C"/>
    <w:rsid w:val="00313C42"/>
    <w:rsid w:val="00314587"/>
    <w:rsid w:val="0031494C"/>
    <w:rsid w:val="003149B6"/>
    <w:rsid w:val="00315374"/>
    <w:rsid w:val="00315595"/>
    <w:rsid w:val="00315C27"/>
    <w:rsid w:val="003162C7"/>
    <w:rsid w:val="00316452"/>
    <w:rsid w:val="003166F9"/>
    <w:rsid w:val="00316D0E"/>
    <w:rsid w:val="00316DA7"/>
    <w:rsid w:val="00317015"/>
    <w:rsid w:val="00317279"/>
    <w:rsid w:val="003178B5"/>
    <w:rsid w:val="00317BD3"/>
    <w:rsid w:val="00320AC2"/>
    <w:rsid w:val="00321124"/>
    <w:rsid w:val="00321217"/>
    <w:rsid w:val="00321D70"/>
    <w:rsid w:val="00321E87"/>
    <w:rsid w:val="003222F8"/>
    <w:rsid w:val="00324AAC"/>
    <w:rsid w:val="00324AF8"/>
    <w:rsid w:val="0032506A"/>
    <w:rsid w:val="0032580A"/>
    <w:rsid w:val="0032587F"/>
    <w:rsid w:val="003258D4"/>
    <w:rsid w:val="00325E8F"/>
    <w:rsid w:val="003269CF"/>
    <w:rsid w:val="00326E09"/>
    <w:rsid w:val="00326EF4"/>
    <w:rsid w:val="00330774"/>
    <w:rsid w:val="00330C74"/>
    <w:rsid w:val="00330C79"/>
    <w:rsid w:val="003326B3"/>
    <w:rsid w:val="003331C9"/>
    <w:rsid w:val="003332D3"/>
    <w:rsid w:val="0033372B"/>
    <w:rsid w:val="00333D63"/>
    <w:rsid w:val="00333E86"/>
    <w:rsid w:val="00334153"/>
    <w:rsid w:val="00334D69"/>
    <w:rsid w:val="00335028"/>
    <w:rsid w:val="003350EF"/>
    <w:rsid w:val="003356E3"/>
    <w:rsid w:val="00335F2F"/>
    <w:rsid w:val="0033616E"/>
    <w:rsid w:val="0033735D"/>
    <w:rsid w:val="00337406"/>
    <w:rsid w:val="003376B9"/>
    <w:rsid w:val="00340026"/>
    <w:rsid w:val="0034011C"/>
    <w:rsid w:val="00340CE0"/>
    <w:rsid w:val="00340F0A"/>
    <w:rsid w:val="00341BC6"/>
    <w:rsid w:val="00341DB0"/>
    <w:rsid w:val="003431B1"/>
    <w:rsid w:val="003434D1"/>
    <w:rsid w:val="00343DC1"/>
    <w:rsid w:val="00344602"/>
    <w:rsid w:val="00344A37"/>
    <w:rsid w:val="00345337"/>
    <w:rsid w:val="00345881"/>
    <w:rsid w:val="00345A49"/>
    <w:rsid w:val="00347564"/>
    <w:rsid w:val="0035058B"/>
    <w:rsid w:val="00351430"/>
    <w:rsid w:val="00351867"/>
    <w:rsid w:val="00351D08"/>
    <w:rsid w:val="00351E30"/>
    <w:rsid w:val="00352E38"/>
    <w:rsid w:val="0035312E"/>
    <w:rsid w:val="003541BA"/>
    <w:rsid w:val="00354B92"/>
    <w:rsid w:val="00355604"/>
    <w:rsid w:val="00355C64"/>
    <w:rsid w:val="00355CBB"/>
    <w:rsid w:val="00355E32"/>
    <w:rsid w:val="003564A2"/>
    <w:rsid w:val="003574F1"/>
    <w:rsid w:val="00360126"/>
    <w:rsid w:val="00360797"/>
    <w:rsid w:val="00362143"/>
    <w:rsid w:val="00362688"/>
    <w:rsid w:val="003626E6"/>
    <w:rsid w:val="003629A1"/>
    <w:rsid w:val="00362B78"/>
    <w:rsid w:val="00363978"/>
    <w:rsid w:val="00364430"/>
    <w:rsid w:val="00364676"/>
    <w:rsid w:val="00365035"/>
    <w:rsid w:val="0036660D"/>
    <w:rsid w:val="00367299"/>
    <w:rsid w:val="003673EA"/>
    <w:rsid w:val="0036776F"/>
    <w:rsid w:val="00367818"/>
    <w:rsid w:val="00367A0F"/>
    <w:rsid w:val="00367CD2"/>
    <w:rsid w:val="003700E1"/>
    <w:rsid w:val="003700ED"/>
    <w:rsid w:val="00370A11"/>
    <w:rsid w:val="00371CB4"/>
    <w:rsid w:val="00371F34"/>
    <w:rsid w:val="00372E90"/>
    <w:rsid w:val="003730B4"/>
    <w:rsid w:val="0037371E"/>
    <w:rsid w:val="00374109"/>
    <w:rsid w:val="003744AE"/>
    <w:rsid w:val="00375B96"/>
    <w:rsid w:val="00376DFD"/>
    <w:rsid w:val="00377317"/>
    <w:rsid w:val="00377C50"/>
    <w:rsid w:val="0038158E"/>
    <w:rsid w:val="003819D6"/>
    <w:rsid w:val="00381FFC"/>
    <w:rsid w:val="00382735"/>
    <w:rsid w:val="00382764"/>
    <w:rsid w:val="0038284C"/>
    <w:rsid w:val="003831F5"/>
    <w:rsid w:val="003832A4"/>
    <w:rsid w:val="00384391"/>
    <w:rsid w:val="00384E4D"/>
    <w:rsid w:val="003851D4"/>
    <w:rsid w:val="00385630"/>
    <w:rsid w:val="003859FA"/>
    <w:rsid w:val="00385DAD"/>
    <w:rsid w:val="0038638C"/>
    <w:rsid w:val="00386567"/>
    <w:rsid w:val="003868D0"/>
    <w:rsid w:val="00386B80"/>
    <w:rsid w:val="00387E95"/>
    <w:rsid w:val="00391904"/>
    <w:rsid w:val="00391FB8"/>
    <w:rsid w:val="00392919"/>
    <w:rsid w:val="00393251"/>
    <w:rsid w:val="003936CA"/>
    <w:rsid w:val="003939D0"/>
    <w:rsid w:val="00393A5A"/>
    <w:rsid w:val="00393E33"/>
    <w:rsid w:val="00393E8E"/>
    <w:rsid w:val="0039460F"/>
    <w:rsid w:val="00394AFE"/>
    <w:rsid w:val="00394C0A"/>
    <w:rsid w:val="00395989"/>
    <w:rsid w:val="00395F34"/>
    <w:rsid w:val="003964E3"/>
    <w:rsid w:val="00397B91"/>
    <w:rsid w:val="00397E84"/>
    <w:rsid w:val="003A0564"/>
    <w:rsid w:val="003A0616"/>
    <w:rsid w:val="003A06E9"/>
    <w:rsid w:val="003A1DB9"/>
    <w:rsid w:val="003A1F53"/>
    <w:rsid w:val="003A2CF1"/>
    <w:rsid w:val="003A2D00"/>
    <w:rsid w:val="003A2EF4"/>
    <w:rsid w:val="003A360E"/>
    <w:rsid w:val="003A3F59"/>
    <w:rsid w:val="003A5102"/>
    <w:rsid w:val="003A5404"/>
    <w:rsid w:val="003A5459"/>
    <w:rsid w:val="003A5E89"/>
    <w:rsid w:val="003A5F3C"/>
    <w:rsid w:val="003A6939"/>
    <w:rsid w:val="003A6DC6"/>
    <w:rsid w:val="003A6E24"/>
    <w:rsid w:val="003A75A5"/>
    <w:rsid w:val="003A7924"/>
    <w:rsid w:val="003B0E78"/>
    <w:rsid w:val="003B0EB2"/>
    <w:rsid w:val="003B108D"/>
    <w:rsid w:val="003B133A"/>
    <w:rsid w:val="003B1F8D"/>
    <w:rsid w:val="003B1FA6"/>
    <w:rsid w:val="003B24DC"/>
    <w:rsid w:val="003B27F0"/>
    <w:rsid w:val="003B2E09"/>
    <w:rsid w:val="003B3A26"/>
    <w:rsid w:val="003B452F"/>
    <w:rsid w:val="003B52B6"/>
    <w:rsid w:val="003B59E6"/>
    <w:rsid w:val="003B634D"/>
    <w:rsid w:val="003B6F85"/>
    <w:rsid w:val="003B7161"/>
    <w:rsid w:val="003B7329"/>
    <w:rsid w:val="003C0FD5"/>
    <w:rsid w:val="003C11B1"/>
    <w:rsid w:val="003C1E2F"/>
    <w:rsid w:val="003C24B9"/>
    <w:rsid w:val="003C2AA2"/>
    <w:rsid w:val="003C2B0F"/>
    <w:rsid w:val="003C2C5C"/>
    <w:rsid w:val="003C40AD"/>
    <w:rsid w:val="003C4C09"/>
    <w:rsid w:val="003C4FF7"/>
    <w:rsid w:val="003C5565"/>
    <w:rsid w:val="003C58A7"/>
    <w:rsid w:val="003C59D0"/>
    <w:rsid w:val="003C60BE"/>
    <w:rsid w:val="003C7517"/>
    <w:rsid w:val="003C77FB"/>
    <w:rsid w:val="003D0089"/>
    <w:rsid w:val="003D02CE"/>
    <w:rsid w:val="003D1315"/>
    <w:rsid w:val="003D160B"/>
    <w:rsid w:val="003D1643"/>
    <w:rsid w:val="003D23CD"/>
    <w:rsid w:val="003D2576"/>
    <w:rsid w:val="003D2E47"/>
    <w:rsid w:val="003D31A2"/>
    <w:rsid w:val="003D33C4"/>
    <w:rsid w:val="003D38BC"/>
    <w:rsid w:val="003D3A41"/>
    <w:rsid w:val="003D4663"/>
    <w:rsid w:val="003D568E"/>
    <w:rsid w:val="003D57F6"/>
    <w:rsid w:val="003D580C"/>
    <w:rsid w:val="003D58C8"/>
    <w:rsid w:val="003D6070"/>
    <w:rsid w:val="003D78CC"/>
    <w:rsid w:val="003E0321"/>
    <w:rsid w:val="003E097D"/>
    <w:rsid w:val="003E0D9E"/>
    <w:rsid w:val="003E1CC7"/>
    <w:rsid w:val="003E20CA"/>
    <w:rsid w:val="003E298A"/>
    <w:rsid w:val="003E377A"/>
    <w:rsid w:val="003E3E75"/>
    <w:rsid w:val="003E3F48"/>
    <w:rsid w:val="003E3F57"/>
    <w:rsid w:val="003E5423"/>
    <w:rsid w:val="003E5473"/>
    <w:rsid w:val="003E58D4"/>
    <w:rsid w:val="003E5BFB"/>
    <w:rsid w:val="003E6BF8"/>
    <w:rsid w:val="003E6CF6"/>
    <w:rsid w:val="003E7C30"/>
    <w:rsid w:val="003F0873"/>
    <w:rsid w:val="003F0DB2"/>
    <w:rsid w:val="003F2063"/>
    <w:rsid w:val="003F214C"/>
    <w:rsid w:val="003F2B3F"/>
    <w:rsid w:val="003F2BA5"/>
    <w:rsid w:val="003F2E15"/>
    <w:rsid w:val="003F339C"/>
    <w:rsid w:val="003F4D88"/>
    <w:rsid w:val="003F4E79"/>
    <w:rsid w:val="003F5E2E"/>
    <w:rsid w:val="003F64F2"/>
    <w:rsid w:val="003F6A51"/>
    <w:rsid w:val="003F6ADF"/>
    <w:rsid w:val="003F7B5A"/>
    <w:rsid w:val="0040034A"/>
    <w:rsid w:val="004012B7"/>
    <w:rsid w:val="004022D3"/>
    <w:rsid w:val="00402C83"/>
    <w:rsid w:val="0040319F"/>
    <w:rsid w:val="00403B1B"/>
    <w:rsid w:val="00405068"/>
    <w:rsid w:val="004052D5"/>
    <w:rsid w:val="0040538D"/>
    <w:rsid w:val="004054D0"/>
    <w:rsid w:val="004054D3"/>
    <w:rsid w:val="00405936"/>
    <w:rsid w:val="004065BF"/>
    <w:rsid w:val="004103A5"/>
    <w:rsid w:val="0041045B"/>
    <w:rsid w:val="00410D24"/>
    <w:rsid w:val="00411370"/>
    <w:rsid w:val="00412042"/>
    <w:rsid w:val="00412F5C"/>
    <w:rsid w:val="00413C2C"/>
    <w:rsid w:val="00414873"/>
    <w:rsid w:val="0041491A"/>
    <w:rsid w:val="00415469"/>
    <w:rsid w:val="00415B92"/>
    <w:rsid w:val="00415F36"/>
    <w:rsid w:val="00416352"/>
    <w:rsid w:val="00416B3E"/>
    <w:rsid w:val="00416EBB"/>
    <w:rsid w:val="004172E4"/>
    <w:rsid w:val="00420B03"/>
    <w:rsid w:val="00420BC2"/>
    <w:rsid w:val="00421063"/>
    <w:rsid w:val="004212CE"/>
    <w:rsid w:val="00421729"/>
    <w:rsid w:val="00421BAE"/>
    <w:rsid w:val="0042202A"/>
    <w:rsid w:val="0042218B"/>
    <w:rsid w:val="004227DA"/>
    <w:rsid w:val="0042292B"/>
    <w:rsid w:val="004234C9"/>
    <w:rsid w:val="00423E05"/>
    <w:rsid w:val="00424A5A"/>
    <w:rsid w:val="00424B32"/>
    <w:rsid w:val="00424DA7"/>
    <w:rsid w:val="00424F21"/>
    <w:rsid w:val="00425514"/>
    <w:rsid w:val="00426415"/>
    <w:rsid w:val="00426FA6"/>
    <w:rsid w:val="00427241"/>
    <w:rsid w:val="00427496"/>
    <w:rsid w:val="0043005C"/>
    <w:rsid w:val="00430596"/>
    <w:rsid w:val="00430C12"/>
    <w:rsid w:val="00430E6F"/>
    <w:rsid w:val="00430EFC"/>
    <w:rsid w:val="00431A8B"/>
    <w:rsid w:val="00431DD9"/>
    <w:rsid w:val="0043260D"/>
    <w:rsid w:val="00432D73"/>
    <w:rsid w:val="00433076"/>
    <w:rsid w:val="00435E65"/>
    <w:rsid w:val="00436009"/>
    <w:rsid w:val="00436618"/>
    <w:rsid w:val="00440142"/>
    <w:rsid w:val="00440250"/>
    <w:rsid w:val="00440CF0"/>
    <w:rsid w:val="004416A0"/>
    <w:rsid w:val="00441A1B"/>
    <w:rsid w:val="00442680"/>
    <w:rsid w:val="00442757"/>
    <w:rsid w:val="00442DDA"/>
    <w:rsid w:val="00443B79"/>
    <w:rsid w:val="004448ED"/>
    <w:rsid w:val="00444A81"/>
    <w:rsid w:val="004452CA"/>
    <w:rsid w:val="004460CE"/>
    <w:rsid w:val="00446FAC"/>
    <w:rsid w:val="00447948"/>
    <w:rsid w:val="00447A26"/>
    <w:rsid w:val="004506CC"/>
    <w:rsid w:val="00450AD5"/>
    <w:rsid w:val="00450F87"/>
    <w:rsid w:val="00451117"/>
    <w:rsid w:val="00451510"/>
    <w:rsid w:val="00451C8A"/>
    <w:rsid w:val="00451F10"/>
    <w:rsid w:val="00452177"/>
    <w:rsid w:val="00452256"/>
    <w:rsid w:val="004536B0"/>
    <w:rsid w:val="00453C20"/>
    <w:rsid w:val="00453EA7"/>
    <w:rsid w:val="00454421"/>
    <w:rsid w:val="004544EB"/>
    <w:rsid w:val="00455E15"/>
    <w:rsid w:val="00455FC6"/>
    <w:rsid w:val="00456030"/>
    <w:rsid w:val="00456625"/>
    <w:rsid w:val="00456EA9"/>
    <w:rsid w:val="00456F67"/>
    <w:rsid w:val="004570AE"/>
    <w:rsid w:val="00457354"/>
    <w:rsid w:val="00457D56"/>
    <w:rsid w:val="00457EC0"/>
    <w:rsid w:val="00457FF1"/>
    <w:rsid w:val="00460590"/>
    <w:rsid w:val="004614FF"/>
    <w:rsid w:val="00461785"/>
    <w:rsid w:val="00462187"/>
    <w:rsid w:val="004622EB"/>
    <w:rsid w:val="00463AA8"/>
    <w:rsid w:val="00464887"/>
    <w:rsid w:val="004649FC"/>
    <w:rsid w:val="0046514A"/>
    <w:rsid w:val="004655A8"/>
    <w:rsid w:val="004655D0"/>
    <w:rsid w:val="00465612"/>
    <w:rsid w:val="00465B52"/>
    <w:rsid w:val="00465D9B"/>
    <w:rsid w:val="00467320"/>
    <w:rsid w:val="00467C0B"/>
    <w:rsid w:val="004705A2"/>
    <w:rsid w:val="00470616"/>
    <w:rsid w:val="0047065A"/>
    <w:rsid w:val="0047116D"/>
    <w:rsid w:val="0047149C"/>
    <w:rsid w:val="00472B1A"/>
    <w:rsid w:val="0047303E"/>
    <w:rsid w:val="004734CC"/>
    <w:rsid w:val="00473519"/>
    <w:rsid w:val="00473DE1"/>
    <w:rsid w:val="00473FB6"/>
    <w:rsid w:val="00474069"/>
    <w:rsid w:val="004748E6"/>
    <w:rsid w:val="00474C95"/>
    <w:rsid w:val="00476F16"/>
    <w:rsid w:val="00477490"/>
    <w:rsid w:val="0047788E"/>
    <w:rsid w:val="00480024"/>
    <w:rsid w:val="0048133A"/>
    <w:rsid w:val="0048152C"/>
    <w:rsid w:val="004817A1"/>
    <w:rsid w:val="004818BE"/>
    <w:rsid w:val="00481985"/>
    <w:rsid w:val="00481FBB"/>
    <w:rsid w:val="0048286D"/>
    <w:rsid w:val="00483E50"/>
    <w:rsid w:val="0048411D"/>
    <w:rsid w:val="0048460E"/>
    <w:rsid w:val="004859DF"/>
    <w:rsid w:val="00486F1A"/>
    <w:rsid w:val="004903D9"/>
    <w:rsid w:val="00490EF5"/>
    <w:rsid w:val="004910F3"/>
    <w:rsid w:val="00491D99"/>
    <w:rsid w:val="00491F54"/>
    <w:rsid w:val="0049204F"/>
    <w:rsid w:val="00492FB0"/>
    <w:rsid w:val="00493062"/>
    <w:rsid w:val="00493913"/>
    <w:rsid w:val="00493D5D"/>
    <w:rsid w:val="00494146"/>
    <w:rsid w:val="00494186"/>
    <w:rsid w:val="00494988"/>
    <w:rsid w:val="004955C5"/>
    <w:rsid w:val="00497091"/>
    <w:rsid w:val="00497887"/>
    <w:rsid w:val="004A053A"/>
    <w:rsid w:val="004A0F8F"/>
    <w:rsid w:val="004A150D"/>
    <w:rsid w:val="004A19A7"/>
    <w:rsid w:val="004A218C"/>
    <w:rsid w:val="004A2373"/>
    <w:rsid w:val="004A3D82"/>
    <w:rsid w:val="004A3DC9"/>
    <w:rsid w:val="004A4300"/>
    <w:rsid w:val="004A5367"/>
    <w:rsid w:val="004A5C53"/>
    <w:rsid w:val="004A60C5"/>
    <w:rsid w:val="004A69ED"/>
    <w:rsid w:val="004B2010"/>
    <w:rsid w:val="004B31C9"/>
    <w:rsid w:val="004B3D30"/>
    <w:rsid w:val="004B42CC"/>
    <w:rsid w:val="004B4964"/>
    <w:rsid w:val="004B4A2F"/>
    <w:rsid w:val="004B54D6"/>
    <w:rsid w:val="004B5CB0"/>
    <w:rsid w:val="004B5F96"/>
    <w:rsid w:val="004B607C"/>
    <w:rsid w:val="004B6614"/>
    <w:rsid w:val="004B6727"/>
    <w:rsid w:val="004B69AF"/>
    <w:rsid w:val="004B709F"/>
    <w:rsid w:val="004B7280"/>
    <w:rsid w:val="004B7415"/>
    <w:rsid w:val="004B75BD"/>
    <w:rsid w:val="004B75D1"/>
    <w:rsid w:val="004B7C7E"/>
    <w:rsid w:val="004B7FEA"/>
    <w:rsid w:val="004C13AC"/>
    <w:rsid w:val="004C1A5A"/>
    <w:rsid w:val="004C1CE3"/>
    <w:rsid w:val="004C2102"/>
    <w:rsid w:val="004C2D82"/>
    <w:rsid w:val="004C2E98"/>
    <w:rsid w:val="004C3F59"/>
    <w:rsid w:val="004C45F8"/>
    <w:rsid w:val="004C468E"/>
    <w:rsid w:val="004C5CCE"/>
    <w:rsid w:val="004C6588"/>
    <w:rsid w:val="004C6626"/>
    <w:rsid w:val="004C666F"/>
    <w:rsid w:val="004C6952"/>
    <w:rsid w:val="004C7213"/>
    <w:rsid w:val="004D04CE"/>
    <w:rsid w:val="004D083D"/>
    <w:rsid w:val="004D083F"/>
    <w:rsid w:val="004D08D1"/>
    <w:rsid w:val="004D137F"/>
    <w:rsid w:val="004D13AE"/>
    <w:rsid w:val="004D15F1"/>
    <w:rsid w:val="004D2A07"/>
    <w:rsid w:val="004D3480"/>
    <w:rsid w:val="004D40C2"/>
    <w:rsid w:val="004D4953"/>
    <w:rsid w:val="004D5070"/>
    <w:rsid w:val="004D682C"/>
    <w:rsid w:val="004D6F93"/>
    <w:rsid w:val="004D71E5"/>
    <w:rsid w:val="004D7BD1"/>
    <w:rsid w:val="004E0336"/>
    <w:rsid w:val="004E07D6"/>
    <w:rsid w:val="004E0904"/>
    <w:rsid w:val="004E1D6B"/>
    <w:rsid w:val="004E3420"/>
    <w:rsid w:val="004E3EF8"/>
    <w:rsid w:val="004E4532"/>
    <w:rsid w:val="004E4E3D"/>
    <w:rsid w:val="004E4E7E"/>
    <w:rsid w:val="004E5238"/>
    <w:rsid w:val="004E5713"/>
    <w:rsid w:val="004E5A2F"/>
    <w:rsid w:val="004E6390"/>
    <w:rsid w:val="004E6421"/>
    <w:rsid w:val="004E658B"/>
    <w:rsid w:val="004E66F2"/>
    <w:rsid w:val="004E6871"/>
    <w:rsid w:val="004E7482"/>
    <w:rsid w:val="004E7989"/>
    <w:rsid w:val="004F0E35"/>
    <w:rsid w:val="004F11C1"/>
    <w:rsid w:val="004F1267"/>
    <w:rsid w:val="004F1277"/>
    <w:rsid w:val="004F1CEF"/>
    <w:rsid w:val="004F2681"/>
    <w:rsid w:val="004F609C"/>
    <w:rsid w:val="004F7DCC"/>
    <w:rsid w:val="004F7E09"/>
    <w:rsid w:val="0050047D"/>
    <w:rsid w:val="00500555"/>
    <w:rsid w:val="00500CC8"/>
    <w:rsid w:val="00500E59"/>
    <w:rsid w:val="005011BC"/>
    <w:rsid w:val="005022E8"/>
    <w:rsid w:val="00502797"/>
    <w:rsid w:val="00502964"/>
    <w:rsid w:val="00502E62"/>
    <w:rsid w:val="0050309D"/>
    <w:rsid w:val="0050367F"/>
    <w:rsid w:val="005038BF"/>
    <w:rsid w:val="0050480C"/>
    <w:rsid w:val="005059A7"/>
    <w:rsid w:val="005064B2"/>
    <w:rsid w:val="005101D6"/>
    <w:rsid w:val="005103F8"/>
    <w:rsid w:val="005113ED"/>
    <w:rsid w:val="005128DE"/>
    <w:rsid w:val="00513100"/>
    <w:rsid w:val="00513B46"/>
    <w:rsid w:val="0051441F"/>
    <w:rsid w:val="0051498F"/>
    <w:rsid w:val="00515596"/>
    <w:rsid w:val="0051632D"/>
    <w:rsid w:val="005166F7"/>
    <w:rsid w:val="00516F1D"/>
    <w:rsid w:val="00516F57"/>
    <w:rsid w:val="00517C02"/>
    <w:rsid w:val="005211A1"/>
    <w:rsid w:val="00521A34"/>
    <w:rsid w:val="005223C3"/>
    <w:rsid w:val="00522A1F"/>
    <w:rsid w:val="00522F02"/>
    <w:rsid w:val="00523F10"/>
    <w:rsid w:val="0052458E"/>
    <w:rsid w:val="005245A4"/>
    <w:rsid w:val="005250AD"/>
    <w:rsid w:val="00525364"/>
    <w:rsid w:val="00525EC4"/>
    <w:rsid w:val="00527612"/>
    <w:rsid w:val="00527B4E"/>
    <w:rsid w:val="005303CC"/>
    <w:rsid w:val="00530CE4"/>
    <w:rsid w:val="005311A1"/>
    <w:rsid w:val="005315FD"/>
    <w:rsid w:val="00531B6D"/>
    <w:rsid w:val="00531C87"/>
    <w:rsid w:val="0053261F"/>
    <w:rsid w:val="0053357C"/>
    <w:rsid w:val="00533A2B"/>
    <w:rsid w:val="00534151"/>
    <w:rsid w:val="00534527"/>
    <w:rsid w:val="005351A5"/>
    <w:rsid w:val="005357FC"/>
    <w:rsid w:val="00535B87"/>
    <w:rsid w:val="00536312"/>
    <w:rsid w:val="005367E0"/>
    <w:rsid w:val="00536F33"/>
    <w:rsid w:val="0053789F"/>
    <w:rsid w:val="00537C4D"/>
    <w:rsid w:val="00537C5B"/>
    <w:rsid w:val="0054011A"/>
    <w:rsid w:val="00541C2C"/>
    <w:rsid w:val="00541CB6"/>
    <w:rsid w:val="005426FB"/>
    <w:rsid w:val="005435DD"/>
    <w:rsid w:val="0054469B"/>
    <w:rsid w:val="00544721"/>
    <w:rsid w:val="005448C5"/>
    <w:rsid w:val="005463B9"/>
    <w:rsid w:val="00547A2F"/>
    <w:rsid w:val="00547CD4"/>
    <w:rsid w:val="005500A7"/>
    <w:rsid w:val="00550D8A"/>
    <w:rsid w:val="0055142D"/>
    <w:rsid w:val="00551D4E"/>
    <w:rsid w:val="00551D60"/>
    <w:rsid w:val="00552C2A"/>
    <w:rsid w:val="00553B2F"/>
    <w:rsid w:val="00553C32"/>
    <w:rsid w:val="00553DD6"/>
    <w:rsid w:val="0055427B"/>
    <w:rsid w:val="00554637"/>
    <w:rsid w:val="00554712"/>
    <w:rsid w:val="00556332"/>
    <w:rsid w:val="00556E07"/>
    <w:rsid w:val="005570A2"/>
    <w:rsid w:val="005575B2"/>
    <w:rsid w:val="005578BA"/>
    <w:rsid w:val="00560869"/>
    <w:rsid w:val="00560A6A"/>
    <w:rsid w:val="00560AC0"/>
    <w:rsid w:val="00561F61"/>
    <w:rsid w:val="005622F7"/>
    <w:rsid w:val="00562933"/>
    <w:rsid w:val="00562966"/>
    <w:rsid w:val="005629E7"/>
    <w:rsid w:val="00562B1D"/>
    <w:rsid w:val="00563CBB"/>
    <w:rsid w:val="0056523F"/>
    <w:rsid w:val="00565637"/>
    <w:rsid w:val="00565F64"/>
    <w:rsid w:val="00566107"/>
    <w:rsid w:val="00566EE6"/>
    <w:rsid w:val="00567237"/>
    <w:rsid w:val="005713A3"/>
    <w:rsid w:val="00571C63"/>
    <w:rsid w:val="00571E00"/>
    <w:rsid w:val="005726D5"/>
    <w:rsid w:val="00572C76"/>
    <w:rsid w:val="00573853"/>
    <w:rsid w:val="005738B8"/>
    <w:rsid w:val="00574538"/>
    <w:rsid w:val="00574584"/>
    <w:rsid w:val="005746F5"/>
    <w:rsid w:val="00575BEA"/>
    <w:rsid w:val="00576627"/>
    <w:rsid w:val="00576753"/>
    <w:rsid w:val="00577C41"/>
    <w:rsid w:val="00577CB3"/>
    <w:rsid w:val="00577DC6"/>
    <w:rsid w:val="00577E60"/>
    <w:rsid w:val="0058042D"/>
    <w:rsid w:val="00580F46"/>
    <w:rsid w:val="005821F3"/>
    <w:rsid w:val="0058220B"/>
    <w:rsid w:val="0058377D"/>
    <w:rsid w:val="00583784"/>
    <w:rsid w:val="00583811"/>
    <w:rsid w:val="00583834"/>
    <w:rsid w:val="00583FE7"/>
    <w:rsid w:val="005841E8"/>
    <w:rsid w:val="00584CAE"/>
    <w:rsid w:val="00584DB9"/>
    <w:rsid w:val="00584FE8"/>
    <w:rsid w:val="00585C69"/>
    <w:rsid w:val="005860CC"/>
    <w:rsid w:val="00586693"/>
    <w:rsid w:val="00586B2C"/>
    <w:rsid w:val="00587C59"/>
    <w:rsid w:val="005914ED"/>
    <w:rsid w:val="00591531"/>
    <w:rsid w:val="00592234"/>
    <w:rsid w:val="00593841"/>
    <w:rsid w:val="00595DA0"/>
    <w:rsid w:val="0059692A"/>
    <w:rsid w:val="00597137"/>
    <w:rsid w:val="0059713B"/>
    <w:rsid w:val="00597B12"/>
    <w:rsid w:val="00597D54"/>
    <w:rsid w:val="005A09B8"/>
    <w:rsid w:val="005A1094"/>
    <w:rsid w:val="005A2B41"/>
    <w:rsid w:val="005A2BC6"/>
    <w:rsid w:val="005A2D9D"/>
    <w:rsid w:val="005A32AE"/>
    <w:rsid w:val="005A40C8"/>
    <w:rsid w:val="005A503C"/>
    <w:rsid w:val="005A517D"/>
    <w:rsid w:val="005A5A50"/>
    <w:rsid w:val="005A5B60"/>
    <w:rsid w:val="005A5BEF"/>
    <w:rsid w:val="005A6088"/>
    <w:rsid w:val="005A6561"/>
    <w:rsid w:val="005A6685"/>
    <w:rsid w:val="005A6857"/>
    <w:rsid w:val="005B070A"/>
    <w:rsid w:val="005B080A"/>
    <w:rsid w:val="005B09B6"/>
    <w:rsid w:val="005B0F2A"/>
    <w:rsid w:val="005B1B7E"/>
    <w:rsid w:val="005B2218"/>
    <w:rsid w:val="005B36F8"/>
    <w:rsid w:val="005B3AA5"/>
    <w:rsid w:val="005B430D"/>
    <w:rsid w:val="005B46D8"/>
    <w:rsid w:val="005B4D48"/>
    <w:rsid w:val="005B5D44"/>
    <w:rsid w:val="005B5DE6"/>
    <w:rsid w:val="005B61BD"/>
    <w:rsid w:val="005B6707"/>
    <w:rsid w:val="005B6A9E"/>
    <w:rsid w:val="005B744C"/>
    <w:rsid w:val="005B77B0"/>
    <w:rsid w:val="005C0397"/>
    <w:rsid w:val="005C1123"/>
    <w:rsid w:val="005C128F"/>
    <w:rsid w:val="005C1B8F"/>
    <w:rsid w:val="005C1EA6"/>
    <w:rsid w:val="005C2DA0"/>
    <w:rsid w:val="005C30E8"/>
    <w:rsid w:val="005C37C1"/>
    <w:rsid w:val="005C401D"/>
    <w:rsid w:val="005C40A4"/>
    <w:rsid w:val="005C416E"/>
    <w:rsid w:val="005C63C7"/>
    <w:rsid w:val="005C64F1"/>
    <w:rsid w:val="005C6CBA"/>
    <w:rsid w:val="005C7087"/>
    <w:rsid w:val="005C78FE"/>
    <w:rsid w:val="005C7BEB"/>
    <w:rsid w:val="005D00C9"/>
    <w:rsid w:val="005D025D"/>
    <w:rsid w:val="005D02B3"/>
    <w:rsid w:val="005D1229"/>
    <w:rsid w:val="005D1565"/>
    <w:rsid w:val="005D1798"/>
    <w:rsid w:val="005D1849"/>
    <w:rsid w:val="005D1997"/>
    <w:rsid w:val="005D38D2"/>
    <w:rsid w:val="005D39B8"/>
    <w:rsid w:val="005D4560"/>
    <w:rsid w:val="005D46D1"/>
    <w:rsid w:val="005D474D"/>
    <w:rsid w:val="005D5BDF"/>
    <w:rsid w:val="005D63C5"/>
    <w:rsid w:val="005D6EDA"/>
    <w:rsid w:val="005D725F"/>
    <w:rsid w:val="005D741F"/>
    <w:rsid w:val="005D746A"/>
    <w:rsid w:val="005D7CB9"/>
    <w:rsid w:val="005E0FE1"/>
    <w:rsid w:val="005E1177"/>
    <w:rsid w:val="005E11E5"/>
    <w:rsid w:val="005E1364"/>
    <w:rsid w:val="005E1AC2"/>
    <w:rsid w:val="005E1FFE"/>
    <w:rsid w:val="005E2215"/>
    <w:rsid w:val="005E26BD"/>
    <w:rsid w:val="005E3706"/>
    <w:rsid w:val="005E4576"/>
    <w:rsid w:val="005E4948"/>
    <w:rsid w:val="005E4DB2"/>
    <w:rsid w:val="005E5429"/>
    <w:rsid w:val="005E6D96"/>
    <w:rsid w:val="005E70C6"/>
    <w:rsid w:val="005E76FC"/>
    <w:rsid w:val="005E784D"/>
    <w:rsid w:val="005F12DA"/>
    <w:rsid w:val="005F1921"/>
    <w:rsid w:val="005F1A49"/>
    <w:rsid w:val="005F1CFB"/>
    <w:rsid w:val="005F2C1C"/>
    <w:rsid w:val="005F3F44"/>
    <w:rsid w:val="005F3F99"/>
    <w:rsid w:val="005F4F5C"/>
    <w:rsid w:val="005F5962"/>
    <w:rsid w:val="005F6058"/>
    <w:rsid w:val="005F6583"/>
    <w:rsid w:val="005F663B"/>
    <w:rsid w:val="005F6EFF"/>
    <w:rsid w:val="005F7F94"/>
    <w:rsid w:val="006001A5"/>
    <w:rsid w:val="006018D1"/>
    <w:rsid w:val="0060200F"/>
    <w:rsid w:val="006021B8"/>
    <w:rsid w:val="0060231D"/>
    <w:rsid w:val="006028EF"/>
    <w:rsid w:val="00602BB2"/>
    <w:rsid w:val="00603119"/>
    <w:rsid w:val="006043AF"/>
    <w:rsid w:val="006063FE"/>
    <w:rsid w:val="0060675C"/>
    <w:rsid w:val="00606C00"/>
    <w:rsid w:val="00606C06"/>
    <w:rsid w:val="006073F0"/>
    <w:rsid w:val="00607550"/>
    <w:rsid w:val="00607708"/>
    <w:rsid w:val="006103AC"/>
    <w:rsid w:val="006103D4"/>
    <w:rsid w:val="00610A8A"/>
    <w:rsid w:val="00611449"/>
    <w:rsid w:val="00611855"/>
    <w:rsid w:val="00611A12"/>
    <w:rsid w:val="00611E9C"/>
    <w:rsid w:val="00611FF7"/>
    <w:rsid w:val="006129EF"/>
    <w:rsid w:val="00612A14"/>
    <w:rsid w:val="00613449"/>
    <w:rsid w:val="00613E2F"/>
    <w:rsid w:val="00614411"/>
    <w:rsid w:val="00614804"/>
    <w:rsid w:val="00614F91"/>
    <w:rsid w:val="00615067"/>
    <w:rsid w:val="00615F17"/>
    <w:rsid w:val="006160A5"/>
    <w:rsid w:val="0061717D"/>
    <w:rsid w:val="00617AB6"/>
    <w:rsid w:val="00617D65"/>
    <w:rsid w:val="00620E89"/>
    <w:rsid w:val="00621D1A"/>
    <w:rsid w:val="0062253D"/>
    <w:rsid w:val="00622DFF"/>
    <w:rsid w:val="00623589"/>
    <w:rsid w:val="00623C89"/>
    <w:rsid w:val="00623FA4"/>
    <w:rsid w:val="0062455A"/>
    <w:rsid w:val="0062472E"/>
    <w:rsid w:val="00624D6F"/>
    <w:rsid w:val="006251DE"/>
    <w:rsid w:val="00625673"/>
    <w:rsid w:val="00625964"/>
    <w:rsid w:val="00626558"/>
    <w:rsid w:val="006303C6"/>
    <w:rsid w:val="00630642"/>
    <w:rsid w:val="00630B54"/>
    <w:rsid w:val="00630DB8"/>
    <w:rsid w:val="00631862"/>
    <w:rsid w:val="00631A64"/>
    <w:rsid w:val="00632E51"/>
    <w:rsid w:val="00633527"/>
    <w:rsid w:val="0063447E"/>
    <w:rsid w:val="00634678"/>
    <w:rsid w:val="00634C39"/>
    <w:rsid w:val="00635724"/>
    <w:rsid w:val="00635C18"/>
    <w:rsid w:val="00636609"/>
    <w:rsid w:val="00636B42"/>
    <w:rsid w:val="00637293"/>
    <w:rsid w:val="006373E4"/>
    <w:rsid w:val="00637D37"/>
    <w:rsid w:val="00637DBD"/>
    <w:rsid w:val="0064052A"/>
    <w:rsid w:val="0064053F"/>
    <w:rsid w:val="00640C6B"/>
    <w:rsid w:val="0064129F"/>
    <w:rsid w:val="00641543"/>
    <w:rsid w:val="006427C6"/>
    <w:rsid w:val="006429CE"/>
    <w:rsid w:val="006433F4"/>
    <w:rsid w:val="00643960"/>
    <w:rsid w:val="00643C6A"/>
    <w:rsid w:val="00643DC2"/>
    <w:rsid w:val="006441B0"/>
    <w:rsid w:val="0064426A"/>
    <w:rsid w:val="006452FD"/>
    <w:rsid w:val="00645377"/>
    <w:rsid w:val="00645548"/>
    <w:rsid w:val="00645BF9"/>
    <w:rsid w:val="006467D3"/>
    <w:rsid w:val="006470C9"/>
    <w:rsid w:val="0064737F"/>
    <w:rsid w:val="00647823"/>
    <w:rsid w:val="006549AB"/>
    <w:rsid w:val="00654C3A"/>
    <w:rsid w:val="0065547E"/>
    <w:rsid w:val="00655C52"/>
    <w:rsid w:val="0065666B"/>
    <w:rsid w:val="00657017"/>
    <w:rsid w:val="0065788F"/>
    <w:rsid w:val="006601E8"/>
    <w:rsid w:val="00660578"/>
    <w:rsid w:val="006619DB"/>
    <w:rsid w:val="0066201B"/>
    <w:rsid w:val="0066205D"/>
    <w:rsid w:val="0066253D"/>
    <w:rsid w:val="00662B89"/>
    <w:rsid w:val="0066339B"/>
    <w:rsid w:val="0066398E"/>
    <w:rsid w:val="006646D1"/>
    <w:rsid w:val="00665663"/>
    <w:rsid w:val="006658D4"/>
    <w:rsid w:val="00665B86"/>
    <w:rsid w:val="00665F30"/>
    <w:rsid w:val="00665F40"/>
    <w:rsid w:val="0066687A"/>
    <w:rsid w:val="0066695E"/>
    <w:rsid w:val="00666AF3"/>
    <w:rsid w:val="0066734A"/>
    <w:rsid w:val="006714C6"/>
    <w:rsid w:val="00671946"/>
    <w:rsid w:val="00671A2D"/>
    <w:rsid w:val="00671D0D"/>
    <w:rsid w:val="00672A30"/>
    <w:rsid w:val="00672B96"/>
    <w:rsid w:val="00674018"/>
    <w:rsid w:val="00674752"/>
    <w:rsid w:val="00674D2C"/>
    <w:rsid w:val="00675027"/>
    <w:rsid w:val="00675A84"/>
    <w:rsid w:val="0067680D"/>
    <w:rsid w:val="0067724B"/>
    <w:rsid w:val="0067731D"/>
    <w:rsid w:val="00680A56"/>
    <w:rsid w:val="00680F66"/>
    <w:rsid w:val="00681262"/>
    <w:rsid w:val="00682979"/>
    <w:rsid w:val="00683195"/>
    <w:rsid w:val="00683E30"/>
    <w:rsid w:val="00683F80"/>
    <w:rsid w:val="006843A6"/>
    <w:rsid w:val="0068462D"/>
    <w:rsid w:val="006847E2"/>
    <w:rsid w:val="00684DD6"/>
    <w:rsid w:val="00685149"/>
    <w:rsid w:val="0068545F"/>
    <w:rsid w:val="006858D7"/>
    <w:rsid w:val="006865E3"/>
    <w:rsid w:val="00686A45"/>
    <w:rsid w:val="00686F91"/>
    <w:rsid w:val="00687537"/>
    <w:rsid w:val="00687EA9"/>
    <w:rsid w:val="006900FF"/>
    <w:rsid w:val="00692F40"/>
    <w:rsid w:val="00693503"/>
    <w:rsid w:val="0069401D"/>
    <w:rsid w:val="00694A0E"/>
    <w:rsid w:val="00694CE7"/>
    <w:rsid w:val="00695128"/>
    <w:rsid w:val="00695F11"/>
    <w:rsid w:val="006960D0"/>
    <w:rsid w:val="006961A7"/>
    <w:rsid w:val="0069636F"/>
    <w:rsid w:val="00696426"/>
    <w:rsid w:val="0069661F"/>
    <w:rsid w:val="0069708E"/>
    <w:rsid w:val="006977EA"/>
    <w:rsid w:val="006A13B7"/>
    <w:rsid w:val="006A14F1"/>
    <w:rsid w:val="006A1CBD"/>
    <w:rsid w:val="006A1D36"/>
    <w:rsid w:val="006A1FF0"/>
    <w:rsid w:val="006A5237"/>
    <w:rsid w:val="006A52A1"/>
    <w:rsid w:val="006A52CF"/>
    <w:rsid w:val="006A5306"/>
    <w:rsid w:val="006A5DA5"/>
    <w:rsid w:val="006A6EFA"/>
    <w:rsid w:val="006A6FA9"/>
    <w:rsid w:val="006A7451"/>
    <w:rsid w:val="006A792D"/>
    <w:rsid w:val="006B051B"/>
    <w:rsid w:val="006B1751"/>
    <w:rsid w:val="006B1DDA"/>
    <w:rsid w:val="006B2117"/>
    <w:rsid w:val="006B27B7"/>
    <w:rsid w:val="006B2C33"/>
    <w:rsid w:val="006B3AAF"/>
    <w:rsid w:val="006B3AC8"/>
    <w:rsid w:val="006B4449"/>
    <w:rsid w:val="006B4AAA"/>
    <w:rsid w:val="006B4F03"/>
    <w:rsid w:val="006B540F"/>
    <w:rsid w:val="006B57C7"/>
    <w:rsid w:val="006B635A"/>
    <w:rsid w:val="006B6973"/>
    <w:rsid w:val="006C01A3"/>
    <w:rsid w:val="006C05CB"/>
    <w:rsid w:val="006C115D"/>
    <w:rsid w:val="006C17FF"/>
    <w:rsid w:val="006C19D8"/>
    <w:rsid w:val="006C2335"/>
    <w:rsid w:val="006C248C"/>
    <w:rsid w:val="006C2FA3"/>
    <w:rsid w:val="006C333F"/>
    <w:rsid w:val="006C376C"/>
    <w:rsid w:val="006C4184"/>
    <w:rsid w:val="006C46C4"/>
    <w:rsid w:val="006C4B1B"/>
    <w:rsid w:val="006C5D6D"/>
    <w:rsid w:val="006C60DB"/>
    <w:rsid w:val="006C69CB"/>
    <w:rsid w:val="006C7740"/>
    <w:rsid w:val="006C77FF"/>
    <w:rsid w:val="006C784D"/>
    <w:rsid w:val="006C7F9E"/>
    <w:rsid w:val="006D0A79"/>
    <w:rsid w:val="006D0FD6"/>
    <w:rsid w:val="006D1186"/>
    <w:rsid w:val="006D129E"/>
    <w:rsid w:val="006D13C2"/>
    <w:rsid w:val="006D1556"/>
    <w:rsid w:val="006D1772"/>
    <w:rsid w:val="006D19CB"/>
    <w:rsid w:val="006D1FFA"/>
    <w:rsid w:val="006D241A"/>
    <w:rsid w:val="006D29D7"/>
    <w:rsid w:val="006D3102"/>
    <w:rsid w:val="006D3110"/>
    <w:rsid w:val="006D392F"/>
    <w:rsid w:val="006D3F63"/>
    <w:rsid w:val="006D53C2"/>
    <w:rsid w:val="006D57A6"/>
    <w:rsid w:val="006D7226"/>
    <w:rsid w:val="006D7307"/>
    <w:rsid w:val="006E169F"/>
    <w:rsid w:val="006E1CDD"/>
    <w:rsid w:val="006E44DA"/>
    <w:rsid w:val="006E4626"/>
    <w:rsid w:val="006E468E"/>
    <w:rsid w:val="006E4D8A"/>
    <w:rsid w:val="006E5159"/>
    <w:rsid w:val="006E5700"/>
    <w:rsid w:val="006E5D1D"/>
    <w:rsid w:val="006E5E00"/>
    <w:rsid w:val="006E6100"/>
    <w:rsid w:val="006E6226"/>
    <w:rsid w:val="006E63EF"/>
    <w:rsid w:val="006E6A6E"/>
    <w:rsid w:val="006E6DE5"/>
    <w:rsid w:val="006E7F34"/>
    <w:rsid w:val="006F0D08"/>
    <w:rsid w:val="006F2131"/>
    <w:rsid w:val="006F217C"/>
    <w:rsid w:val="006F250D"/>
    <w:rsid w:val="006F2AD2"/>
    <w:rsid w:val="006F346B"/>
    <w:rsid w:val="006F38DA"/>
    <w:rsid w:val="006F428A"/>
    <w:rsid w:val="006F4D36"/>
    <w:rsid w:val="006F5E5D"/>
    <w:rsid w:val="006F6CA2"/>
    <w:rsid w:val="006F70A5"/>
    <w:rsid w:val="006F779D"/>
    <w:rsid w:val="006F7BF9"/>
    <w:rsid w:val="006F7C4D"/>
    <w:rsid w:val="006F7F69"/>
    <w:rsid w:val="0070027F"/>
    <w:rsid w:val="00700DC4"/>
    <w:rsid w:val="00701243"/>
    <w:rsid w:val="007018CF"/>
    <w:rsid w:val="0070214A"/>
    <w:rsid w:val="00702B47"/>
    <w:rsid w:val="00703083"/>
    <w:rsid w:val="00703840"/>
    <w:rsid w:val="0070460E"/>
    <w:rsid w:val="0070482C"/>
    <w:rsid w:val="007049E4"/>
    <w:rsid w:val="00704B8F"/>
    <w:rsid w:val="00704E36"/>
    <w:rsid w:val="0070569D"/>
    <w:rsid w:val="007061C4"/>
    <w:rsid w:val="00706231"/>
    <w:rsid w:val="0070643E"/>
    <w:rsid w:val="007066AB"/>
    <w:rsid w:val="007068AB"/>
    <w:rsid w:val="00706C56"/>
    <w:rsid w:val="007076EB"/>
    <w:rsid w:val="0070771A"/>
    <w:rsid w:val="00710936"/>
    <w:rsid w:val="007118F7"/>
    <w:rsid w:val="0071293A"/>
    <w:rsid w:val="00713CE6"/>
    <w:rsid w:val="0071517C"/>
    <w:rsid w:val="00715279"/>
    <w:rsid w:val="0071529A"/>
    <w:rsid w:val="00716B9F"/>
    <w:rsid w:val="00717230"/>
    <w:rsid w:val="0071796E"/>
    <w:rsid w:val="0072109B"/>
    <w:rsid w:val="007216C2"/>
    <w:rsid w:val="00721C5A"/>
    <w:rsid w:val="0072229E"/>
    <w:rsid w:val="007224C4"/>
    <w:rsid w:val="00723665"/>
    <w:rsid w:val="007237BB"/>
    <w:rsid w:val="00723D81"/>
    <w:rsid w:val="00724D42"/>
    <w:rsid w:val="00724E38"/>
    <w:rsid w:val="00724F50"/>
    <w:rsid w:val="00724F7F"/>
    <w:rsid w:val="00725569"/>
    <w:rsid w:val="00725741"/>
    <w:rsid w:val="00725B6F"/>
    <w:rsid w:val="0072600F"/>
    <w:rsid w:val="0072652E"/>
    <w:rsid w:val="00727197"/>
    <w:rsid w:val="0072759B"/>
    <w:rsid w:val="007304B5"/>
    <w:rsid w:val="00730747"/>
    <w:rsid w:val="00730EE4"/>
    <w:rsid w:val="00731091"/>
    <w:rsid w:val="0073134E"/>
    <w:rsid w:val="00733820"/>
    <w:rsid w:val="00734191"/>
    <w:rsid w:val="00735534"/>
    <w:rsid w:val="00735719"/>
    <w:rsid w:val="00736401"/>
    <w:rsid w:val="007365DD"/>
    <w:rsid w:val="00736766"/>
    <w:rsid w:val="00736A99"/>
    <w:rsid w:val="00736B50"/>
    <w:rsid w:val="00740EC5"/>
    <w:rsid w:val="00740EDE"/>
    <w:rsid w:val="00741361"/>
    <w:rsid w:val="0074165B"/>
    <w:rsid w:val="00741C87"/>
    <w:rsid w:val="00741DC0"/>
    <w:rsid w:val="00742466"/>
    <w:rsid w:val="00742BAC"/>
    <w:rsid w:val="00742EB1"/>
    <w:rsid w:val="007432C8"/>
    <w:rsid w:val="007434FE"/>
    <w:rsid w:val="0074402E"/>
    <w:rsid w:val="0074436E"/>
    <w:rsid w:val="00745AA0"/>
    <w:rsid w:val="00745C40"/>
    <w:rsid w:val="00746146"/>
    <w:rsid w:val="007464A8"/>
    <w:rsid w:val="00746896"/>
    <w:rsid w:val="00746A8A"/>
    <w:rsid w:val="007473D1"/>
    <w:rsid w:val="00747667"/>
    <w:rsid w:val="007476B9"/>
    <w:rsid w:val="0074798E"/>
    <w:rsid w:val="00747A61"/>
    <w:rsid w:val="00751300"/>
    <w:rsid w:val="00751C0B"/>
    <w:rsid w:val="00751CD9"/>
    <w:rsid w:val="00751D7A"/>
    <w:rsid w:val="00751FD1"/>
    <w:rsid w:val="00752590"/>
    <w:rsid w:val="007529BF"/>
    <w:rsid w:val="00753477"/>
    <w:rsid w:val="00753C19"/>
    <w:rsid w:val="00753E0D"/>
    <w:rsid w:val="007547ED"/>
    <w:rsid w:val="00754DE2"/>
    <w:rsid w:val="0075567F"/>
    <w:rsid w:val="00756838"/>
    <w:rsid w:val="00756C91"/>
    <w:rsid w:val="00757024"/>
    <w:rsid w:val="007571B1"/>
    <w:rsid w:val="00757657"/>
    <w:rsid w:val="00757AB8"/>
    <w:rsid w:val="007606C8"/>
    <w:rsid w:val="00760B94"/>
    <w:rsid w:val="00760D9F"/>
    <w:rsid w:val="007615FB"/>
    <w:rsid w:val="00761D05"/>
    <w:rsid w:val="00761D15"/>
    <w:rsid w:val="00762313"/>
    <w:rsid w:val="007628E4"/>
    <w:rsid w:val="00762B11"/>
    <w:rsid w:val="007636A5"/>
    <w:rsid w:val="007640C4"/>
    <w:rsid w:val="00764650"/>
    <w:rsid w:val="00765535"/>
    <w:rsid w:val="0076583E"/>
    <w:rsid w:val="0076634D"/>
    <w:rsid w:val="00767AB9"/>
    <w:rsid w:val="00767AF3"/>
    <w:rsid w:val="0077024F"/>
    <w:rsid w:val="0077026B"/>
    <w:rsid w:val="00770401"/>
    <w:rsid w:val="00770426"/>
    <w:rsid w:val="0077062B"/>
    <w:rsid w:val="007706C5"/>
    <w:rsid w:val="00770A68"/>
    <w:rsid w:val="00771138"/>
    <w:rsid w:val="00772BDE"/>
    <w:rsid w:val="007734A9"/>
    <w:rsid w:val="00773F58"/>
    <w:rsid w:val="0077481D"/>
    <w:rsid w:val="00774896"/>
    <w:rsid w:val="00774D02"/>
    <w:rsid w:val="00775392"/>
    <w:rsid w:val="00776437"/>
    <w:rsid w:val="0077708A"/>
    <w:rsid w:val="007770D8"/>
    <w:rsid w:val="007775B8"/>
    <w:rsid w:val="007776D3"/>
    <w:rsid w:val="00777D7E"/>
    <w:rsid w:val="00777E43"/>
    <w:rsid w:val="0078188E"/>
    <w:rsid w:val="00781EED"/>
    <w:rsid w:val="00782BFF"/>
    <w:rsid w:val="00783007"/>
    <w:rsid w:val="0078326E"/>
    <w:rsid w:val="00783F02"/>
    <w:rsid w:val="00784569"/>
    <w:rsid w:val="007857F2"/>
    <w:rsid w:val="00785959"/>
    <w:rsid w:val="00785F3D"/>
    <w:rsid w:val="00786470"/>
    <w:rsid w:val="007867A5"/>
    <w:rsid w:val="00786A1E"/>
    <w:rsid w:val="00786CB9"/>
    <w:rsid w:val="00787244"/>
    <w:rsid w:val="0078751A"/>
    <w:rsid w:val="007879F9"/>
    <w:rsid w:val="00790132"/>
    <w:rsid w:val="00790355"/>
    <w:rsid w:val="007904D4"/>
    <w:rsid w:val="00790539"/>
    <w:rsid w:val="00791BBA"/>
    <w:rsid w:val="00791F63"/>
    <w:rsid w:val="00793582"/>
    <w:rsid w:val="00793F41"/>
    <w:rsid w:val="00794305"/>
    <w:rsid w:val="0079527B"/>
    <w:rsid w:val="0079559C"/>
    <w:rsid w:val="00795D8A"/>
    <w:rsid w:val="007A1DA7"/>
    <w:rsid w:val="007A1EA1"/>
    <w:rsid w:val="007A2975"/>
    <w:rsid w:val="007A2A50"/>
    <w:rsid w:val="007A4206"/>
    <w:rsid w:val="007A4FED"/>
    <w:rsid w:val="007A5187"/>
    <w:rsid w:val="007A62DF"/>
    <w:rsid w:val="007A689A"/>
    <w:rsid w:val="007A6D0C"/>
    <w:rsid w:val="007B0145"/>
    <w:rsid w:val="007B1519"/>
    <w:rsid w:val="007B151D"/>
    <w:rsid w:val="007B15B0"/>
    <w:rsid w:val="007B15BC"/>
    <w:rsid w:val="007B1A16"/>
    <w:rsid w:val="007B208E"/>
    <w:rsid w:val="007B2656"/>
    <w:rsid w:val="007B2D4B"/>
    <w:rsid w:val="007B2E33"/>
    <w:rsid w:val="007B350F"/>
    <w:rsid w:val="007B4111"/>
    <w:rsid w:val="007B4637"/>
    <w:rsid w:val="007B4E1B"/>
    <w:rsid w:val="007B508B"/>
    <w:rsid w:val="007B51E3"/>
    <w:rsid w:val="007B6B8F"/>
    <w:rsid w:val="007B7A4F"/>
    <w:rsid w:val="007B7CA4"/>
    <w:rsid w:val="007C0304"/>
    <w:rsid w:val="007C0535"/>
    <w:rsid w:val="007C278E"/>
    <w:rsid w:val="007C27E9"/>
    <w:rsid w:val="007C2949"/>
    <w:rsid w:val="007C2A4A"/>
    <w:rsid w:val="007C2BE8"/>
    <w:rsid w:val="007C31C9"/>
    <w:rsid w:val="007C32B5"/>
    <w:rsid w:val="007C37EE"/>
    <w:rsid w:val="007C38EC"/>
    <w:rsid w:val="007C4A13"/>
    <w:rsid w:val="007C58E6"/>
    <w:rsid w:val="007C59A1"/>
    <w:rsid w:val="007C5C16"/>
    <w:rsid w:val="007C6083"/>
    <w:rsid w:val="007C634F"/>
    <w:rsid w:val="007C6BFD"/>
    <w:rsid w:val="007C78FF"/>
    <w:rsid w:val="007D098D"/>
    <w:rsid w:val="007D2644"/>
    <w:rsid w:val="007D32FC"/>
    <w:rsid w:val="007D49F4"/>
    <w:rsid w:val="007D5301"/>
    <w:rsid w:val="007D7242"/>
    <w:rsid w:val="007D747C"/>
    <w:rsid w:val="007D7A09"/>
    <w:rsid w:val="007D7BD2"/>
    <w:rsid w:val="007D7E02"/>
    <w:rsid w:val="007D7E49"/>
    <w:rsid w:val="007E14C9"/>
    <w:rsid w:val="007E1E63"/>
    <w:rsid w:val="007E33D3"/>
    <w:rsid w:val="007E4ABB"/>
    <w:rsid w:val="007E562B"/>
    <w:rsid w:val="007E570A"/>
    <w:rsid w:val="007E5D94"/>
    <w:rsid w:val="007E5DE7"/>
    <w:rsid w:val="007E5E5C"/>
    <w:rsid w:val="007E7C61"/>
    <w:rsid w:val="007E7E05"/>
    <w:rsid w:val="007E7F4A"/>
    <w:rsid w:val="007F0283"/>
    <w:rsid w:val="007F02B7"/>
    <w:rsid w:val="007F038D"/>
    <w:rsid w:val="007F07D8"/>
    <w:rsid w:val="007F0828"/>
    <w:rsid w:val="007F0CAC"/>
    <w:rsid w:val="007F126A"/>
    <w:rsid w:val="007F1516"/>
    <w:rsid w:val="007F1FA6"/>
    <w:rsid w:val="007F28BA"/>
    <w:rsid w:val="007F3436"/>
    <w:rsid w:val="007F3EDB"/>
    <w:rsid w:val="007F407D"/>
    <w:rsid w:val="007F4555"/>
    <w:rsid w:val="007F520E"/>
    <w:rsid w:val="007F5439"/>
    <w:rsid w:val="007F5495"/>
    <w:rsid w:val="007F54EC"/>
    <w:rsid w:val="007F5860"/>
    <w:rsid w:val="007F5D00"/>
    <w:rsid w:val="007F5F9C"/>
    <w:rsid w:val="007F6BA9"/>
    <w:rsid w:val="007F6DF9"/>
    <w:rsid w:val="007F7310"/>
    <w:rsid w:val="007F7726"/>
    <w:rsid w:val="008007B0"/>
    <w:rsid w:val="008020C1"/>
    <w:rsid w:val="00802A91"/>
    <w:rsid w:val="00802BD3"/>
    <w:rsid w:val="00802E27"/>
    <w:rsid w:val="00802FD3"/>
    <w:rsid w:val="00803EC1"/>
    <w:rsid w:val="00804CC3"/>
    <w:rsid w:val="00805202"/>
    <w:rsid w:val="00805429"/>
    <w:rsid w:val="00805544"/>
    <w:rsid w:val="00805AC2"/>
    <w:rsid w:val="00805EAB"/>
    <w:rsid w:val="00805F10"/>
    <w:rsid w:val="00805F4C"/>
    <w:rsid w:val="00806330"/>
    <w:rsid w:val="008066A0"/>
    <w:rsid w:val="00806BEA"/>
    <w:rsid w:val="0080717F"/>
    <w:rsid w:val="0081015F"/>
    <w:rsid w:val="00810183"/>
    <w:rsid w:val="00811027"/>
    <w:rsid w:val="008115C6"/>
    <w:rsid w:val="00811BEB"/>
    <w:rsid w:val="00811FF0"/>
    <w:rsid w:val="00812311"/>
    <w:rsid w:val="00812F56"/>
    <w:rsid w:val="00812FAB"/>
    <w:rsid w:val="00813F16"/>
    <w:rsid w:val="008148B4"/>
    <w:rsid w:val="008151BD"/>
    <w:rsid w:val="008165FA"/>
    <w:rsid w:val="00820098"/>
    <w:rsid w:val="0082012F"/>
    <w:rsid w:val="0082080F"/>
    <w:rsid w:val="008221F1"/>
    <w:rsid w:val="00822DC7"/>
    <w:rsid w:val="008231A0"/>
    <w:rsid w:val="00823395"/>
    <w:rsid w:val="00823E44"/>
    <w:rsid w:val="008247F8"/>
    <w:rsid w:val="00825185"/>
    <w:rsid w:val="00825861"/>
    <w:rsid w:val="0082625A"/>
    <w:rsid w:val="008262C0"/>
    <w:rsid w:val="0082662F"/>
    <w:rsid w:val="008266B4"/>
    <w:rsid w:val="00826CE5"/>
    <w:rsid w:val="00826D90"/>
    <w:rsid w:val="00826ED0"/>
    <w:rsid w:val="008306FC"/>
    <w:rsid w:val="008314BE"/>
    <w:rsid w:val="008317E5"/>
    <w:rsid w:val="00831917"/>
    <w:rsid w:val="00831928"/>
    <w:rsid w:val="008320E3"/>
    <w:rsid w:val="0083210C"/>
    <w:rsid w:val="00832446"/>
    <w:rsid w:val="0083291C"/>
    <w:rsid w:val="00832AF8"/>
    <w:rsid w:val="00832D2B"/>
    <w:rsid w:val="00832D95"/>
    <w:rsid w:val="008336E6"/>
    <w:rsid w:val="008344B1"/>
    <w:rsid w:val="00834A7D"/>
    <w:rsid w:val="00835046"/>
    <w:rsid w:val="008355DD"/>
    <w:rsid w:val="00835AD1"/>
    <w:rsid w:val="00836EEC"/>
    <w:rsid w:val="00837440"/>
    <w:rsid w:val="008378E2"/>
    <w:rsid w:val="00837A89"/>
    <w:rsid w:val="00840563"/>
    <w:rsid w:val="008407E2"/>
    <w:rsid w:val="00840A34"/>
    <w:rsid w:val="00840B5A"/>
    <w:rsid w:val="0084173C"/>
    <w:rsid w:val="00841D19"/>
    <w:rsid w:val="00841E9A"/>
    <w:rsid w:val="0084225D"/>
    <w:rsid w:val="008430CB"/>
    <w:rsid w:val="008434C3"/>
    <w:rsid w:val="008434DE"/>
    <w:rsid w:val="00843AFF"/>
    <w:rsid w:val="00843B2D"/>
    <w:rsid w:val="00843B47"/>
    <w:rsid w:val="00843F7D"/>
    <w:rsid w:val="00844B1C"/>
    <w:rsid w:val="00844B33"/>
    <w:rsid w:val="00844C46"/>
    <w:rsid w:val="00844F94"/>
    <w:rsid w:val="00845819"/>
    <w:rsid w:val="00845DF8"/>
    <w:rsid w:val="0084627E"/>
    <w:rsid w:val="0084734A"/>
    <w:rsid w:val="008477AD"/>
    <w:rsid w:val="00847E28"/>
    <w:rsid w:val="00850184"/>
    <w:rsid w:val="00850A56"/>
    <w:rsid w:val="00850AAA"/>
    <w:rsid w:val="0085117A"/>
    <w:rsid w:val="008513C9"/>
    <w:rsid w:val="008515E3"/>
    <w:rsid w:val="0085175F"/>
    <w:rsid w:val="00852065"/>
    <w:rsid w:val="008522C4"/>
    <w:rsid w:val="00852338"/>
    <w:rsid w:val="00852E4E"/>
    <w:rsid w:val="00852E71"/>
    <w:rsid w:val="00853339"/>
    <w:rsid w:val="008536DC"/>
    <w:rsid w:val="00854074"/>
    <w:rsid w:val="008541CD"/>
    <w:rsid w:val="008544B7"/>
    <w:rsid w:val="00860108"/>
    <w:rsid w:val="00860357"/>
    <w:rsid w:val="00860E38"/>
    <w:rsid w:val="00860E59"/>
    <w:rsid w:val="0086109A"/>
    <w:rsid w:val="00861577"/>
    <w:rsid w:val="00861C04"/>
    <w:rsid w:val="00861F28"/>
    <w:rsid w:val="00861F73"/>
    <w:rsid w:val="008624D0"/>
    <w:rsid w:val="00863319"/>
    <w:rsid w:val="00863DC5"/>
    <w:rsid w:val="00864D2C"/>
    <w:rsid w:val="00865006"/>
    <w:rsid w:val="00865917"/>
    <w:rsid w:val="00865A2F"/>
    <w:rsid w:val="008671A4"/>
    <w:rsid w:val="00867BCA"/>
    <w:rsid w:val="00870351"/>
    <w:rsid w:val="00870408"/>
    <w:rsid w:val="00870EA2"/>
    <w:rsid w:val="00870F9C"/>
    <w:rsid w:val="00871826"/>
    <w:rsid w:val="008724C7"/>
    <w:rsid w:val="0087289B"/>
    <w:rsid w:val="0087298F"/>
    <w:rsid w:val="00873449"/>
    <w:rsid w:val="00875343"/>
    <w:rsid w:val="00875934"/>
    <w:rsid w:val="0087595A"/>
    <w:rsid w:val="00880382"/>
    <w:rsid w:val="00880416"/>
    <w:rsid w:val="0088063F"/>
    <w:rsid w:val="00880898"/>
    <w:rsid w:val="00880C5B"/>
    <w:rsid w:val="00880DCC"/>
    <w:rsid w:val="00881BDD"/>
    <w:rsid w:val="00882398"/>
    <w:rsid w:val="00882773"/>
    <w:rsid w:val="0088285B"/>
    <w:rsid w:val="00882A16"/>
    <w:rsid w:val="00882D39"/>
    <w:rsid w:val="008830F5"/>
    <w:rsid w:val="00883872"/>
    <w:rsid w:val="00883D0E"/>
    <w:rsid w:val="00883EDA"/>
    <w:rsid w:val="0088484F"/>
    <w:rsid w:val="00884E19"/>
    <w:rsid w:val="00884F7F"/>
    <w:rsid w:val="00885730"/>
    <w:rsid w:val="008858B6"/>
    <w:rsid w:val="00885DDA"/>
    <w:rsid w:val="00886B95"/>
    <w:rsid w:val="008870D1"/>
    <w:rsid w:val="0088774D"/>
    <w:rsid w:val="00887A38"/>
    <w:rsid w:val="00887C2A"/>
    <w:rsid w:val="00887EDB"/>
    <w:rsid w:val="0089009A"/>
    <w:rsid w:val="00890123"/>
    <w:rsid w:val="008909B7"/>
    <w:rsid w:val="00891E47"/>
    <w:rsid w:val="0089252E"/>
    <w:rsid w:val="0089276B"/>
    <w:rsid w:val="00892E32"/>
    <w:rsid w:val="00893E27"/>
    <w:rsid w:val="008944B6"/>
    <w:rsid w:val="0089513D"/>
    <w:rsid w:val="00895822"/>
    <w:rsid w:val="00895AA3"/>
    <w:rsid w:val="00895CD8"/>
    <w:rsid w:val="0089613F"/>
    <w:rsid w:val="00896561"/>
    <w:rsid w:val="00896671"/>
    <w:rsid w:val="0089678D"/>
    <w:rsid w:val="008978A6"/>
    <w:rsid w:val="00897E30"/>
    <w:rsid w:val="008A0570"/>
    <w:rsid w:val="008A1A0D"/>
    <w:rsid w:val="008A2642"/>
    <w:rsid w:val="008A2E99"/>
    <w:rsid w:val="008A3A4C"/>
    <w:rsid w:val="008A3C42"/>
    <w:rsid w:val="008A3E65"/>
    <w:rsid w:val="008A4ECF"/>
    <w:rsid w:val="008A50DF"/>
    <w:rsid w:val="008A5DCA"/>
    <w:rsid w:val="008A6A15"/>
    <w:rsid w:val="008A73AC"/>
    <w:rsid w:val="008A781D"/>
    <w:rsid w:val="008A7CC1"/>
    <w:rsid w:val="008B0BE0"/>
    <w:rsid w:val="008B126F"/>
    <w:rsid w:val="008B14F3"/>
    <w:rsid w:val="008B1A4E"/>
    <w:rsid w:val="008B1FB1"/>
    <w:rsid w:val="008B2041"/>
    <w:rsid w:val="008B25FC"/>
    <w:rsid w:val="008B2FB6"/>
    <w:rsid w:val="008B3CC8"/>
    <w:rsid w:val="008B414A"/>
    <w:rsid w:val="008B4F13"/>
    <w:rsid w:val="008B5E08"/>
    <w:rsid w:val="008B611D"/>
    <w:rsid w:val="008B67E1"/>
    <w:rsid w:val="008B6BE6"/>
    <w:rsid w:val="008B7AD8"/>
    <w:rsid w:val="008B7BEE"/>
    <w:rsid w:val="008B7CF1"/>
    <w:rsid w:val="008C1079"/>
    <w:rsid w:val="008C1880"/>
    <w:rsid w:val="008C1B4A"/>
    <w:rsid w:val="008C20B4"/>
    <w:rsid w:val="008C20EF"/>
    <w:rsid w:val="008C243C"/>
    <w:rsid w:val="008C2E07"/>
    <w:rsid w:val="008C3DE4"/>
    <w:rsid w:val="008C57DA"/>
    <w:rsid w:val="008C6124"/>
    <w:rsid w:val="008C6544"/>
    <w:rsid w:val="008C6DD4"/>
    <w:rsid w:val="008C75F2"/>
    <w:rsid w:val="008C7DC8"/>
    <w:rsid w:val="008D118A"/>
    <w:rsid w:val="008D1481"/>
    <w:rsid w:val="008D1ABE"/>
    <w:rsid w:val="008D2CA0"/>
    <w:rsid w:val="008D2E3F"/>
    <w:rsid w:val="008D2EE6"/>
    <w:rsid w:val="008D319A"/>
    <w:rsid w:val="008D399E"/>
    <w:rsid w:val="008D402C"/>
    <w:rsid w:val="008D49B6"/>
    <w:rsid w:val="008D4B7E"/>
    <w:rsid w:val="008D4F5C"/>
    <w:rsid w:val="008D4FB8"/>
    <w:rsid w:val="008D590B"/>
    <w:rsid w:val="008D5A00"/>
    <w:rsid w:val="008D5C25"/>
    <w:rsid w:val="008D63B7"/>
    <w:rsid w:val="008D71CC"/>
    <w:rsid w:val="008D7DE6"/>
    <w:rsid w:val="008E01B8"/>
    <w:rsid w:val="008E045A"/>
    <w:rsid w:val="008E0597"/>
    <w:rsid w:val="008E10D0"/>
    <w:rsid w:val="008E13EA"/>
    <w:rsid w:val="008E157A"/>
    <w:rsid w:val="008E2256"/>
    <w:rsid w:val="008E2C20"/>
    <w:rsid w:val="008E2E61"/>
    <w:rsid w:val="008E2FA6"/>
    <w:rsid w:val="008E30A5"/>
    <w:rsid w:val="008E4510"/>
    <w:rsid w:val="008E4989"/>
    <w:rsid w:val="008E4B3D"/>
    <w:rsid w:val="008E4D32"/>
    <w:rsid w:val="008E5573"/>
    <w:rsid w:val="008E5B6F"/>
    <w:rsid w:val="008E66F6"/>
    <w:rsid w:val="008E6D7D"/>
    <w:rsid w:val="008E6E11"/>
    <w:rsid w:val="008E7DA6"/>
    <w:rsid w:val="008E7F95"/>
    <w:rsid w:val="008F038F"/>
    <w:rsid w:val="008F0A92"/>
    <w:rsid w:val="008F1355"/>
    <w:rsid w:val="008F1821"/>
    <w:rsid w:val="008F2018"/>
    <w:rsid w:val="008F2148"/>
    <w:rsid w:val="008F2AAC"/>
    <w:rsid w:val="008F2CB4"/>
    <w:rsid w:val="008F36E2"/>
    <w:rsid w:val="008F484D"/>
    <w:rsid w:val="008F48D8"/>
    <w:rsid w:val="008F4B42"/>
    <w:rsid w:val="008F4B66"/>
    <w:rsid w:val="008F5282"/>
    <w:rsid w:val="008F540D"/>
    <w:rsid w:val="008F6158"/>
    <w:rsid w:val="008F6A74"/>
    <w:rsid w:val="00900531"/>
    <w:rsid w:val="00900C5E"/>
    <w:rsid w:val="00900FE4"/>
    <w:rsid w:val="00901A8B"/>
    <w:rsid w:val="00902371"/>
    <w:rsid w:val="00902400"/>
    <w:rsid w:val="00902F3A"/>
    <w:rsid w:val="0090515E"/>
    <w:rsid w:val="0090602D"/>
    <w:rsid w:val="0090665C"/>
    <w:rsid w:val="00907E3A"/>
    <w:rsid w:val="0091088F"/>
    <w:rsid w:val="00910ED6"/>
    <w:rsid w:val="009111C5"/>
    <w:rsid w:val="009119A7"/>
    <w:rsid w:val="00911BEF"/>
    <w:rsid w:val="009122BA"/>
    <w:rsid w:val="009122F2"/>
    <w:rsid w:val="009123EF"/>
    <w:rsid w:val="00912BAF"/>
    <w:rsid w:val="0091346C"/>
    <w:rsid w:val="00913B1A"/>
    <w:rsid w:val="00913E2B"/>
    <w:rsid w:val="009142D2"/>
    <w:rsid w:val="009143A0"/>
    <w:rsid w:val="00914497"/>
    <w:rsid w:val="0091488C"/>
    <w:rsid w:val="00915C4C"/>
    <w:rsid w:val="00915F72"/>
    <w:rsid w:val="009161D2"/>
    <w:rsid w:val="00916389"/>
    <w:rsid w:val="00916A29"/>
    <w:rsid w:val="00916A9A"/>
    <w:rsid w:val="00916D27"/>
    <w:rsid w:val="009172E3"/>
    <w:rsid w:val="00917A86"/>
    <w:rsid w:val="00917B6F"/>
    <w:rsid w:val="00921DD1"/>
    <w:rsid w:val="0092200A"/>
    <w:rsid w:val="00922AC4"/>
    <w:rsid w:val="00923098"/>
    <w:rsid w:val="00923DAB"/>
    <w:rsid w:val="009252AE"/>
    <w:rsid w:val="00925915"/>
    <w:rsid w:val="00925B8A"/>
    <w:rsid w:val="00925EE0"/>
    <w:rsid w:val="00926122"/>
    <w:rsid w:val="00926460"/>
    <w:rsid w:val="00926A7C"/>
    <w:rsid w:val="00927634"/>
    <w:rsid w:val="009279EA"/>
    <w:rsid w:val="009304EC"/>
    <w:rsid w:val="0093091D"/>
    <w:rsid w:val="00930BE4"/>
    <w:rsid w:val="00931296"/>
    <w:rsid w:val="009319F5"/>
    <w:rsid w:val="0093282A"/>
    <w:rsid w:val="00933863"/>
    <w:rsid w:val="009347CB"/>
    <w:rsid w:val="00934FE3"/>
    <w:rsid w:val="0093527B"/>
    <w:rsid w:val="00936246"/>
    <w:rsid w:val="009362E7"/>
    <w:rsid w:val="0093631F"/>
    <w:rsid w:val="00936981"/>
    <w:rsid w:val="00936E18"/>
    <w:rsid w:val="00937A2E"/>
    <w:rsid w:val="00940513"/>
    <w:rsid w:val="009406EA"/>
    <w:rsid w:val="0094081D"/>
    <w:rsid w:val="009409EE"/>
    <w:rsid w:val="00943345"/>
    <w:rsid w:val="00943912"/>
    <w:rsid w:val="00943A03"/>
    <w:rsid w:val="00943AF7"/>
    <w:rsid w:val="00943CE4"/>
    <w:rsid w:val="0094598E"/>
    <w:rsid w:val="00945ACE"/>
    <w:rsid w:val="00945D12"/>
    <w:rsid w:val="00945D5D"/>
    <w:rsid w:val="00945FBE"/>
    <w:rsid w:val="00946751"/>
    <w:rsid w:val="00946968"/>
    <w:rsid w:val="0095050F"/>
    <w:rsid w:val="0095079F"/>
    <w:rsid w:val="00950BD0"/>
    <w:rsid w:val="00952100"/>
    <w:rsid w:val="00952738"/>
    <w:rsid w:val="009529E3"/>
    <w:rsid w:val="00952A6A"/>
    <w:rsid w:val="00953034"/>
    <w:rsid w:val="009530D2"/>
    <w:rsid w:val="009531E1"/>
    <w:rsid w:val="0095430D"/>
    <w:rsid w:val="009548D9"/>
    <w:rsid w:val="009562AD"/>
    <w:rsid w:val="0095682A"/>
    <w:rsid w:val="00956F8A"/>
    <w:rsid w:val="00956FE3"/>
    <w:rsid w:val="0095716D"/>
    <w:rsid w:val="0095744D"/>
    <w:rsid w:val="009576E6"/>
    <w:rsid w:val="00957939"/>
    <w:rsid w:val="00957A6D"/>
    <w:rsid w:val="00957C12"/>
    <w:rsid w:val="009600EF"/>
    <w:rsid w:val="00960AC3"/>
    <w:rsid w:val="00960C96"/>
    <w:rsid w:val="009613FC"/>
    <w:rsid w:val="00961A06"/>
    <w:rsid w:val="00962419"/>
    <w:rsid w:val="00963773"/>
    <w:rsid w:val="00963C7D"/>
    <w:rsid w:val="00963D22"/>
    <w:rsid w:val="00964C48"/>
    <w:rsid w:val="00965430"/>
    <w:rsid w:val="00965766"/>
    <w:rsid w:val="00966A65"/>
    <w:rsid w:val="00967ED1"/>
    <w:rsid w:val="009701CC"/>
    <w:rsid w:val="009704A7"/>
    <w:rsid w:val="00971106"/>
    <w:rsid w:val="009715A1"/>
    <w:rsid w:val="00972405"/>
    <w:rsid w:val="009724C6"/>
    <w:rsid w:val="00972A15"/>
    <w:rsid w:val="009734B9"/>
    <w:rsid w:val="0097381C"/>
    <w:rsid w:val="00974E41"/>
    <w:rsid w:val="00977212"/>
    <w:rsid w:val="0097745E"/>
    <w:rsid w:val="00977CF3"/>
    <w:rsid w:val="009813EB"/>
    <w:rsid w:val="00982275"/>
    <w:rsid w:val="009827D6"/>
    <w:rsid w:val="00983561"/>
    <w:rsid w:val="0098394B"/>
    <w:rsid w:val="00983D83"/>
    <w:rsid w:val="009843B8"/>
    <w:rsid w:val="009847F8"/>
    <w:rsid w:val="00984EDA"/>
    <w:rsid w:val="00984F09"/>
    <w:rsid w:val="00984F46"/>
    <w:rsid w:val="00985DB6"/>
    <w:rsid w:val="00985EF5"/>
    <w:rsid w:val="00986090"/>
    <w:rsid w:val="009867FE"/>
    <w:rsid w:val="00986EAC"/>
    <w:rsid w:val="0098761A"/>
    <w:rsid w:val="00987867"/>
    <w:rsid w:val="00987BF6"/>
    <w:rsid w:val="0099092A"/>
    <w:rsid w:val="00990B74"/>
    <w:rsid w:val="009910C8"/>
    <w:rsid w:val="0099123B"/>
    <w:rsid w:val="00991563"/>
    <w:rsid w:val="009916EA"/>
    <w:rsid w:val="0099187B"/>
    <w:rsid w:val="0099195B"/>
    <w:rsid w:val="00991CCE"/>
    <w:rsid w:val="00991E3F"/>
    <w:rsid w:val="009922D0"/>
    <w:rsid w:val="009927A3"/>
    <w:rsid w:val="009927D3"/>
    <w:rsid w:val="00992AF6"/>
    <w:rsid w:val="0099308D"/>
    <w:rsid w:val="00993157"/>
    <w:rsid w:val="00993B50"/>
    <w:rsid w:val="00994C18"/>
    <w:rsid w:val="0099516E"/>
    <w:rsid w:val="00995501"/>
    <w:rsid w:val="009957EB"/>
    <w:rsid w:val="00996072"/>
    <w:rsid w:val="009969EF"/>
    <w:rsid w:val="00996E65"/>
    <w:rsid w:val="00997851"/>
    <w:rsid w:val="00997A72"/>
    <w:rsid w:val="00997F70"/>
    <w:rsid w:val="009A0CAA"/>
    <w:rsid w:val="009A112B"/>
    <w:rsid w:val="009A197F"/>
    <w:rsid w:val="009A1BFB"/>
    <w:rsid w:val="009A2328"/>
    <w:rsid w:val="009A312C"/>
    <w:rsid w:val="009A3BEE"/>
    <w:rsid w:val="009A3DF6"/>
    <w:rsid w:val="009A43E0"/>
    <w:rsid w:val="009A4689"/>
    <w:rsid w:val="009A472D"/>
    <w:rsid w:val="009A4A51"/>
    <w:rsid w:val="009A4AB1"/>
    <w:rsid w:val="009A4C48"/>
    <w:rsid w:val="009A5018"/>
    <w:rsid w:val="009A50B2"/>
    <w:rsid w:val="009A527C"/>
    <w:rsid w:val="009A5513"/>
    <w:rsid w:val="009A5A66"/>
    <w:rsid w:val="009A5E3D"/>
    <w:rsid w:val="009A69B4"/>
    <w:rsid w:val="009A69DC"/>
    <w:rsid w:val="009A6B31"/>
    <w:rsid w:val="009A6F35"/>
    <w:rsid w:val="009A74D4"/>
    <w:rsid w:val="009B1744"/>
    <w:rsid w:val="009B1A1B"/>
    <w:rsid w:val="009B1EC7"/>
    <w:rsid w:val="009B2416"/>
    <w:rsid w:val="009B27A0"/>
    <w:rsid w:val="009B2DFC"/>
    <w:rsid w:val="009B335F"/>
    <w:rsid w:val="009B56B5"/>
    <w:rsid w:val="009B5813"/>
    <w:rsid w:val="009B5B45"/>
    <w:rsid w:val="009B5B5C"/>
    <w:rsid w:val="009B5D5C"/>
    <w:rsid w:val="009B5F5E"/>
    <w:rsid w:val="009B667F"/>
    <w:rsid w:val="009B6B41"/>
    <w:rsid w:val="009B72D4"/>
    <w:rsid w:val="009B72F5"/>
    <w:rsid w:val="009B72FE"/>
    <w:rsid w:val="009B7354"/>
    <w:rsid w:val="009B7633"/>
    <w:rsid w:val="009B7BF3"/>
    <w:rsid w:val="009B7C8B"/>
    <w:rsid w:val="009C1E0E"/>
    <w:rsid w:val="009C2418"/>
    <w:rsid w:val="009C3057"/>
    <w:rsid w:val="009C3299"/>
    <w:rsid w:val="009C36CE"/>
    <w:rsid w:val="009C3DF7"/>
    <w:rsid w:val="009C41A8"/>
    <w:rsid w:val="009C4D1E"/>
    <w:rsid w:val="009C5EDC"/>
    <w:rsid w:val="009C6BE0"/>
    <w:rsid w:val="009C6BED"/>
    <w:rsid w:val="009C6C62"/>
    <w:rsid w:val="009C6D90"/>
    <w:rsid w:val="009C7371"/>
    <w:rsid w:val="009D03B4"/>
    <w:rsid w:val="009D03CD"/>
    <w:rsid w:val="009D090B"/>
    <w:rsid w:val="009D097C"/>
    <w:rsid w:val="009D12B8"/>
    <w:rsid w:val="009D22F5"/>
    <w:rsid w:val="009D2897"/>
    <w:rsid w:val="009D319F"/>
    <w:rsid w:val="009D3608"/>
    <w:rsid w:val="009D3B02"/>
    <w:rsid w:val="009D4B67"/>
    <w:rsid w:val="009D4EE5"/>
    <w:rsid w:val="009D5192"/>
    <w:rsid w:val="009D541C"/>
    <w:rsid w:val="009D5F40"/>
    <w:rsid w:val="009D7707"/>
    <w:rsid w:val="009D795C"/>
    <w:rsid w:val="009D7A75"/>
    <w:rsid w:val="009D7F26"/>
    <w:rsid w:val="009E0D7F"/>
    <w:rsid w:val="009E17A2"/>
    <w:rsid w:val="009E1BA7"/>
    <w:rsid w:val="009E1DC2"/>
    <w:rsid w:val="009E25CC"/>
    <w:rsid w:val="009E2F00"/>
    <w:rsid w:val="009E33CB"/>
    <w:rsid w:val="009E4A88"/>
    <w:rsid w:val="009E5273"/>
    <w:rsid w:val="009E52D3"/>
    <w:rsid w:val="009E53C3"/>
    <w:rsid w:val="009E5634"/>
    <w:rsid w:val="009E56AC"/>
    <w:rsid w:val="009E5AE0"/>
    <w:rsid w:val="009E7190"/>
    <w:rsid w:val="009E7373"/>
    <w:rsid w:val="009E7AFB"/>
    <w:rsid w:val="009E7E5A"/>
    <w:rsid w:val="009F00FA"/>
    <w:rsid w:val="009F0107"/>
    <w:rsid w:val="009F01E4"/>
    <w:rsid w:val="009F02D1"/>
    <w:rsid w:val="009F0944"/>
    <w:rsid w:val="009F0CEC"/>
    <w:rsid w:val="009F154D"/>
    <w:rsid w:val="009F172A"/>
    <w:rsid w:val="009F22C1"/>
    <w:rsid w:val="009F2512"/>
    <w:rsid w:val="009F2765"/>
    <w:rsid w:val="009F32FD"/>
    <w:rsid w:val="009F36FF"/>
    <w:rsid w:val="009F3B96"/>
    <w:rsid w:val="009F4021"/>
    <w:rsid w:val="009F41F9"/>
    <w:rsid w:val="009F4B00"/>
    <w:rsid w:val="009F5343"/>
    <w:rsid w:val="009F5519"/>
    <w:rsid w:val="009F56FC"/>
    <w:rsid w:val="009F6433"/>
    <w:rsid w:val="009F6911"/>
    <w:rsid w:val="009F6E90"/>
    <w:rsid w:val="009F7850"/>
    <w:rsid w:val="009F79B5"/>
    <w:rsid w:val="009F7AE9"/>
    <w:rsid w:val="00A00CB5"/>
    <w:rsid w:val="00A01462"/>
    <w:rsid w:val="00A019E2"/>
    <w:rsid w:val="00A01CEB"/>
    <w:rsid w:val="00A02407"/>
    <w:rsid w:val="00A040E9"/>
    <w:rsid w:val="00A053E5"/>
    <w:rsid w:val="00A061A8"/>
    <w:rsid w:val="00A064EE"/>
    <w:rsid w:val="00A06E98"/>
    <w:rsid w:val="00A06EF8"/>
    <w:rsid w:val="00A072EC"/>
    <w:rsid w:val="00A0761D"/>
    <w:rsid w:val="00A07E97"/>
    <w:rsid w:val="00A07FD8"/>
    <w:rsid w:val="00A1139B"/>
    <w:rsid w:val="00A11531"/>
    <w:rsid w:val="00A1223B"/>
    <w:rsid w:val="00A122C7"/>
    <w:rsid w:val="00A12575"/>
    <w:rsid w:val="00A128D3"/>
    <w:rsid w:val="00A132B8"/>
    <w:rsid w:val="00A13941"/>
    <w:rsid w:val="00A14A17"/>
    <w:rsid w:val="00A14DA8"/>
    <w:rsid w:val="00A15538"/>
    <w:rsid w:val="00A157C7"/>
    <w:rsid w:val="00A157CE"/>
    <w:rsid w:val="00A15CFF"/>
    <w:rsid w:val="00A1623A"/>
    <w:rsid w:val="00A163CD"/>
    <w:rsid w:val="00A16951"/>
    <w:rsid w:val="00A16A5B"/>
    <w:rsid w:val="00A172DF"/>
    <w:rsid w:val="00A17CF4"/>
    <w:rsid w:val="00A17EA5"/>
    <w:rsid w:val="00A2065C"/>
    <w:rsid w:val="00A207DB"/>
    <w:rsid w:val="00A20944"/>
    <w:rsid w:val="00A20F94"/>
    <w:rsid w:val="00A21C4B"/>
    <w:rsid w:val="00A22C3E"/>
    <w:rsid w:val="00A22E23"/>
    <w:rsid w:val="00A22E2D"/>
    <w:rsid w:val="00A23115"/>
    <w:rsid w:val="00A233AA"/>
    <w:rsid w:val="00A25D41"/>
    <w:rsid w:val="00A2613E"/>
    <w:rsid w:val="00A26413"/>
    <w:rsid w:val="00A26620"/>
    <w:rsid w:val="00A26F7D"/>
    <w:rsid w:val="00A27125"/>
    <w:rsid w:val="00A27765"/>
    <w:rsid w:val="00A27E3A"/>
    <w:rsid w:val="00A31F9F"/>
    <w:rsid w:val="00A32466"/>
    <w:rsid w:val="00A32A75"/>
    <w:rsid w:val="00A32DC3"/>
    <w:rsid w:val="00A32F89"/>
    <w:rsid w:val="00A33664"/>
    <w:rsid w:val="00A34385"/>
    <w:rsid w:val="00A35020"/>
    <w:rsid w:val="00A3534D"/>
    <w:rsid w:val="00A355F9"/>
    <w:rsid w:val="00A35CAD"/>
    <w:rsid w:val="00A36907"/>
    <w:rsid w:val="00A36F90"/>
    <w:rsid w:val="00A379ED"/>
    <w:rsid w:val="00A37C64"/>
    <w:rsid w:val="00A37FF3"/>
    <w:rsid w:val="00A40980"/>
    <w:rsid w:val="00A40F60"/>
    <w:rsid w:val="00A421C3"/>
    <w:rsid w:val="00A42EEE"/>
    <w:rsid w:val="00A43D80"/>
    <w:rsid w:val="00A440BB"/>
    <w:rsid w:val="00A463B1"/>
    <w:rsid w:val="00A50B75"/>
    <w:rsid w:val="00A50B9D"/>
    <w:rsid w:val="00A50C54"/>
    <w:rsid w:val="00A5170D"/>
    <w:rsid w:val="00A5199E"/>
    <w:rsid w:val="00A51A18"/>
    <w:rsid w:val="00A52B65"/>
    <w:rsid w:val="00A52C90"/>
    <w:rsid w:val="00A52FF2"/>
    <w:rsid w:val="00A53081"/>
    <w:rsid w:val="00A533DD"/>
    <w:rsid w:val="00A53DCA"/>
    <w:rsid w:val="00A53F4B"/>
    <w:rsid w:val="00A542BD"/>
    <w:rsid w:val="00A552F5"/>
    <w:rsid w:val="00A55BBD"/>
    <w:rsid w:val="00A564A4"/>
    <w:rsid w:val="00A56E2D"/>
    <w:rsid w:val="00A5702E"/>
    <w:rsid w:val="00A57CD5"/>
    <w:rsid w:val="00A57F80"/>
    <w:rsid w:val="00A60990"/>
    <w:rsid w:val="00A6131B"/>
    <w:rsid w:val="00A6160E"/>
    <w:rsid w:val="00A61972"/>
    <w:rsid w:val="00A62472"/>
    <w:rsid w:val="00A62625"/>
    <w:rsid w:val="00A62AF6"/>
    <w:rsid w:val="00A630A5"/>
    <w:rsid w:val="00A631FD"/>
    <w:rsid w:val="00A6362B"/>
    <w:rsid w:val="00A63DE8"/>
    <w:rsid w:val="00A64022"/>
    <w:rsid w:val="00A64363"/>
    <w:rsid w:val="00A64A98"/>
    <w:rsid w:val="00A64E99"/>
    <w:rsid w:val="00A662A2"/>
    <w:rsid w:val="00A663E3"/>
    <w:rsid w:val="00A67059"/>
    <w:rsid w:val="00A671BC"/>
    <w:rsid w:val="00A700BC"/>
    <w:rsid w:val="00A70626"/>
    <w:rsid w:val="00A712A0"/>
    <w:rsid w:val="00A71F10"/>
    <w:rsid w:val="00A71F64"/>
    <w:rsid w:val="00A72434"/>
    <w:rsid w:val="00A7286A"/>
    <w:rsid w:val="00A7304F"/>
    <w:rsid w:val="00A7343D"/>
    <w:rsid w:val="00A73933"/>
    <w:rsid w:val="00A75C09"/>
    <w:rsid w:val="00A7609F"/>
    <w:rsid w:val="00A76C38"/>
    <w:rsid w:val="00A774E1"/>
    <w:rsid w:val="00A811EB"/>
    <w:rsid w:val="00A82022"/>
    <w:rsid w:val="00A82F99"/>
    <w:rsid w:val="00A839F2"/>
    <w:rsid w:val="00A842AE"/>
    <w:rsid w:val="00A852C6"/>
    <w:rsid w:val="00A85575"/>
    <w:rsid w:val="00A865AC"/>
    <w:rsid w:val="00A8695C"/>
    <w:rsid w:val="00A86BA7"/>
    <w:rsid w:val="00A870A7"/>
    <w:rsid w:val="00A87283"/>
    <w:rsid w:val="00A876B0"/>
    <w:rsid w:val="00A876FC"/>
    <w:rsid w:val="00A8798C"/>
    <w:rsid w:val="00A87A0C"/>
    <w:rsid w:val="00A90489"/>
    <w:rsid w:val="00A905EB"/>
    <w:rsid w:val="00A90B6A"/>
    <w:rsid w:val="00A91380"/>
    <w:rsid w:val="00A91CE0"/>
    <w:rsid w:val="00A92AD9"/>
    <w:rsid w:val="00A92B2E"/>
    <w:rsid w:val="00A92CB5"/>
    <w:rsid w:val="00A92DE0"/>
    <w:rsid w:val="00A9349E"/>
    <w:rsid w:val="00A941A8"/>
    <w:rsid w:val="00A9488B"/>
    <w:rsid w:val="00A94C48"/>
    <w:rsid w:val="00A95C58"/>
    <w:rsid w:val="00A96BDF"/>
    <w:rsid w:val="00A970B3"/>
    <w:rsid w:val="00A97FAA"/>
    <w:rsid w:val="00AA1A77"/>
    <w:rsid w:val="00AA1FE9"/>
    <w:rsid w:val="00AA21CB"/>
    <w:rsid w:val="00AA2228"/>
    <w:rsid w:val="00AA32DE"/>
    <w:rsid w:val="00AA3934"/>
    <w:rsid w:val="00AA3EF8"/>
    <w:rsid w:val="00AA472B"/>
    <w:rsid w:val="00AA4AB4"/>
    <w:rsid w:val="00AA4BA5"/>
    <w:rsid w:val="00AA5728"/>
    <w:rsid w:val="00AA5CD0"/>
    <w:rsid w:val="00AA5D0A"/>
    <w:rsid w:val="00AA62A8"/>
    <w:rsid w:val="00AA644B"/>
    <w:rsid w:val="00AA6ACE"/>
    <w:rsid w:val="00AA7340"/>
    <w:rsid w:val="00AB00B8"/>
    <w:rsid w:val="00AB0809"/>
    <w:rsid w:val="00AB1685"/>
    <w:rsid w:val="00AB29F3"/>
    <w:rsid w:val="00AB3923"/>
    <w:rsid w:val="00AB3DC3"/>
    <w:rsid w:val="00AB420F"/>
    <w:rsid w:val="00AB579B"/>
    <w:rsid w:val="00AB5BB5"/>
    <w:rsid w:val="00AB623E"/>
    <w:rsid w:val="00AB6387"/>
    <w:rsid w:val="00AB6C4A"/>
    <w:rsid w:val="00AB7195"/>
    <w:rsid w:val="00AB71BF"/>
    <w:rsid w:val="00AB7607"/>
    <w:rsid w:val="00AB79B6"/>
    <w:rsid w:val="00AC0434"/>
    <w:rsid w:val="00AC05E4"/>
    <w:rsid w:val="00AC0975"/>
    <w:rsid w:val="00AC0F92"/>
    <w:rsid w:val="00AC19AE"/>
    <w:rsid w:val="00AC2443"/>
    <w:rsid w:val="00AC3D7B"/>
    <w:rsid w:val="00AC400D"/>
    <w:rsid w:val="00AC4105"/>
    <w:rsid w:val="00AC4B0A"/>
    <w:rsid w:val="00AC4FD2"/>
    <w:rsid w:val="00AC5961"/>
    <w:rsid w:val="00AC5F62"/>
    <w:rsid w:val="00AC7271"/>
    <w:rsid w:val="00AD0870"/>
    <w:rsid w:val="00AD14FB"/>
    <w:rsid w:val="00AD18F0"/>
    <w:rsid w:val="00AD1AB1"/>
    <w:rsid w:val="00AD1CDB"/>
    <w:rsid w:val="00AD259C"/>
    <w:rsid w:val="00AD2973"/>
    <w:rsid w:val="00AD3127"/>
    <w:rsid w:val="00AD3575"/>
    <w:rsid w:val="00AD3D5B"/>
    <w:rsid w:val="00AD3D74"/>
    <w:rsid w:val="00AD47FB"/>
    <w:rsid w:val="00AD4FAF"/>
    <w:rsid w:val="00AD5655"/>
    <w:rsid w:val="00AD6215"/>
    <w:rsid w:val="00AD6526"/>
    <w:rsid w:val="00AD6656"/>
    <w:rsid w:val="00AE04F3"/>
    <w:rsid w:val="00AE133E"/>
    <w:rsid w:val="00AE1E94"/>
    <w:rsid w:val="00AE35A2"/>
    <w:rsid w:val="00AE3EFC"/>
    <w:rsid w:val="00AE43ED"/>
    <w:rsid w:val="00AE44D0"/>
    <w:rsid w:val="00AE51D0"/>
    <w:rsid w:val="00AE52FC"/>
    <w:rsid w:val="00AE597C"/>
    <w:rsid w:val="00AE6711"/>
    <w:rsid w:val="00AE6A74"/>
    <w:rsid w:val="00AE7939"/>
    <w:rsid w:val="00AE7976"/>
    <w:rsid w:val="00AE7FE2"/>
    <w:rsid w:val="00AF10E9"/>
    <w:rsid w:val="00AF11D7"/>
    <w:rsid w:val="00AF1FA0"/>
    <w:rsid w:val="00AF2203"/>
    <w:rsid w:val="00AF39D9"/>
    <w:rsid w:val="00AF4D45"/>
    <w:rsid w:val="00AF4F3B"/>
    <w:rsid w:val="00AF5246"/>
    <w:rsid w:val="00AF5C7E"/>
    <w:rsid w:val="00AF5F47"/>
    <w:rsid w:val="00AF6896"/>
    <w:rsid w:val="00AF754D"/>
    <w:rsid w:val="00AF76DD"/>
    <w:rsid w:val="00AF7787"/>
    <w:rsid w:val="00AF7EC5"/>
    <w:rsid w:val="00B00108"/>
    <w:rsid w:val="00B0037C"/>
    <w:rsid w:val="00B01082"/>
    <w:rsid w:val="00B011BF"/>
    <w:rsid w:val="00B01969"/>
    <w:rsid w:val="00B0269B"/>
    <w:rsid w:val="00B02B0F"/>
    <w:rsid w:val="00B0318C"/>
    <w:rsid w:val="00B0411B"/>
    <w:rsid w:val="00B04210"/>
    <w:rsid w:val="00B04BE9"/>
    <w:rsid w:val="00B04EFE"/>
    <w:rsid w:val="00B04F25"/>
    <w:rsid w:val="00B053EF"/>
    <w:rsid w:val="00B0585B"/>
    <w:rsid w:val="00B064AA"/>
    <w:rsid w:val="00B06B99"/>
    <w:rsid w:val="00B06C83"/>
    <w:rsid w:val="00B07454"/>
    <w:rsid w:val="00B103E1"/>
    <w:rsid w:val="00B10AE8"/>
    <w:rsid w:val="00B10DB3"/>
    <w:rsid w:val="00B113A8"/>
    <w:rsid w:val="00B11D49"/>
    <w:rsid w:val="00B12902"/>
    <w:rsid w:val="00B12DE0"/>
    <w:rsid w:val="00B13027"/>
    <w:rsid w:val="00B13D73"/>
    <w:rsid w:val="00B14B49"/>
    <w:rsid w:val="00B14EFF"/>
    <w:rsid w:val="00B1527A"/>
    <w:rsid w:val="00B156A9"/>
    <w:rsid w:val="00B15A46"/>
    <w:rsid w:val="00B15BBD"/>
    <w:rsid w:val="00B15CD0"/>
    <w:rsid w:val="00B16508"/>
    <w:rsid w:val="00B16977"/>
    <w:rsid w:val="00B17FE9"/>
    <w:rsid w:val="00B201FA"/>
    <w:rsid w:val="00B21123"/>
    <w:rsid w:val="00B2150B"/>
    <w:rsid w:val="00B21DB5"/>
    <w:rsid w:val="00B224A6"/>
    <w:rsid w:val="00B22768"/>
    <w:rsid w:val="00B23038"/>
    <w:rsid w:val="00B2316F"/>
    <w:rsid w:val="00B23335"/>
    <w:rsid w:val="00B239EB"/>
    <w:rsid w:val="00B23E8C"/>
    <w:rsid w:val="00B243A2"/>
    <w:rsid w:val="00B24572"/>
    <w:rsid w:val="00B24641"/>
    <w:rsid w:val="00B24E69"/>
    <w:rsid w:val="00B25B82"/>
    <w:rsid w:val="00B26A19"/>
    <w:rsid w:val="00B27670"/>
    <w:rsid w:val="00B2771B"/>
    <w:rsid w:val="00B307B1"/>
    <w:rsid w:val="00B30AE2"/>
    <w:rsid w:val="00B30FE5"/>
    <w:rsid w:val="00B31765"/>
    <w:rsid w:val="00B31CC1"/>
    <w:rsid w:val="00B32715"/>
    <w:rsid w:val="00B32C90"/>
    <w:rsid w:val="00B333CA"/>
    <w:rsid w:val="00B333EF"/>
    <w:rsid w:val="00B35021"/>
    <w:rsid w:val="00B35034"/>
    <w:rsid w:val="00B35278"/>
    <w:rsid w:val="00B35F2F"/>
    <w:rsid w:val="00B36F09"/>
    <w:rsid w:val="00B376DB"/>
    <w:rsid w:val="00B37D72"/>
    <w:rsid w:val="00B4110E"/>
    <w:rsid w:val="00B413C9"/>
    <w:rsid w:val="00B420ED"/>
    <w:rsid w:val="00B423A3"/>
    <w:rsid w:val="00B42C01"/>
    <w:rsid w:val="00B42C5D"/>
    <w:rsid w:val="00B43023"/>
    <w:rsid w:val="00B432FD"/>
    <w:rsid w:val="00B437C6"/>
    <w:rsid w:val="00B44A67"/>
    <w:rsid w:val="00B44F23"/>
    <w:rsid w:val="00B451AA"/>
    <w:rsid w:val="00B4530F"/>
    <w:rsid w:val="00B45430"/>
    <w:rsid w:val="00B4543B"/>
    <w:rsid w:val="00B4720C"/>
    <w:rsid w:val="00B47B84"/>
    <w:rsid w:val="00B47CEC"/>
    <w:rsid w:val="00B50969"/>
    <w:rsid w:val="00B51762"/>
    <w:rsid w:val="00B521C1"/>
    <w:rsid w:val="00B524BE"/>
    <w:rsid w:val="00B524E3"/>
    <w:rsid w:val="00B52F7B"/>
    <w:rsid w:val="00B539D5"/>
    <w:rsid w:val="00B53BB7"/>
    <w:rsid w:val="00B54583"/>
    <w:rsid w:val="00B545F5"/>
    <w:rsid w:val="00B54863"/>
    <w:rsid w:val="00B54BD4"/>
    <w:rsid w:val="00B54E0A"/>
    <w:rsid w:val="00B55711"/>
    <w:rsid w:val="00B55829"/>
    <w:rsid w:val="00B56CC2"/>
    <w:rsid w:val="00B57C8E"/>
    <w:rsid w:val="00B57E87"/>
    <w:rsid w:val="00B605F4"/>
    <w:rsid w:val="00B60AC9"/>
    <w:rsid w:val="00B61637"/>
    <w:rsid w:val="00B61981"/>
    <w:rsid w:val="00B62359"/>
    <w:rsid w:val="00B627B3"/>
    <w:rsid w:val="00B62DF3"/>
    <w:rsid w:val="00B63407"/>
    <w:rsid w:val="00B637CA"/>
    <w:rsid w:val="00B637F3"/>
    <w:rsid w:val="00B65752"/>
    <w:rsid w:val="00B65BFB"/>
    <w:rsid w:val="00B6648F"/>
    <w:rsid w:val="00B67CB8"/>
    <w:rsid w:val="00B707E0"/>
    <w:rsid w:val="00B70B2E"/>
    <w:rsid w:val="00B70BA0"/>
    <w:rsid w:val="00B70F80"/>
    <w:rsid w:val="00B71938"/>
    <w:rsid w:val="00B71C26"/>
    <w:rsid w:val="00B72C20"/>
    <w:rsid w:val="00B73140"/>
    <w:rsid w:val="00B735B1"/>
    <w:rsid w:val="00B735C9"/>
    <w:rsid w:val="00B73669"/>
    <w:rsid w:val="00B73BD0"/>
    <w:rsid w:val="00B74CA2"/>
    <w:rsid w:val="00B75554"/>
    <w:rsid w:val="00B755EC"/>
    <w:rsid w:val="00B75A73"/>
    <w:rsid w:val="00B75B72"/>
    <w:rsid w:val="00B75F22"/>
    <w:rsid w:val="00B75FDD"/>
    <w:rsid w:val="00B76551"/>
    <w:rsid w:val="00B770AB"/>
    <w:rsid w:val="00B779BC"/>
    <w:rsid w:val="00B77EC8"/>
    <w:rsid w:val="00B80015"/>
    <w:rsid w:val="00B806B1"/>
    <w:rsid w:val="00B81AB8"/>
    <w:rsid w:val="00B81CBF"/>
    <w:rsid w:val="00B82260"/>
    <w:rsid w:val="00B822B3"/>
    <w:rsid w:val="00B82463"/>
    <w:rsid w:val="00B82858"/>
    <w:rsid w:val="00B82909"/>
    <w:rsid w:val="00B82A00"/>
    <w:rsid w:val="00B82C40"/>
    <w:rsid w:val="00B836CF"/>
    <w:rsid w:val="00B83E30"/>
    <w:rsid w:val="00B83E97"/>
    <w:rsid w:val="00B83EB1"/>
    <w:rsid w:val="00B84995"/>
    <w:rsid w:val="00B84AF8"/>
    <w:rsid w:val="00B84E7F"/>
    <w:rsid w:val="00B84EE5"/>
    <w:rsid w:val="00B85847"/>
    <w:rsid w:val="00B90012"/>
    <w:rsid w:val="00B903B4"/>
    <w:rsid w:val="00B904BF"/>
    <w:rsid w:val="00B90961"/>
    <w:rsid w:val="00B91AC7"/>
    <w:rsid w:val="00B91B61"/>
    <w:rsid w:val="00B91DDF"/>
    <w:rsid w:val="00B9347F"/>
    <w:rsid w:val="00B946AE"/>
    <w:rsid w:val="00B951BA"/>
    <w:rsid w:val="00B95773"/>
    <w:rsid w:val="00B95F10"/>
    <w:rsid w:val="00B95F4B"/>
    <w:rsid w:val="00B968FB"/>
    <w:rsid w:val="00B96C66"/>
    <w:rsid w:val="00B97085"/>
    <w:rsid w:val="00B97402"/>
    <w:rsid w:val="00B975FC"/>
    <w:rsid w:val="00BA110B"/>
    <w:rsid w:val="00BA1372"/>
    <w:rsid w:val="00BA15D7"/>
    <w:rsid w:val="00BA1BB5"/>
    <w:rsid w:val="00BA2C47"/>
    <w:rsid w:val="00BA2E51"/>
    <w:rsid w:val="00BA35D2"/>
    <w:rsid w:val="00BA397F"/>
    <w:rsid w:val="00BA43AE"/>
    <w:rsid w:val="00BA447A"/>
    <w:rsid w:val="00BA4AC7"/>
    <w:rsid w:val="00BA4E73"/>
    <w:rsid w:val="00BA64DD"/>
    <w:rsid w:val="00BA68B6"/>
    <w:rsid w:val="00BA69AE"/>
    <w:rsid w:val="00BA6E1A"/>
    <w:rsid w:val="00BA72E2"/>
    <w:rsid w:val="00BB05BA"/>
    <w:rsid w:val="00BB0741"/>
    <w:rsid w:val="00BB0F3D"/>
    <w:rsid w:val="00BB182D"/>
    <w:rsid w:val="00BB1C21"/>
    <w:rsid w:val="00BB1E99"/>
    <w:rsid w:val="00BB3349"/>
    <w:rsid w:val="00BB3761"/>
    <w:rsid w:val="00BB37DF"/>
    <w:rsid w:val="00BB384B"/>
    <w:rsid w:val="00BB3D35"/>
    <w:rsid w:val="00BB3FB7"/>
    <w:rsid w:val="00BB43D8"/>
    <w:rsid w:val="00BB46EE"/>
    <w:rsid w:val="00BB4A62"/>
    <w:rsid w:val="00BB4F21"/>
    <w:rsid w:val="00BB5478"/>
    <w:rsid w:val="00BB5516"/>
    <w:rsid w:val="00BB6B92"/>
    <w:rsid w:val="00BB7050"/>
    <w:rsid w:val="00BC08BD"/>
    <w:rsid w:val="00BC0955"/>
    <w:rsid w:val="00BC1A9C"/>
    <w:rsid w:val="00BC20EC"/>
    <w:rsid w:val="00BC2E69"/>
    <w:rsid w:val="00BC2E88"/>
    <w:rsid w:val="00BC3598"/>
    <w:rsid w:val="00BC3BEF"/>
    <w:rsid w:val="00BC4098"/>
    <w:rsid w:val="00BC44EC"/>
    <w:rsid w:val="00BC4B61"/>
    <w:rsid w:val="00BC67B9"/>
    <w:rsid w:val="00BC792F"/>
    <w:rsid w:val="00BC7C7F"/>
    <w:rsid w:val="00BD0616"/>
    <w:rsid w:val="00BD07C5"/>
    <w:rsid w:val="00BD07FE"/>
    <w:rsid w:val="00BD09F4"/>
    <w:rsid w:val="00BD0A47"/>
    <w:rsid w:val="00BD1407"/>
    <w:rsid w:val="00BD1A4E"/>
    <w:rsid w:val="00BD23C3"/>
    <w:rsid w:val="00BD29EF"/>
    <w:rsid w:val="00BD2A38"/>
    <w:rsid w:val="00BD2D6D"/>
    <w:rsid w:val="00BD308F"/>
    <w:rsid w:val="00BD319D"/>
    <w:rsid w:val="00BD468C"/>
    <w:rsid w:val="00BD4CCC"/>
    <w:rsid w:val="00BD52C1"/>
    <w:rsid w:val="00BD55DC"/>
    <w:rsid w:val="00BD5A19"/>
    <w:rsid w:val="00BD613F"/>
    <w:rsid w:val="00BD64C8"/>
    <w:rsid w:val="00BD69AD"/>
    <w:rsid w:val="00BD6DD3"/>
    <w:rsid w:val="00BD769D"/>
    <w:rsid w:val="00BE189A"/>
    <w:rsid w:val="00BE19EB"/>
    <w:rsid w:val="00BE1C17"/>
    <w:rsid w:val="00BE2A53"/>
    <w:rsid w:val="00BE2B87"/>
    <w:rsid w:val="00BE30B8"/>
    <w:rsid w:val="00BE3EE0"/>
    <w:rsid w:val="00BE4049"/>
    <w:rsid w:val="00BE4D14"/>
    <w:rsid w:val="00BE51A2"/>
    <w:rsid w:val="00BE56D1"/>
    <w:rsid w:val="00BE64C9"/>
    <w:rsid w:val="00BE7203"/>
    <w:rsid w:val="00BF0A8F"/>
    <w:rsid w:val="00BF1563"/>
    <w:rsid w:val="00BF1B74"/>
    <w:rsid w:val="00BF212B"/>
    <w:rsid w:val="00BF2BD6"/>
    <w:rsid w:val="00BF2E01"/>
    <w:rsid w:val="00BF2E68"/>
    <w:rsid w:val="00BF2EB8"/>
    <w:rsid w:val="00BF30A3"/>
    <w:rsid w:val="00BF35C3"/>
    <w:rsid w:val="00BF3AA4"/>
    <w:rsid w:val="00BF3F7A"/>
    <w:rsid w:val="00BF432C"/>
    <w:rsid w:val="00BF504E"/>
    <w:rsid w:val="00BF57A6"/>
    <w:rsid w:val="00BF5CDD"/>
    <w:rsid w:val="00BF6AC3"/>
    <w:rsid w:val="00BF6ACA"/>
    <w:rsid w:val="00BF71CB"/>
    <w:rsid w:val="00BF737B"/>
    <w:rsid w:val="00C00226"/>
    <w:rsid w:val="00C01110"/>
    <w:rsid w:val="00C018B7"/>
    <w:rsid w:val="00C018DE"/>
    <w:rsid w:val="00C01996"/>
    <w:rsid w:val="00C01AE2"/>
    <w:rsid w:val="00C02CBA"/>
    <w:rsid w:val="00C02E7F"/>
    <w:rsid w:val="00C02EFA"/>
    <w:rsid w:val="00C0438F"/>
    <w:rsid w:val="00C04A8C"/>
    <w:rsid w:val="00C0548B"/>
    <w:rsid w:val="00C05DAF"/>
    <w:rsid w:val="00C05EC8"/>
    <w:rsid w:val="00C05EFA"/>
    <w:rsid w:val="00C07123"/>
    <w:rsid w:val="00C07825"/>
    <w:rsid w:val="00C10E26"/>
    <w:rsid w:val="00C12D2E"/>
    <w:rsid w:val="00C1312D"/>
    <w:rsid w:val="00C1315B"/>
    <w:rsid w:val="00C13585"/>
    <w:rsid w:val="00C14CB6"/>
    <w:rsid w:val="00C15085"/>
    <w:rsid w:val="00C15643"/>
    <w:rsid w:val="00C15B19"/>
    <w:rsid w:val="00C162EF"/>
    <w:rsid w:val="00C16391"/>
    <w:rsid w:val="00C168BA"/>
    <w:rsid w:val="00C168E1"/>
    <w:rsid w:val="00C17A38"/>
    <w:rsid w:val="00C20A17"/>
    <w:rsid w:val="00C20B2B"/>
    <w:rsid w:val="00C211B4"/>
    <w:rsid w:val="00C21974"/>
    <w:rsid w:val="00C21B42"/>
    <w:rsid w:val="00C21E62"/>
    <w:rsid w:val="00C2227E"/>
    <w:rsid w:val="00C22DAF"/>
    <w:rsid w:val="00C22F28"/>
    <w:rsid w:val="00C2374B"/>
    <w:rsid w:val="00C23BF2"/>
    <w:rsid w:val="00C23CFE"/>
    <w:rsid w:val="00C24949"/>
    <w:rsid w:val="00C24B94"/>
    <w:rsid w:val="00C24CED"/>
    <w:rsid w:val="00C256B6"/>
    <w:rsid w:val="00C26590"/>
    <w:rsid w:val="00C26F75"/>
    <w:rsid w:val="00C30171"/>
    <w:rsid w:val="00C304E4"/>
    <w:rsid w:val="00C309C7"/>
    <w:rsid w:val="00C30AE5"/>
    <w:rsid w:val="00C31023"/>
    <w:rsid w:val="00C31987"/>
    <w:rsid w:val="00C31CD5"/>
    <w:rsid w:val="00C31E70"/>
    <w:rsid w:val="00C32852"/>
    <w:rsid w:val="00C32E4C"/>
    <w:rsid w:val="00C331BF"/>
    <w:rsid w:val="00C337E2"/>
    <w:rsid w:val="00C33943"/>
    <w:rsid w:val="00C34C02"/>
    <w:rsid w:val="00C34DBB"/>
    <w:rsid w:val="00C35BC4"/>
    <w:rsid w:val="00C35E51"/>
    <w:rsid w:val="00C3606D"/>
    <w:rsid w:val="00C3642D"/>
    <w:rsid w:val="00C36891"/>
    <w:rsid w:val="00C37623"/>
    <w:rsid w:val="00C37FA6"/>
    <w:rsid w:val="00C400D5"/>
    <w:rsid w:val="00C40396"/>
    <w:rsid w:val="00C4091B"/>
    <w:rsid w:val="00C40AD1"/>
    <w:rsid w:val="00C414E6"/>
    <w:rsid w:val="00C41EED"/>
    <w:rsid w:val="00C41FE6"/>
    <w:rsid w:val="00C425D2"/>
    <w:rsid w:val="00C42C6F"/>
    <w:rsid w:val="00C435AC"/>
    <w:rsid w:val="00C4380C"/>
    <w:rsid w:val="00C43F20"/>
    <w:rsid w:val="00C43F7A"/>
    <w:rsid w:val="00C44422"/>
    <w:rsid w:val="00C456C1"/>
    <w:rsid w:val="00C45997"/>
    <w:rsid w:val="00C45A1B"/>
    <w:rsid w:val="00C46657"/>
    <w:rsid w:val="00C474C2"/>
    <w:rsid w:val="00C50E51"/>
    <w:rsid w:val="00C51920"/>
    <w:rsid w:val="00C527BA"/>
    <w:rsid w:val="00C52CEE"/>
    <w:rsid w:val="00C53BCD"/>
    <w:rsid w:val="00C542DB"/>
    <w:rsid w:val="00C54468"/>
    <w:rsid w:val="00C54E3D"/>
    <w:rsid w:val="00C54F92"/>
    <w:rsid w:val="00C55309"/>
    <w:rsid w:val="00C5586E"/>
    <w:rsid w:val="00C55EF8"/>
    <w:rsid w:val="00C56AD7"/>
    <w:rsid w:val="00C56B08"/>
    <w:rsid w:val="00C57200"/>
    <w:rsid w:val="00C578DC"/>
    <w:rsid w:val="00C604B9"/>
    <w:rsid w:val="00C60A3E"/>
    <w:rsid w:val="00C60B24"/>
    <w:rsid w:val="00C60D3A"/>
    <w:rsid w:val="00C6118B"/>
    <w:rsid w:val="00C6127F"/>
    <w:rsid w:val="00C612FF"/>
    <w:rsid w:val="00C615DE"/>
    <w:rsid w:val="00C6241B"/>
    <w:rsid w:val="00C62F32"/>
    <w:rsid w:val="00C63094"/>
    <w:rsid w:val="00C6389C"/>
    <w:rsid w:val="00C63A2D"/>
    <w:rsid w:val="00C63B34"/>
    <w:rsid w:val="00C64A9E"/>
    <w:rsid w:val="00C64F28"/>
    <w:rsid w:val="00C65BE4"/>
    <w:rsid w:val="00C66560"/>
    <w:rsid w:val="00C667DA"/>
    <w:rsid w:val="00C6689F"/>
    <w:rsid w:val="00C66D01"/>
    <w:rsid w:val="00C66EF7"/>
    <w:rsid w:val="00C66FCA"/>
    <w:rsid w:val="00C67318"/>
    <w:rsid w:val="00C676B3"/>
    <w:rsid w:val="00C67742"/>
    <w:rsid w:val="00C707B5"/>
    <w:rsid w:val="00C70B07"/>
    <w:rsid w:val="00C70ED9"/>
    <w:rsid w:val="00C711C4"/>
    <w:rsid w:val="00C713D6"/>
    <w:rsid w:val="00C7155B"/>
    <w:rsid w:val="00C7163A"/>
    <w:rsid w:val="00C71B1D"/>
    <w:rsid w:val="00C72997"/>
    <w:rsid w:val="00C72ADA"/>
    <w:rsid w:val="00C7371A"/>
    <w:rsid w:val="00C750D8"/>
    <w:rsid w:val="00C75719"/>
    <w:rsid w:val="00C75971"/>
    <w:rsid w:val="00C7599B"/>
    <w:rsid w:val="00C7627A"/>
    <w:rsid w:val="00C7693C"/>
    <w:rsid w:val="00C76ACA"/>
    <w:rsid w:val="00C76B3B"/>
    <w:rsid w:val="00C76C9E"/>
    <w:rsid w:val="00C77764"/>
    <w:rsid w:val="00C80AFD"/>
    <w:rsid w:val="00C80CF4"/>
    <w:rsid w:val="00C80ED8"/>
    <w:rsid w:val="00C81282"/>
    <w:rsid w:val="00C812C8"/>
    <w:rsid w:val="00C81829"/>
    <w:rsid w:val="00C818BD"/>
    <w:rsid w:val="00C81DF8"/>
    <w:rsid w:val="00C83C34"/>
    <w:rsid w:val="00C84579"/>
    <w:rsid w:val="00C848E3"/>
    <w:rsid w:val="00C84B02"/>
    <w:rsid w:val="00C84CB0"/>
    <w:rsid w:val="00C85065"/>
    <w:rsid w:val="00C851F5"/>
    <w:rsid w:val="00C852E3"/>
    <w:rsid w:val="00C85AEB"/>
    <w:rsid w:val="00C85B27"/>
    <w:rsid w:val="00C8619B"/>
    <w:rsid w:val="00C864F1"/>
    <w:rsid w:val="00C86E11"/>
    <w:rsid w:val="00C86FDB"/>
    <w:rsid w:val="00C87087"/>
    <w:rsid w:val="00C873AE"/>
    <w:rsid w:val="00C87942"/>
    <w:rsid w:val="00C87DBB"/>
    <w:rsid w:val="00C87E94"/>
    <w:rsid w:val="00C9109B"/>
    <w:rsid w:val="00C91544"/>
    <w:rsid w:val="00C9176E"/>
    <w:rsid w:val="00C92839"/>
    <w:rsid w:val="00C92E5C"/>
    <w:rsid w:val="00C936A0"/>
    <w:rsid w:val="00C93ACC"/>
    <w:rsid w:val="00C9439C"/>
    <w:rsid w:val="00C95C8C"/>
    <w:rsid w:val="00C96534"/>
    <w:rsid w:val="00C965C7"/>
    <w:rsid w:val="00C9665D"/>
    <w:rsid w:val="00C9792D"/>
    <w:rsid w:val="00C9795B"/>
    <w:rsid w:val="00C97B9D"/>
    <w:rsid w:val="00CA025B"/>
    <w:rsid w:val="00CA0B22"/>
    <w:rsid w:val="00CA10D9"/>
    <w:rsid w:val="00CA16E1"/>
    <w:rsid w:val="00CA2482"/>
    <w:rsid w:val="00CA255D"/>
    <w:rsid w:val="00CA25E2"/>
    <w:rsid w:val="00CA275E"/>
    <w:rsid w:val="00CA2893"/>
    <w:rsid w:val="00CA2E57"/>
    <w:rsid w:val="00CA2ED2"/>
    <w:rsid w:val="00CA3178"/>
    <w:rsid w:val="00CA3789"/>
    <w:rsid w:val="00CA4252"/>
    <w:rsid w:val="00CA4C59"/>
    <w:rsid w:val="00CA5C9C"/>
    <w:rsid w:val="00CA60CE"/>
    <w:rsid w:val="00CA7388"/>
    <w:rsid w:val="00CA7929"/>
    <w:rsid w:val="00CA7995"/>
    <w:rsid w:val="00CA7A35"/>
    <w:rsid w:val="00CB0376"/>
    <w:rsid w:val="00CB04FA"/>
    <w:rsid w:val="00CB08E1"/>
    <w:rsid w:val="00CB14B7"/>
    <w:rsid w:val="00CB26FC"/>
    <w:rsid w:val="00CB299A"/>
    <w:rsid w:val="00CB2F17"/>
    <w:rsid w:val="00CB3037"/>
    <w:rsid w:val="00CB32DD"/>
    <w:rsid w:val="00CB52AE"/>
    <w:rsid w:val="00CB53FF"/>
    <w:rsid w:val="00CB55B0"/>
    <w:rsid w:val="00CB58E1"/>
    <w:rsid w:val="00CB6E64"/>
    <w:rsid w:val="00CB7991"/>
    <w:rsid w:val="00CB7F37"/>
    <w:rsid w:val="00CB7FD4"/>
    <w:rsid w:val="00CC050A"/>
    <w:rsid w:val="00CC08BC"/>
    <w:rsid w:val="00CC0A63"/>
    <w:rsid w:val="00CC0B47"/>
    <w:rsid w:val="00CC0E91"/>
    <w:rsid w:val="00CC1808"/>
    <w:rsid w:val="00CC1FFF"/>
    <w:rsid w:val="00CC2F25"/>
    <w:rsid w:val="00CC405C"/>
    <w:rsid w:val="00CC417D"/>
    <w:rsid w:val="00CC465B"/>
    <w:rsid w:val="00CC50A1"/>
    <w:rsid w:val="00CC66A1"/>
    <w:rsid w:val="00CD036E"/>
    <w:rsid w:val="00CD134B"/>
    <w:rsid w:val="00CD1962"/>
    <w:rsid w:val="00CD22CF"/>
    <w:rsid w:val="00CD2AAF"/>
    <w:rsid w:val="00CD2EB7"/>
    <w:rsid w:val="00CD35E9"/>
    <w:rsid w:val="00CD387A"/>
    <w:rsid w:val="00CD3D70"/>
    <w:rsid w:val="00CD429B"/>
    <w:rsid w:val="00CD4464"/>
    <w:rsid w:val="00CD491D"/>
    <w:rsid w:val="00CD4CA9"/>
    <w:rsid w:val="00CD5B99"/>
    <w:rsid w:val="00CD6AC1"/>
    <w:rsid w:val="00CD6B35"/>
    <w:rsid w:val="00CD6BDC"/>
    <w:rsid w:val="00CD742D"/>
    <w:rsid w:val="00CD756B"/>
    <w:rsid w:val="00CE00B2"/>
    <w:rsid w:val="00CE09C8"/>
    <w:rsid w:val="00CE17FE"/>
    <w:rsid w:val="00CE1957"/>
    <w:rsid w:val="00CE2181"/>
    <w:rsid w:val="00CE276F"/>
    <w:rsid w:val="00CE27F4"/>
    <w:rsid w:val="00CE2A60"/>
    <w:rsid w:val="00CE2C77"/>
    <w:rsid w:val="00CE3E1F"/>
    <w:rsid w:val="00CE42B6"/>
    <w:rsid w:val="00CE4DD5"/>
    <w:rsid w:val="00CE5233"/>
    <w:rsid w:val="00CE5295"/>
    <w:rsid w:val="00CE52B1"/>
    <w:rsid w:val="00CE58FD"/>
    <w:rsid w:val="00CE604B"/>
    <w:rsid w:val="00CE6163"/>
    <w:rsid w:val="00CE79A2"/>
    <w:rsid w:val="00CE7B2B"/>
    <w:rsid w:val="00CF07B4"/>
    <w:rsid w:val="00CF07F9"/>
    <w:rsid w:val="00CF1461"/>
    <w:rsid w:val="00CF1518"/>
    <w:rsid w:val="00CF162D"/>
    <w:rsid w:val="00CF1ACB"/>
    <w:rsid w:val="00CF20FC"/>
    <w:rsid w:val="00CF21A9"/>
    <w:rsid w:val="00CF2212"/>
    <w:rsid w:val="00CF2A62"/>
    <w:rsid w:val="00CF2F5A"/>
    <w:rsid w:val="00CF3003"/>
    <w:rsid w:val="00CF32F9"/>
    <w:rsid w:val="00CF330C"/>
    <w:rsid w:val="00CF37C0"/>
    <w:rsid w:val="00CF4745"/>
    <w:rsid w:val="00CF4FF8"/>
    <w:rsid w:val="00CF5181"/>
    <w:rsid w:val="00CF5754"/>
    <w:rsid w:val="00CF5C23"/>
    <w:rsid w:val="00CF5D9A"/>
    <w:rsid w:val="00CF6A2E"/>
    <w:rsid w:val="00CF6D97"/>
    <w:rsid w:val="00CF7968"/>
    <w:rsid w:val="00CF7D76"/>
    <w:rsid w:val="00D004EF"/>
    <w:rsid w:val="00D00E15"/>
    <w:rsid w:val="00D022C8"/>
    <w:rsid w:val="00D0319D"/>
    <w:rsid w:val="00D03476"/>
    <w:rsid w:val="00D03498"/>
    <w:rsid w:val="00D0373A"/>
    <w:rsid w:val="00D03A4D"/>
    <w:rsid w:val="00D040C8"/>
    <w:rsid w:val="00D04420"/>
    <w:rsid w:val="00D05175"/>
    <w:rsid w:val="00D0537C"/>
    <w:rsid w:val="00D05827"/>
    <w:rsid w:val="00D05D85"/>
    <w:rsid w:val="00D061C8"/>
    <w:rsid w:val="00D0708C"/>
    <w:rsid w:val="00D070BC"/>
    <w:rsid w:val="00D074AF"/>
    <w:rsid w:val="00D10111"/>
    <w:rsid w:val="00D10842"/>
    <w:rsid w:val="00D10942"/>
    <w:rsid w:val="00D10C08"/>
    <w:rsid w:val="00D10E41"/>
    <w:rsid w:val="00D10F91"/>
    <w:rsid w:val="00D1146D"/>
    <w:rsid w:val="00D11655"/>
    <w:rsid w:val="00D11BA6"/>
    <w:rsid w:val="00D1203A"/>
    <w:rsid w:val="00D1206A"/>
    <w:rsid w:val="00D129C2"/>
    <w:rsid w:val="00D13791"/>
    <w:rsid w:val="00D138ED"/>
    <w:rsid w:val="00D13B05"/>
    <w:rsid w:val="00D140CA"/>
    <w:rsid w:val="00D14304"/>
    <w:rsid w:val="00D14357"/>
    <w:rsid w:val="00D14489"/>
    <w:rsid w:val="00D14765"/>
    <w:rsid w:val="00D1490A"/>
    <w:rsid w:val="00D14B46"/>
    <w:rsid w:val="00D1678B"/>
    <w:rsid w:val="00D16CE7"/>
    <w:rsid w:val="00D16F86"/>
    <w:rsid w:val="00D17268"/>
    <w:rsid w:val="00D205FD"/>
    <w:rsid w:val="00D208B5"/>
    <w:rsid w:val="00D21192"/>
    <w:rsid w:val="00D2140E"/>
    <w:rsid w:val="00D22E11"/>
    <w:rsid w:val="00D249F9"/>
    <w:rsid w:val="00D252C9"/>
    <w:rsid w:val="00D25F36"/>
    <w:rsid w:val="00D25FBB"/>
    <w:rsid w:val="00D2620E"/>
    <w:rsid w:val="00D264DE"/>
    <w:rsid w:val="00D2686A"/>
    <w:rsid w:val="00D27A46"/>
    <w:rsid w:val="00D300C1"/>
    <w:rsid w:val="00D30572"/>
    <w:rsid w:val="00D30D48"/>
    <w:rsid w:val="00D31045"/>
    <w:rsid w:val="00D31C4E"/>
    <w:rsid w:val="00D31F35"/>
    <w:rsid w:val="00D327BE"/>
    <w:rsid w:val="00D32C0D"/>
    <w:rsid w:val="00D33304"/>
    <w:rsid w:val="00D3344B"/>
    <w:rsid w:val="00D33BB2"/>
    <w:rsid w:val="00D33EE8"/>
    <w:rsid w:val="00D3453D"/>
    <w:rsid w:val="00D3465C"/>
    <w:rsid w:val="00D35678"/>
    <w:rsid w:val="00D35C14"/>
    <w:rsid w:val="00D35E7E"/>
    <w:rsid w:val="00D365EB"/>
    <w:rsid w:val="00D36711"/>
    <w:rsid w:val="00D36E27"/>
    <w:rsid w:val="00D40561"/>
    <w:rsid w:val="00D406F3"/>
    <w:rsid w:val="00D40979"/>
    <w:rsid w:val="00D41B83"/>
    <w:rsid w:val="00D422D7"/>
    <w:rsid w:val="00D4231E"/>
    <w:rsid w:val="00D4268E"/>
    <w:rsid w:val="00D42E2A"/>
    <w:rsid w:val="00D446EC"/>
    <w:rsid w:val="00D4490B"/>
    <w:rsid w:val="00D44EBD"/>
    <w:rsid w:val="00D4565D"/>
    <w:rsid w:val="00D45C94"/>
    <w:rsid w:val="00D45F35"/>
    <w:rsid w:val="00D461F0"/>
    <w:rsid w:val="00D46419"/>
    <w:rsid w:val="00D46F81"/>
    <w:rsid w:val="00D470E7"/>
    <w:rsid w:val="00D5008F"/>
    <w:rsid w:val="00D512B7"/>
    <w:rsid w:val="00D51314"/>
    <w:rsid w:val="00D51681"/>
    <w:rsid w:val="00D51789"/>
    <w:rsid w:val="00D51F94"/>
    <w:rsid w:val="00D524D6"/>
    <w:rsid w:val="00D525DB"/>
    <w:rsid w:val="00D52769"/>
    <w:rsid w:val="00D527CA"/>
    <w:rsid w:val="00D5320A"/>
    <w:rsid w:val="00D5341E"/>
    <w:rsid w:val="00D53C50"/>
    <w:rsid w:val="00D53DE0"/>
    <w:rsid w:val="00D54B40"/>
    <w:rsid w:val="00D54C41"/>
    <w:rsid w:val="00D5580A"/>
    <w:rsid w:val="00D55A55"/>
    <w:rsid w:val="00D55D80"/>
    <w:rsid w:val="00D55E6F"/>
    <w:rsid w:val="00D56310"/>
    <w:rsid w:val="00D57C76"/>
    <w:rsid w:val="00D609EF"/>
    <w:rsid w:val="00D60BC0"/>
    <w:rsid w:val="00D612B8"/>
    <w:rsid w:val="00D612EB"/>
    <w:rsid w:val="00D62279"/>
    <w:rsid w:val="00D63A55"/>
    <w:rsid w:val="00D63BBA"/>
    <w:rsid w:val="00D63EE7"/>
    <w:rsid w:val="00D646C6"/>
    <w:rsid w:val="00D64B63"/>
    <w:rsid w:val="00D64EAF"/>
    <w:rsid w:val="00D654C1"/>
    <w:rsid w:val="00D66E55"/>
    <w:rsid w:val="00D6724B"/>
    <w:rsid w:val="00D70260"/>
    <w:rsid w:val="00D70739"/>
    <w:rsid w:val="00D70A16"/>
    <w:rsid w:val="00D70AAA"/>
    <w:rsid w:val="00D71E71"/>
    <w:rsid w:val="00D723BA"/>
    <w:rsid w:val="00D72886"/>
    <w:rsid w:val="00D72888"/>
    <w:rsid w:val="00D7296A"/>
    <w:rsid w:val="00D729F1"/>
    <w:rsid w:val="00D72C07"/>
    <w:rsid w:val="00D72F3B"/>
    <w:rsid w:val="00D730EE"/>
    <w:rsid w:val="00D7387E"/>
    <w:rsid w:val="00D73A1B"/>
    <w:rsid w:val="00D73AC5"/>
    <w:rsid w:val="00D73CC6"/>
    <w:rsid w:val="00D73D6E"/>
    <w:rsid w:val="00D746F8"/>
    <w:rsid w:val="00D7497D"/>
    <w:rsid w:val="00D75BB5"/>
    <w:rsid w:val="00D776FF"/>
    <w:rsid w:val="00D77B3C"/>
    <w:rsid w:val="00D77C58"/>
    <w:rsid w:val="00D77C9A"/>
    <w:rsid w:val="00D80396"/>
    <w:rsid w:val="00D81125"/>
    <w:rsid w:val="00D835E2"/>
    <w:rsid w:val="00D8370E"/>
    <w:rsid w:val="00D84050"/>
    <w:rsid w:val="00D842DD"/>
    <w:rsid w:val="00D846D3"/>
    <w:rsid w:val="00D84B2D"/>
    <w:rsid w:val="00D859DC"/>
    <w:rsid w:val="00D86F53"/>
    <w:rsid w:val="00D870E8"/>
    <w:rsid w:val="00D90ED6"/>
    <w:rsid w:val="00D913C0"/>
    <w:rsid w:val="00D91F21"/>
    <w:rsid w:val="00D92A15"/>
    <w:rsid w:val="00D92D62"/>
    <w:rsid w:val="00D92EE8"/>
    <w:rsid w:val="00D92F24"/>
    <w:rsid w:val="00D95C01"/>
    <w:rsid w:val="00D95EB0"/>
    <w:rsid w:val="00D961E3"/>
    <w:rsid w:val="00D970AF"/>
    <w:rsid w:val="00D97C6D"/>
    <w:rsid w:val="00D97EEF"/>
    <w:rsid w:val="00DA0C6A"/>
    <w:rsid w:val="00DA0E63"/>
    <w:rsid w:val="00DA0ECC"/>
    <w:rsid w:val="00DA2179"/>
    <w:rsid w:val="00DA2B23"/>
    <w:rsid w:val="00DA2D84"/>
    <w:rsid w:val="00DA36DB"/>
    <w:rsid w:val="00DA442E"/>
    <w:rsid w:val="00DA4BE3"/>
    <w:rsid w:val="00DA5F2C"/>
    <w:rsid w:val="00DA68AF"/>
    <w:rsid w:val="00DA6A99"/>
    <w:rsid w:val="00DA73D4"/>
    <w:rsid w:val="00DA742C"/>
    <w:rsid w:val="00DA79B5"/>
    <w:rsid w:val="00DB009F"/>
    <w:rsid w:val="00DB07CF"/>
    <w:rsid w:val="00DB0A29"/>
    <w:rsid w:val="00DB0C98"/>
    <w:rsid w:val="00DB1772"/>
    <w:rsid w:val="00DB1B72"/>
    <w:rsid w:val="00DB28CC"/>
    <w:rsid w:val="00DB2AD3"/>
    <w:rsid w:val="00DB2DC3"/>
    <w:rsid w:val="00DB355D"/>
    <w:rsid w:val="00DB3630"/>
    <w:rsid w:val="00DB3661"/>
    <w:rsid w:val="00DB3D82"/>
    <w:rsid w:val="00DB42E3"/>
    <w:rsid w:val="00DB4F43"/>
    <w:rsid w:val="00DB61A7"/>
    <w:rsid w:val="00DB63AD"/>
    <w:rsid w:val="00DB6759"/>
    <w:rsid w:val="00DB6849"/>
    <w:rsid w:val="00DB70FE"/>
    <w:rsid w:val="00DB7B55"/>
    <w:rsid w:val="00DB7E9C"/>
    <w:rsid w:val="00DB7F62"/>
    <w:rsid w:val="00DC0B2C"/>
    <w:rsid w:val="00DC0C50"/>
    <w:rsid w:val="00DC1CEE"/>
    <w:rsid w:val="00DC1D8A"/>
    <w:rsid w:val="00DC2594"/>
    <w:rsid w:val="00DC25C3"/>
    <w:rsid w:val="00DC2641"/>
    <w:rsid w:val="00DC2E7D"/>
    <w:rsid w:val="00DC3580"/>
    <w:rsid w:val="00DC380B"/>
    <w:rsid w:val="00DC3BB4"/>
    <w:rsid w:val="00DC522D"/>
    <w:rsid w:val="00DC57AA"/>
    <w:rsid w:val="00DC7177"/>
    <w:rsid w:val="00DC72AF"/>
    <w:rsid w:val="00DC7CF0"/>
    <w:rsid w:val="00DC7DBC"/>
    <w:rsid w:val="00DC7F87"/>
    <w:rsid w:val="00DD078F"/>
    <w:rsid w:val="00DD0FC3"/>
    <w:rsid w:val="00DD166D"/>
    <w:rsid w:val="00DD2337"/>
    <w:rsid w:val="00DD28B6"/>
    <w:rsid w:val="00DD32B9"/>
    <w:rsid w:val="00DD362C"/>
    <w:rsid w:val="00DD39F9"/>
    <w:rsid w:val="00DD3C21"/>
    <w:rsid w:val="00DD4CE4"/>
    <w:rsid w:val="00DD4CEB"/>
    <w:rsid w:val="00DD5C6B"/>
    <w:rsid w:val="00DD6233"/>
    <w:rsid w:val="00DD6723"/>
    <w:rsid w:val="00DD6936"/>
    <w:rsid w:val="00DD6DC0"/>
    <w:rsid w:val="00DD70BA"/>
    <w:rsid w:val="00DD7795"/>
    <w:rsid w:val="00DE0075"/>
    <w:rsid w:val="00DE00A4"/>
    <w:rsid w:val="00DE0133"/>
    <w:rsid w:val="00DE14BC"/>
    <w:rsid w:val="00DE2349"/>
    <w:rsid w:val="00DE23C4"/>
    <w:rsid w:val="00DE2AA5"/>
    <w:rsid w:val="00DE2DC3"/>
    <w:rsid w:val="00DE326A"/>
    <w:rsid w:val="00DE3DD2"/>
    <w:rsid w:val="00DE3E03"/>
    <w:rsid w:val="00DE58D7"/>
    <w:rsid w:val="00DE5A64"/>
    <w:rsid w:val="00DE60D6"/>
    <w:rsid w:val="00DE77E4"/>
    <w:rsid w:val="00DE7D87"/>
    <w:rsid w:val="00DE7E99"/>
    <w:rsid w:val="00DF0080"/>
    <w:rsid w:val="00DF01CF"/>
    <w:rsid w:val="00DF0A9B"/>
    <w:rsid w:val="00DF0B20"/>
    <w:rsid w:val="00DF0B66"/>
    <w:rsid w:val="00DF175E"/>
    <w:rsid w:val="00DF1DF4"/>
    <w:rsid w:val="00DF2089"/>
    <w:rsid w:val="00DF2718"/>
    <w:rsid w:val="00DF2737"/>
    <w:rsid w:val="00DF2C3E"/>
    <w:rsid w:val="00DF2D09"/>
    <w:rsid w:val="00DF2FE1"/>
    <w:rsid w:val="00DF46C6"/>
    <w:rsid w:val="00DF4B4F"/>
    <w:rsid w:val="00DF4F32"/>
    <w:rsid w:val="00DF5BF0"/>
    <w:rsid w:val="00DF6C05"/>
    <w:rsid w:val="00E0054E"/>
    <w:rsid w:val="00E011F3"/>
    <w:rsid w:val="00E0171F"/>
    <w:rsid w:val="00E01A72"/>
    <w:rsid w:val="00E02202"/>
    <w:rsid w:val="00E02649"/>
    <w:rsid w:val="00E02E8C"/>
    <w:rsid w:val="00E02F3F"/>
    <w:rsid w:val="00E0305C"/>
    <w:rsid w:val="00E03E8B"/>
    <w:rsid w:val="00E03F88"/>
    <w:rsid w:val="00E04656"/>
    <w:rsid w:val="00E0476B"/>
    <w:rsid w:val="00E05FE7"/>
    <w:rsid w:val="00E100BD"/>
    <w:rsid w:val="00E10E51"/>
    <w:rsid w:val="00E1151A"/>
    <w:rsid w:val="00E120FE"/>
    <w:rsid w:val="00E12387"/>
    <w:rsid w:val="00E12A6F"/>
    <w:rsid w:val="00E12B64"/>
    <w:rsid w:val="00E134F5"/>
    <w:rsid w:val="00E14380"/>
    <w:rsid w:val="00E1499A"/>
    <w:rsid w:val="00E14E70"/>
    <w:rsid w:val="00E1506B"/>
    <w:rsid w:val="00E15738"/>
    <w:rsid w:val="00E15C7F"/>
    <w:rsid w:val="00E161F9"/>
    <w:rsid w:val="00E17BC3"/>
    <w:rsid w:val="00E17E67"/>
    <w:rsid w:val="00E2011F"/>
    <w:rsid w:val="00E20351"/>
    <w:rsid w:val="00E20368"/>
    <w:rsid w:val="00E20FE2"/>
    <w:rsid w:val="00E210F0"/>
    <w:rsid w:val="00E212EA"/>
    <w:rsid w:val="00E22302"/>
    <w:rsid w:val="00E227B2"/>
    <w:rsid w:val="00E23BFC"/>
    <w:rsid w:val="00E248D4"/>
    <w:rsid w:val="00E24DD8"/>
    <w:rsid w:val="00E2582B"/>
    <w:rsid w:val="00E25C09"/>
    <w:rsid w:val="00E25C7D"/>
    <w:rsid w:val="00E25C99"/>
    <w:rsid w:val="00E25DCF"/>
    <w:rsid w:val="00E25FEB"/>
    <w:rsid w:val="00E2606D"/>
    <w:rsid w:val="00E2685C"/>
    <w:rsid w:val="00E26E7C"/>
    <w:rsid w:val="00E27CF4"/>
    <w:rsid w:val="00E30103"/>
    <w:rsid w:val="00E3033C"/>
    <w:rsid w:val="00E307A7"/>
    <w:rsid w:val="00E30BEA"/>
    <w:rsid w:val="00E30BF2"/>
    <w:rsid w:val="00E32482"/>
    <w:rsid w:val="00E32E3C"/>
    <w:rsid w:val="00E33ECD"/>
    <w:rsid w:val="00E3434E"/>
    <w:rsid w:val="00E34B6B"/>
    <w:rsid w:val="00E34C0A"/>
    <w:rsid w:val="00E35101"/>
    <w:rsid w:val="00E35768"/>
    <w:rsid w:val="00E361A2"/>
    <w:rsid w:val="00E36FAA"/>
    <w:rsid w:val="00E3707D"/>
    <w:rsid w:val="00E373AE"/>
    <w:rsid w:val="00E37699"/>
    <w:rsid w:val="00E401B0"/>
    <w:rsid w:val="00E40D56"/>
    <w:rsid w:val="00E421BB"/>
    <w:rsid w:val="00E42408"/>
    <w:rsid w:val="00E42710"/>
    <w:rsid w:val="00E43137"/>
    <w:rsid w:val="00E43409"/>
    <w:rsid w:val="00E43452"/>
    <w:rsid w:val="00E43872"/>
    <w:rsid w:val="00E43A80"/>
    <w:rsid w:val="00E43B42"/>
    <w:rsid w:val="00E43D07"/>
    <w:rsid w:val="00E43F22"/>
    <w:rsid w:val="00E4436B"/>
    <w:rsid w:val="00E44886"/>
    <w:rsid w:val="00E44F99"/>
    <w:rsid w:val="00E44FE8"/>
    <w:rsid w:val="00E45015"/>
    <w:rsid w:val="00E4581B"/>
    <w:rsid w:val="00E4668A"/>
    <w:rsid w:val="00E46B5B"/>
    <w:rsid w:val="00E47293"/>
    <w:rsid w:val="00E478BC"/>
    <w:rsid w:val="00E47D9B"/>
    <w:rsid w:val="00E502B3"/>
    <w:rsid w:val="00E506B5"/>
    <w:rsid w:val="00E50FA4"/>
    <w:rsid w:val="00E51881"/>
    <w:rsid w:val="00E51C4C"/>
    <w:rsid w:val="00E51DAF"/>
    <w:rsid w:val="00E522C6"/>
    <w:rsid w:val="00E5294C"/>
    <w:rsid w:val="00E53662"/>
    <w:rsid w:val="00E54325"/>
    <w:rsid w:val="00E546D8"/>
    <w:rsid w:val="00E5493E"/>
    <w:rsid w:val="00E54EAF"/>
    <w:rsid w:val="00E55D90"/>
    <w:rsid w:val="00E55FB5"/>
    <w:rsid w:val="00E5658A"/>
    <w:rsid w:val="00E56767"/>
    <w:rsid w:val="00E57D13"/>
    <w:rsid w:val="00E57E42"/>
    <w:rsid w:val="00E6126D"/>
    <w:rsid w:val="00E61B32"/>
    <w:rsid w:val="00E626E6"/>
    <w:rsid w:val="00E62E3B"/>
    <w:rsid w:val="00E63393"/>
    <w:rsid w:val="00E63DAC"/>
    <w:rsid w:val="00E63EA9"/>
    <w:rsid w:val="00E64354"/>
    <w:rsid w:val="00E65604"/>
    <w:rsid w:val="00E66651"/>
    <w:rsid w:val="00E66EC7"/>
    <w:rsid w:val="00E6736E"/>
    <w:rsid w:val="00E67781"/>
    <w:rsid w:val="00E7021A"/>
    <w:rsid w:val="00E702AB"/>
    <w:rsid w:val="00E708A4"/>
    <w:rsid w:val="00E70C2B"/>
    <w:rsid w:val="00E71253"/>
    <w:rsid w:val="00E71A1A"/>
    <w:rsid w:val="00E71BD9"/>
    <w:rsid w:val="00E71C95"/>
    <w:rsid w:val="00E71CBF"/>
    <w:rsid w:val="00E7362B"/>
    <w:rsid w:val="00E73A92"/>
    <w:rsid w:val="00E75688"/>
    <w:rsid w:val="00E75C4B"/>
    <w:rsid w:val="00E7672F"/>
    <w:rsid w:val="00E767CE"/>
    <w:rsid w:val="00E76948"/>
    <w:rsid w:val="00E801D0"/>
    <w:rsid w:val="00E8025A"/>
    <w:rsid w:val="00E814E3"/>
    <w:rsid w:val="00E8174B"/>
    <w:rsid w:val="00E8236E"/>
    <w:rsid w:val="00E82B4A"/>
    <w:rsid w:val="00E82F05"/>
    <w:rsid w:val="00E831B4"/>
    <w:rsid w:val="00E83D5D"/>
    <w:rsid w:val="00E84B0C"/>
    <w:rsid w:val="00E85AF5"/>
    <w:rsid w:val="00E85E4C"/>
    <w:rsid w:val="00E8613D"/>
    <w:rsid w:val="00E8641D"/>
    <w:rsid w:val="00E87380"/>
    <w:rsid w:val="00E87C79"/>
    <w:rsid w:val="00E87CDE"/>
    <w:rsid w:val="00E902D8"/>
    <w:rsid w:val="00E902FA"/>
    <w:rsid w:val="00E9066C"/>
    <w:rsid w:val="00E90C6F"/>
    <w:rsid w:val="00E91073"/>
    <w:rsid w:val="00E916B2"/>
    <w:rsid w:val="00E923AD"/>
    <w:rsid w:val="00E9343A"/>
    <w:rsid w:val="00E934EA"/>
    <w:rsid w:val="00E93870"/>
    <w:rsid w:val="00E939F0"/>
    <w:rsid w:val="00E93DC5"/>
    <w:rsid w:val="00E94330"/>
    <w:rsid w:val="00E94AD9"/>
    <w:rsid w:val="00E95314"/>
    <w:rsid w:val="00E95AD2"/>
    <w:rsid w:val="00E9632A"/>
    <w:rsid w:val="00E9704B"/>
    <w:rsid w:val="00E97B48"/>
    <w:rsid w:val="00E97B65"/>
    <w:rsid w:val="00EA0280"/>
    <w:rsid w:val="00EA190D"/>
    <w:rsid w:val="00EA1B1F"/>
    <w:rsid w:val="00EA1D29"/>
    <w:rsid w:val="00EA1F63"/>
    <w:rsid w:val="00EA22BA"/>
    <w:rsid w:val="00EA2343"/>
    <w:rsid w:val="00EA3E25"/>
    <w:rsid w:val="00EA3FC7"/>
    <w:rsid w:val="00EA5113"/>
    <w:rsid w:val="00EA591E"/>
    <w:rsid w:val="00EA5A74"/>
    <w:rsid w:val="00EA5B57"/>
    <w:rsid w:val="00EA6E9E"/>
    <w:rsid w:val="00EA72B8"/>
    <w:rsid w:val="00EA74EC"/>
    <w:rsid w:val="00EA75D0"/>
    <w:rsid w:val="00EA78D9"/>
    <w:rsid w:val="00EB076D"/>
    <w:rsid w:val="00EB0DF0"/>
    <w:rsid w:val="00EB13F6"/>
    <w:rsid w:val="00EB1EF4"/>
    <w:rsid w:val="00EB2D2B"/>
    <w:rsid w:val="00EB360A"/>
    <w:rsid w:val="00EB3C36"/>
    <w:rsid w:val="00EB3C76"/>
    <w:rsid w:val="00EB441B"/>
    <w:rsid w:val="00EB48B9"/>
    <w:rsid w:val="00EB519D"/>
    <w:rsid w:val="00EB53ED"/>
    <w:rsid w:val="00EB5807"/>
    <w:rsid w:val="00EB5A73"/>
    <w:rsid w:val="00EB65B2"/>
    <w:rsid w:val="00EB6E92"/>
    <w:rsid w:val="00EB7852"/>
    <w:rsid w:val="00EB7A66"/>
    <w:rsid w:val="00EB7B5E"/>
    <w:rsid w:val="00EC0D5A"/>
    <w:rsid w:val="00EC1415"/>
    <w:rsid w:val="00EC23C6"/>
    <w:rsid w:val="00EC309B"/>
    <w:rsid w:val="00EC3617"/>
    <w:rsid w:val="00EC379B"/>
    <w:rsid w:val="00EC3A43"/>
    <w:rsid w:val="00EC4084"/>
    <w:rsid w:val="00EC5009"/>
    <w:rsid w:val="00EC5152"/>
    <w:rsid w:val="00EC57EF"/>
    <w:rsid w:val="00EC587F"/>
    <w:rsid w:val="00EC5CCC"/>
    <w:rsid w:val="00EC5EA8"/>
    <w:rsid w:val="00EC62F6"/>
    <w:rsid w:val="00EC63A9"/>
    <w:rsid w:val="00EC6AC8"/>
    <w:rsid w:val="00EC6EC2"/>
    <w:rsid w:val="00EC7688"/>
    <w:rsid w:val="00EC7984"/>
    <w:rsid w:val="00ED024B"/>
    <w:rsid w:val="00ED096C"/>
    <w:rsid w:val="00ED0D60"/>
    <w:rsid w:val="00ED1E7B"/>
    <w:rsid w:val="00ED20FD"/>
    <w:rsid w:val="00ED21EA"/>
    <w:rsid w:val="00ED4713"/>
    <w:rsid w:val="00ED53EF"/>
    <w:rsid w:val="00ED5646"/>
    <w:rsid w:val="00ED5665"/>
    <w:rsid w:val="00ED5A7F"/>
    <w:rsid w:val="00ED6BA5"/>
    <w:rsid w:val="00ED6CC2"/>
    <w:rsid w:val="00ED6D26"/>
    <w:rsid w:val="00ED7914"/>
    <w:rsid w:val="00ED794E"/>
    <w:rsid w:val="00EE0232"/>
    <w:rsid w:val="00EE0331"/>
    <w:rsid w:val="00EE09F0"/>
    <w:rsid w:val="00EE0CA1"/>
    <w:rsid w:val="00EE1052"/>
    <w:rsid w:val="00EE1485"/>
    <w:rsid w:val="00EE184C"/>
    <w:rsid w:val="00EE1C02"/>
    <w:rsid w:val="00EE1CED"/>
    <w:rsid w:val="00EE1D23"/>
    <w:rsid w:val="00EE205A"/>
    <w:rsid w:val="00EE2697"/>
    <w:rsid w:val="00EE2BAB"/>
    <w:rsid w:val="00EE2C7C"/>
    <w:rsid w:val="00EE2F07"/>
    <w:rsid w:val="00EE3F03"/>
    <w:rsid w:val="00EE49DA"/>
    <w:rsid w:val="00EE4E64"/>
    <w:rsid w:val="00EE5653"/>
    <w:rsid w:val="00EE5D51"/>
    <w:rsid w:val="00EE6BF4"/>
    <w:rsid w:val="00EE7583"/>
    <w:rsid w:val="00EE78E3"/>
    <w:rsid w:val="00EE7F52"/>
    <w:rsid w:val="00EF063D"/>
    <w:rsid w:val="00EF0EC0"/>
    <w:rsid w:val="00EF131E"/>
    <w:rsid w:val="00EF1700"/>
    <w:rsid w:val="00EF1CF1"/>
    <w:rsid w:val="00EF2300"/>
    <w:rsid w:val="00EF230E"/>
    <w:rsid w:val="00EF2F01"/>
    <w:rsid w:val="00EF3794"/>
    <w:rsid w:val="00EF3981"/>
    <w:rsid w:val="00EF3B72"/>
    <w:rsid w:val="00EF4184"/>
    <w:rsid w:val="00EF436F"/>
    <w:rsid w:val="00EF450D"/>
    <w:rsid w:val="00EF4932"/>
    <w:rsid w:val="00EF4AFF"/>
    <w:rsid w:val="00EF58C1"/>
    <w:rsid w:val="00EF6613"/>
    <w:rsid w:val="00EF6663"/>
    <w:rsid w:val="00EF6727"/>
    <w:rsid w:val="00EF6DFB"/>
    <w:rsid w:val="00EF6F22"/>
    <w:rsid w:val="00EF77A8"/>
    <w:rsid w:val="00EF7839"/>
    <w:rsid w:val="00EF79F5"/>
    <w:rsid w:val="00F001BA"/>
    <w:rsid w:val="00F011B5"/>
    <w:rsid w:val="00F01DA6"/>
    <w:rsid w:val="00F01DD6"/>
    <w:rsid w:val="00F025FD"/>
    <w:rsid w:val="00F02E78"/>
    <w:rsid w:val="00F0318E"/>
    <w:rsid w:val="00F032CA"/>
    <w:rsid w:val="00F0345B"/>
    <w:rsid w:val="00F03835"/>
    <w:rsid w:val="00F03CDC"/>
    <w:rsid w:val="00F04DDE"/>
    <w:rsid w:val="00F051B5"/>
    <w:rsid w:val="00F0647E"/>
    <w:rsid w:val="00F06582"/>
    <w:rsid w:val="00F1016D"/>
    <w:rsid w:val="00F106F3"/>
    <w:rsid w:val="00F10793"/>
    <w:rsid w:val="00F11799"/>
    <w:rsid w:val="00F11A61"/>
    <w:rsid w:val="00F11AD9"/>
    <w:rsid w:val="00F11DDE"/>
    <w:rsid w:val="00F121AD"/>
    <w:rsid w:val="00F124CF"/>
    <w:rsid w:val="00F12AC1"/>
    <w:rsid w:val="00F138AA"/>
    <w:rsid w:val="00F13BE0"/>
    <w:rsid w:val="00F13E5F"/>
    <w:rsid w:val="00F148BF"/>
    <w:rsid w:val="00F14ABF"/>
    <w:rsid w:val="00F14DDF"/>
    <w:rsid w:val="00F151D8"/>
    <w:rsid w:val="00F15262"/>
    <w:rsid w:val="00F1580B"/>
    <w:rsid w:val="00F15A38"/>
    <w:rsid w:val="00F173A5"/>
    <w:rsid w:val="00F17CD2"/>
    <w:rsid w:val="00F17D40"/>
    <w:rsid w:val="00F20A11"/>
    <w:rsid w:val="00F21C2D"/>
    <w:rsid w:val="00F22362"/>
    <w:rsid w:val="00F2254F"/>
    <w:rsid w:val="00F228A8"/>
    <w:rsid w:val="00F230A9"/>
    <w:rsid w:val="00F23475"/>
    <w:rsid w:val="00F23536"/>
    <w:rsid w:val="00F238B4"/>
    <w:rsid w:val="00F23B4D"/>
    <w:rsid w:val="00F24580"/>
    <w:rsid w:val="00F24952"/>
    <w:rsid w:val="00F251C6"/>
    <w:rsid w:val="00F253D4"/>
    <w:rsid w:val="00F25997"/>
    <w:rsid w:val="00F263B5"/>
    <w:rsid w:val="00F2680D"/>
    <w:rsid w:val="00F26B31"/>
    <w:rsid w:val="00F26BA4"/>
    <w:rsid w:val="00F30199"/>
    <w:rsid w:val="00F30625"/>
    <w:rsid w:val="00F3078B"/>
    <w:rsid w:val="00F30B21"/>
    <w:rsid w:val="00F30DD7"/>
    <w:rsid w:val="00F316F1"/>
    <w:rsid w:val="00F32715"/>
    <w:rsid w:val="00F33B20"/>
    <w:rsid w:val="00F3474D"/>
    <w:rsid w:val="00F34C74"/>
    <w:rsid w:val="00F34FED"/>
    <w:rsid w:val="00F3531B"/>
    <w:rsid w:val="00F35762"/>
    <w:rsid w:val="00F35F65"/>
    <w:rsid w:val="00F371B7"/>
    <w:rsid w:val="00F379E9"/>
    <w:rsid w:val="00F40752"/>
    <w:rsid w:val="00F40F07"/>
    <w:rsid w:val="00F41378"/>
    <w:rsid w:val="00F431AC"/>
    <w:rsid w:val="00F43376"/>
    <w:rsid w:val="00F436F3"/>
    <w:rsid w:val="00F43B1C"/>
    <w:rsid w:val="00F43BC2"/>
    <w:rsid w:val="00F44B3C"/>
    <w:rsid w:val="00F4571E"/>
    <w:rsid w:val="00F45847"/>
    <w:rsid w:val="00F46402"/>
    <w:rsid w:val="00F46A99"/>
    <w:rsid w:val="00F475A8"/>
    <w:rsid w:val="00F5014D"/>
    <w:rsid w:val="00F5057B"/>
    <w:rsid w:val="00F51580"/>
    <w:rsid w:val="00F515AB"/>
    <w:rsid w:val="00F51834"/>
    <w:rsid w:val="00F51AF9"/>
    <w:rsid w:val="00F51C5C"/>
    <w:rsid w:val="00F523D3"/>
    <w:rsid w:val="00F52628"/>
    <w:rsid w:val="00F527C6"/>
    <w:rsid w:val="00F52ABF"/>
    <w:rsid w:val="00F532B3"/>
    <w:rsid w:val="00F53A37"/>
    <w:rsid w:val="00F53F7D"/>
    <w:rsid w:val="00F5517D"/>
    <w:rsid w:val="00F565C4"/>
    <w:rsid w:val="00F57080"/>
    <w:rsid w:val="00F57315"/>
    <w:rsid w:val="00F57CB6"/>
    <w:rsid w:val="00F6122C"/>
    <w:rsid w:val="00F61496"/>
    <w:rsid w:val="00F61763"/>
    <w:rsid w:val="00F61B74"/>
    <w:rsid w:val="00F629A3"/>
    <w:rsid w:val="00F62E9A"/>
    <w:rsid w:val="00F62FC1"/>
    <w:rsid w:val="00F633E4"/>
    <w:rsid w:val="00F65746"/>
    <w:rsid w:val="00F66F22"/>
    <w:rsid w:val="00F67F40"/>
    <w:rsid w:val="00F70702"/>
    <w:rsid w:val="00F7086E"/>
    <w:rsid w:val="00F71248"/>
    <w:rsid w:val="00F71A3A"/>
    <w:rsid w:val="00F7226C"/>
    <w:rsid w:val="00F72573"/>
    <w:rsid w:val="00F72781"/>
    <w:rsid w:val="00F739BF"/>
    <w:rsid w:val="00F73F17"/>
    <w:rsid w:val="00F74B97"/>
    <w:rsid w:val="00F7608E"/>
    <w:rsid w:val="00F764A2"/>
    <w:rsid w:val="00F764CC"/>
    <w:rsid w:val="00F769E5"/>
    <w:rsid w:val="00F809C2"/>
    <w:rsid w:val="00F80BB4"/>
    <w:rsid w:val="00F80D98"/>
    <w:rsid w:val="00F81ABC"/>
    <w:rsid w:val="00F821F2"/>
    <w:rsid w:val="00F82AF8"/>
    <w:rsid w:val="00F8492D"/>
    <w:rsid w:val="00F84AB9"/>
    <w:rsid w:val="00F85A42"/>
    <w:rsid w:val="00F85A9B"/>
    <w:rsid w:val="00F8609B"/>
    <w:rsid w:val="00F86720"/>
    <w:rsid w:val="00F86767"/>
    <w:rsid w:val="00F86852"/>
    <w:rsid w:val="00F868E0"/>
    <w:rsid w:val="00F87024"/>
    <w:rsid w:val="00F87BF9"/>
    <w:rsid w:val="00F87C6D"/>
    <w:rsid w:val="00F90648"/>
    <w:rsid w:val="00F90B13"/>
    <w:rsid w:val="00F91115"/>
    <w:rsid w:val="00F91540"/>
    <w:rsid w:val="00F91D15"/>
    <w:rsid w:val="00F91E2A"/>
    <w:rsid w:val="00F91F7A"/>
    <w:rsid w:val="00F92FC0"/>
    <w:rsid w:val="00F9350F"/>
    <w:rsid w:val="00F95408"/>
    <w:rsid w:val="00F95C39"/>
    <w:rsid w:val="00F96AF7"/>
    <w:rsid w:val="00F96E1E"/>
    <w:rsid w:val="00F971EA"/>
    <w:rsid w:val="00F97FA0"/>
    <w:rsid w:val="00FA038A"/>
    <w:rsid w:val="00FA073C"/>
    <w:rsid w:val="00FA0AD2"/>
    <w:rsid w:val="00FA0D1F"/>
    <w:rsid w:val="00FA1710"/>
    <w:rsid w:val="00FA19A7"/>
    <w:rsid w:val="00FA1A47"/>
    <w:rsid w:val="00FA1C45"/>
    <w:rsid w:val="00FA1DE6"/>
    <w:rsid w:val="00FA2490"/>
    <w:rsid w:val="00FA2667"/>
    <w:rsid w:val="00FA26C9"/>
    <w:rsid w:val="00FA2DD4"/>
    <w:rsid w:val="00FA2EE3"/>
    <w:rsid w:val="00FA4727"/>
    <w:rsid w:val="00FA59CA"/>
    <w:rsid w:val="00FA5AEF"/>
    <w:rsid w:val="00FA5E4C"/>
    <w:rsid w:val="00FA6345"/>
    <w:rsid w:val="00FA6EFA"/>
    <w:rsid w:val="00FA6F50"/>
    <w:rsid w:val="00FA7161"/>
    <w:rsid w:val="00FA71FA"/>
    <w:rsid w:val="00FA7A17"/>
    <w:rsid w:val="00FA7B97"/>
    <w:rsid w:val="00FB06A8"/>
    <w:rsid w:val="00FB07ED"/>
    <w:rsid w:val="00FB0D04"/>
    <w:rsid w:val="00FB1CA0"/>
    <w:rsid w:val="00FB1F87"/>
    <w:rsid w:val="00FB35A5"/>
    <w:rsid w:val="00FB3E0B"/>
    <w:rsid w:val="00FB48BD"/>
    <w:rsid w:val="00FB512B"/>
    <w:rsid w:val="00FB52F1"/>
    <w:rsid w:val="00FB55F0"/>
    <w:rsid w:val="00FB608E"/>
    <w:rsid w:val="00FB7B8F"/>
    <w:rsid w:val="00FC00E8"/>
    <w:rsid w:val="00FC0B8B"/>
    <w:rsid w:val="00FC31DC"/>
    <w:rsid w:val="00FC3F4C"/>
    <w:rsid w:val="00FC4AC4"/>
    <w:rsid w:val="00FC4D25"/>
    <w:rsid w:val="00FC597E"/>
    <w:rsid w:val="00FC6A6A"/>
    <w:rsid w:val="00FC6FF3"/>
    <w:rsid w:val="00FC7265"/>
    <w:rsid w:val="00FC7451"/>
    <w:rsid w:val="00FC7511"/>
    <w:rsid w:val="00FC769F"/>
    <w:rsid w:val="00FC7B96"/>
    <w:rsid w:val="00FD0F0F"/>
    <w:rsid w:val="00FD1B2E"/>
    <w:rsid w:val="00FD1F33"/>
    <w:rsid w:val="00FD204D"/>
    <w:rsid w:val="00FD2541"/>
    <w:rsid w:val="00FD2BED"/>
    <w:rsid w:val="00FD2C0D"/>
    <w:rsid w:val="00FD3CD4"/>
    <w:rsid w:val="00FD3FA5"/>
    <w:rsid w:val="00FD47F8"/>
    <w:rsid w:val="00FD4A66"/>
    <w:rsid w:val="00FD4AAA"/>
    <w:rsid w:val="00FD5185"/>
    <w:rsid w:val="00FD530C"/>
    <w:rsid w:val="00FD5B00"/>
    <w:rsid w:val="00FD6839"/>
    <w:rsid w:val="00FD69FC"/>
    <w:rsid w:val="00FD6D92"/>
    <w:rsid w:val="00FD74C6"/>
    <w:rsid w:val="00FD7705"/>
    <w:rsid w:val="00FD770B"/>
    <w:rsid w:val="00FD7920"/>
    <w:rsid w:val="00FD7C0A"/>
    <w:rsid w:val="00FD7E4F"/>
    <w:rsid w:val="00FE092E"/>
    <w:rsid w:val="00FE123C"/>
    <w:rsid w:val="00FE171C"/>
    <w:rsid w:val="00FE181C"/>
    <w:rsid w:val="00FE1D46"/>
    <w:rsid w:val="00FE2007"/>
    <w:rsid w:val="00FE2391"/>
    <w:rsid w:val="00FE290B"/>
    <w:rsid w:val="00FE3103"/>
    <w:rsid w:val="00FE34C9"/>
    <w:rsid w:val="00FE3A35"/>
    <w:rsid w:val="00FE3C43"/>
    <w:rsid w:val="00FE49F6"/>
    <w:rsid w:val="00FE5686"/>
    <w:rsid w:val="00FE57DD"/>
    <w:rsid w:val="00FE58F5"/>
    <w:rsid w:val="00FE5ECB"/>
    <w:rsid w:val="00FE64AD"/>
    <w:rsid w:val="00FE6D86"/>
    <w:rsid w:val="00FE6ECB"/>
    <w:rsid w:val="00FE7017"/>
    <w:rsid w:val="00FE7D01"/>
    <w:rsid w:val="00FE7DDA"/>
    <w:rsid w:val="00FF0E24"/>
    <w:rsid w:val="00FF132B"/>
    <w:rsid w:val="00FF14D5"/>
    <w:rsid w:val="00FF2408"/>
    <w:rsid w:val="00FF2701"/>
    <w:rsid w:val="00FF3B01"/>
    <w:rsid w:val="00FF3EC3"/>
    <w:rsid w:val="00FF45E4"/>
    <w:rsid w:val="00FF606B"/>
    <w:rsid w:val="00FF61E6"/>
    <w:rsid w:val="00FF6656"/>
    <w:rsid w:val="00FF6D3F"/>
    <w:rsid w:val="00FF7D3B"/>
    <w:rsid w:val="010A6538"/>
    <w:rsid w:val="0121645E"/>
    <w:rsid w:val="01253080"/>
    <w:rsid w:val="012C75F2"/>
    <w:rsid w:val="01342917"/>
    <w:rsid w:val="014818FA"/>
    <w:rsid w:val="01505245"/>
    <w:rsid w:val="016C56AC"/>
    <w:rsid w:val="017E79B8"/>
    <w:rsid w:val="01894F4B"/>
    <w:rsid w:val="018F5A5E"/>
    <w:rsid w:val="01A448A0"/>
    <w:rsid w:val="02080C5D"/>
    <w:rsid w:val="022B2B09"/>
    <w:rsid w:val="024A6C6E"/>
    <w:rsid w:val="02564B51"/>
    <w:rsid w:val="02620F49"/>
    <w:rsid w:val="0273421E"/>
    <w:rsid w:val="027B5FC2"/>
    <w:rsid w:val="028A3C2B"/>
    <w:rsid w:val="028D619D"/>
    <w:rsid w:val="02947B1B"/>
    <w:rsid w:val="02B836C8"/>
    <w:rsid w:val="02C52DD9"/>
    <w:rsid w:val="02CA5AD2"/>
    <w:rsid w:val="02D94456"/>
    <w:rsid w:val="02F40330"/>
    <w:rsid w:val="03013EEC"/>
    <w:rsid w:val="0323370B"/>
    <w:rsid w:val="032B3107"/>
    <w:rsid w:val="03645F19"/>
    <w:rsid w:val="036D3332"/>
    <w:rsid w:val="03822048"/>
    <w:rsid w:val="03852170"/>
    <w:rsid w:val="03AE5C5D"/>
    <w:rsid w:val="03BA6CC5"/>
    <w:rsid w:val="03F56B7F"/>
    <w:rsid w:val="03F62DA4"/>
    <w:rsid w:val="0404324C"/>
    <w:rsid w:val="042C6A8F"/>
    <w:rsid w:val="04316D1B"/>
    <w:rsid w:val="044D2A09"/>
    <w:rsid w:val="045B0029"/>
    <w:rsid w:val="045B7250"/>
    <w:rsid w:val="046A779E"/>
    <w:rsid w:val="04701F94"/>
    <w:rsid w:val="047951A6"/>
    <w:rsid w:val="048E3499"/>
    <w:rsid w:val="04A41944"/>
    <w:rsid w:val="04B24220"/>
    <w:rsid w:val="04BF04C4"/>
    <w:rsid w:val="04C960AD"/>
    <w:rsid w:val="04DE146D"/>
    <w:rsid w:val="04F67DFF"/>
    <w:rsid w:val="04F82B4C"/>
    <w:rsid w:val="05002B6F"/>
    <w:rsid w:val="050E2995"/>
    <w:rsid w:val="05123C0E"/>
    <w:rsid w:val="0514288D"/>
    <w:rsid w:val="05155228"/>
    <w:rsid w:val="051C5FFB"/>
    <w:rsid w:val="052A58A8"/>
    <w:rsid w:val="052A61F4"/>
    <w:rsid w:val="055069E6"/>
    <w:rsid w:val="05596B47"/>
    <w:rsid w:val="05792A9D"/>
    <w:rsid w:val="05961213"/>
    <w:rsid w:val="05BA4913"/>
    <w:rsid w:val="05FE17A8"/>
    <w:rsid w:val="060B6CBF"/>
    <w:rsid w:val="063A2E96"/>
    <w:rsid w:val="06515529"/>
    <w:rsid w:val="065A694A"/>
    <w:rsid w:val="06691F53"/>
    <w:rsid w:val="0671381F"/>
    <w:rsid w:val="067D0AB4"/>
    <w:rsid w:val="068565F4"/>
    <w:rsid w:val="06B54374"/>
    <w:rsid w:val="06C13991"/>
    <w:rsid w:val="06F33C72"/>
    <w:rsid w:val="07063054"/>
    <w:rsid w:val="070D0C51"/>
    <w:rsid w:val="07265857"/>
    <w:rsid w:val="0730615A"/>
    <w:rsid w:val="073D15CC"/>
    <w:rsid w:val="07433674"/>
    <w:rsid w:val="077B13C1"/>
    <w:rsid w:val="078A37F7"/>
    <w:rsid w:val="078B1274"/>
    <w:rsid w:val="079A2352"/>
    <w:rsid w:val="07A73F5F"/>
    <w:rsid w:val="07AA5C41"/>
    <w:rsid w:val="07CE1452"/>
    <w:rsid w:val="08132A56"/>
    <w:rsid w:val="082506EE"/>
    <w:rsid w:val="082847E0"/>
    <w:rsid w:val="082A3B1B"/>
    <w:rsid w:val="08456F30"/>
    <w:rsid w:val="08542A16"/>
    <w:rsid w:val="085B32F8"/>
    <w:rsid w:val="086D57F7"/>
    <w:rsid w:val="087B1AA1"/>
    <w:rsid w:val="087B34B8"/>
    <w:rsid w:val="088E6CB3"/>
    <w:rsid w:val="088F6C90"/>
    <w:rsid w:val="089D583C"/>
    <w:rsid w:val="08B52B9B"/>
    <w:rsid w:val="08B94A89"/>
    <w:rsid w:val="08D44DA7"/>
    <w:rsid w:val="08DA5A59"/>
    <w:rsid w:val="08DE5CED"/>
    <w:rsid w:val="08E04924"/>
    <w:rsid w:val="08FA1F13"/>
    <w:rsid w:val="08FB75D7"/>
    <w:rsid w:val="08FE55C1"/>
    <w:rsid w:val="09071E9F"/>
    <w:rsid w:val="0907699D"/>
    <w:rsid w:val="091A7409"/>
    <w:rsid w:val="091D6005"/>
    <w:rsid w:val="091E6435"/>
    <w:rsid w:val="093B6CEC"/>
    <w:rsid w:val="09432108"/>
    <w:rsid w:val="09614315"/>
    <w:rsid w:val="096929E0"/>
    <w:rsid w:val="098D08E0"/>
    <w:rsid w:val="09962A97"/>
    <w:rsid w:val="099B1A1D"/>
    <w:rsid w:val="09B41737"/>
    <w:rsid w:val="09BC1A8C"/>
    <w:rsid w:val="09BE4364"/>
    <w:rsid w:val="09E20DDE"/>
    <w:rsid w:val="09F72074"/>
    <w:rsid w:val="09FB2E0D"/>
    <w:rsid w:val="09FE32FC"/>
    <w:rsid w:val="0A04583E"/>
    <w:rsid w:val="0A20580B"/>
    <w:rsid w:val="0A2604F9"/>
    <w:rsid w:val="0A291F5A"/>
    <w:rsid w:val="0A2A20E9"/>
    <w:rsid w:val="0A3E0921"/>
    <w:rsid w:val="0A4A4413"/>
    <w:rsid w:val="0A6A0048"/>
    <w:rsid w:val="0A754F30"/>
    <w:rsid w:val="0A783349"/>
    <w:rsid w:val="0A892BC4"/>
    <w:rsid w:val="0A977BF6"/>
    <w:rsid w:val="0AAD1810"/>
    <w:rsid w:val="0AD5684D"/>
    <w:rsid w:val="0AED7546"/>
    <w:rsid w:val="0AF96432"/>
    <w:rsid w:val="0B14065E"/>
    <w:rsid w:val="0B275EBE"/>
    <w:rsid w:val="0B294C3F"/>
    <w:rsid w:val="0B2B1D53"/>
    <w:rsid w:val="0B35624C"/>
    <w:rsid w:val="0B3B3DD6"/>
    <w:rsid w:val="0B3F3D6F"/>
    <w:rsid w:val="0B982796"/>
    <w:rsid w:val="0BA01235"/>
    <w:rsid w:val="0BB16F14"/>
    <w:rsid w:val="0BBC023E"/>
    <w:rsid w:val="0BC241C2"/>
    <w:rsid w:val="0BCA5938"/>
    <w:rsid w:val="0BDB5F70"/>
    <w:rsid w:val="0BEE6220"/>
    <w:rsid w:val="0C032502"/>
    <w:rsid w:val="0C2B344F"/>
    <w:rsid w:val="0C5B44D7"/>
    <w:rsid w:val="0C5F5CBA"/>
    <w:rsid w:val="0C790A16"/>
    <w:rsid w:val="0C90743C"/>
    <w:rsid w:val="0C9B3434"/>
    <w:rsid w:val="0C9C5EA0"/>
    <w:rsid w:val="0C9C6940"/>
    <w:rsid w:val="0CF25558"/>
    <w:rsid w:val="0CF83989"/>
    <w:rsid w:val="0D021F3B"/>
    <w:rsid w:val="0D174634"/>
    <w:rsid w:val="0D2503E7"/>
    <w:rsid w:val="0D263DF1"/>
    <w:rsid w:val="0D281AA2"/>
    <w:rsid w:val="0D2A59D3"/>
    <w:rsid w:val="0D3D5BEF"/>
    <w:rsid w:val="0D466B4A"/>
    <w:rsid w:val="0D4A4FC1"/>
    <w:rsid w:val="0D665F73"/>
    <w:rsid w:val="0D8731A2"/>
    <w:rsid w:val="0DCC49D6"/>
    <w:rsid w:val="0DD332E9"/>
    <w:rsid w:val="0DE325EB"/>
    <w:rsid w:val="0DEF70FA"/>
    <w:rsid w:val="0E004164"/>
    <w:rsid w:val="0E0B7EF7"/>
    <w:rsid w:val="0E0D3293"/>
    <w:rsid w:val="0E1F6103"/>
    <w:rsid w:val="0E2A15BE"/>
    <w:rsid w:val="0E561680"/>
    <w:rsid w:val="0E5B0E75"/>
    <w:rsid w:val="0E7D2A40"/>
    <w:rsid w:val="0E80490C"/>
    <w:rsid w:val="0E995502"/>
    <w:rsid w:val="0E9C3477"/>
    <w:rsid w:val="0EA1103E"/>
    <w:rsid w:val="0EAD71C8"/>
    <w:rsid w:val="0EB674DF"/>
    <w:rsid w:val="0EB70D5C"/>
    <w:rsid w:val="0EBA0D79"/>
    <w:rsid w:val="0ED62150"/>
    <w:rsid w:val="0EE823E9"/>
    <w:rsid w:val="0EF00A37"/>
    <w:rsid w:val="0EF12AE6"/>
    <w:rsid w:val="0EF95348"/>
    <w:rsid w:val="0EFF6ABC"/>
    <w:rsid w:val="0F0C522E"/>
    <w:rsid w:val="0F181E32"/>
    <w:rsid w:val="0F1E658D"/>
    <w:rsid w:val="0F2F22F5"/>
    <w:rsid w:val="0F3920F3"/>
    <w:rsid w:val="0F3B75A1"/>
    <w:rsid w:val="0F5D3AF8"/>
    <w:rsid w:val="0F602167"/>
    <w:rsid w:val="0F6120E1"/>
    <w:rsid w:val="0F6C7422"/>
    <w:rsid w:val="0F7B0F31"/>
    <w:rsid w:val="0FB4756E"/>
    <w:rsid w:val="0FB60A8F"/>
    <w:rsid w:val="0FE8159B"/>
    <w:rsid w:val="0FEE34C9"/>
    <w:rsid w:val="0FF9270E"/>
    <w:rsid w:val="10341B91"/>
    <w:rsid w:val="10417A4A"/>
    <w:rsid w:val="10480FCE"/>
    <w:rsid w:val="10536835"/>
    <w:rsid w:val="10544AB3"/>
    <w:rsid w:val="105719A2"/>
    <w:rsid w:val="10695BEA"/>
    <w:rsid w:val="106F0166"/>
    <w:rsid w:val="107240FA"/>
    <w:rsid w:val="107B5EE1"/>
    <w:rsid w:val="10A031DB"/>
    <w:rsid w:val="10AA1950"/>
    <w:rsid w:val="10B176AA"/>
    <w:rsid w:val="10DF6E84"/>
    <w:rsid w:val="10FB29F6"/>
    <w:rsid w:val="110C416F"/>
    <w:rsid w:val="11136E9D"/>
    <w:rsid w:val="111848F2"/>
    <w:rsid w:val="114C0F78"/>
    <w:rsid w:val="115774ED"/>
    <w:rsid w:val="116B3B8B"/>
    <w:rsid w:val="11791419"/>
    <w:rsid w:val="11877263"/>
    <w:rsid w:val="11983ADF"/>
    <w:rsid w:val="11E6026B"/>
    <w:rsid w:val="11EF02D6"/>
    <w:rsid w:val="120411AF"/>
    <w:rsid w:val="121E4459"/>
    <w:rsid w:val="12355DE7"/>
    <w:rsid w:val="12372C7F"/>
    <w:rsid w:val="124C4B2C"/>
    <w:rsid w:val="127016AD"/>
    <w:rsid w:val="12771096"/>
    <w:rsid w:val="1278642A"/>
    <w:rsid w:val="12853AAA"/>
    <w:rsid w:val="12AB4FD8"/>
    <w:rsid w:val="12AF5035"/>
    <w:rsid w:val="12C04F34"/>
    <w:rsid w:val="12D01F73"/>
    <w:rsid w:val="12D16707"/>
    <w:rsid w:val="12DE7825"/>
    <w:rsid w:val="12EE4A3A"/>
    <w:rsid w:val="12F60DAE"/>
    <w:rsid w:val="13051821"/>
    <w:rsid w:val="131611F5"/>
    <w:rsid w:val="13190043"/>
    <w:rsid w:val="131D07A4"/>
    <w:rsid w:val="13266511"/>
    <w:rsid w:val="132F4BBA"/>
    <w:rsid w:val="13391259"/>
    <w:rsid w:val="1339718A"/>
    <w:rsid w:val="1344679F"/>
    <w:rsid w:val="13531D7F"/>
    <w:rsid w:val="13B262BB"/>
    <w:rsid w:val="13C7475D"/>
    <w:rsid w:val="13CC30E5"/>
    <w:rsid w:val="13D85577"/>
    <w:rsid w:val="13DA62DE"/>
    <w:rsid w:val="13DC588E"/>
    <w:rsid w:val="13E6482E"/>
    <w:rsid w:val="13E93512"/>
    <w:rsid w:val="13F533F7"/>
    <w:rsid w:val="140212F1"/>
    <w:rsid w:val="14096B23"/>
    <w:rsid w:val="140C49B4"/>
    <w:rsid w:val="14155320"/>
    <w:rsid w:val="141B3652"/>
    <w:rsid w:val="144578B8"/>
    <w:rsid w:val="144A22E4"/>
    <w:rsid w:val="144E593E"/>
    <w:rsid w:val="14533001"/>
    <w:rsid w:val="14534EB8"/>
    <w:rsid w:val="145429CC"/>
    <w:rsid w:val="145628A7"/>
    <w:rsid w:val="145B0571"/>
    <w:rsid w:val="14624C9A"/>
    <w:rsid w:val="148372A7"/>
    <w:rsid w:val="14B720DC"/>
    <w:rsid w:val="14B9692A"/>
    <w:rsid w:val="14C17A37"/>
    <w:rsid w:val="14D05CA0"/>
    <w:rsid w:val="14D7536A"/>
    <w:rsid w:val="14DD31F5"/>
    <w:rsid w:val="14F73914"/>
    <w:rsid w:val="15137AAF"/>
    <w:rsid w:val="151B3C45"/>
    <w:rsid w:val="152C3F57"/>
    <w:rsid w:val="152F223E"/>
    <w:rsid w:val="152F25BA"/>
    <w:rsid w:val="15316332"/>
    <w:rsid w:val="1538799D"/>
    <w:rsid w:val="155E4093"/>
    <w:rsid w:val="15651BD3"/>
    <w:rsid w:val="156D4E90"/>
    <w:rsid w:val="15704122"/>
    <w:rsid w:val="15A14B43"/>
    <w:rsid w:val="15B624A2"/>
    <w:rsid w:val="15E02221"/>
    <w:rsid w:val="15E5714C"/>
    <w:rsid w:val="15E95B4C"/>
    <w:rsid w:val="15FA4976"/>
    <w:rsid w:val="15FE0A61"/>
    <w:rsid w:val="161A6DC6"/>
    <w:rsid w:val="163C21F4"/>
    <w:rsid w:val="163F4F75"/>
    <w:rsid w:val="16497053"/>
    <w:rsid w:val="164E3C53"/>
    <w:rsid w:val="16575D82"/>
    <w:rsid w:val="1664025E"/>
    <w:rsid w:val="166858FD"/>
    <w:rsid w:val="166A0946"/>
    <w:rsid w:val="166B52F7"/>
    <w:rsid w:val="16766778"/>
    <w:rsid w:val="16920812"/>
    <w:rsid w:val="16A0118E"/>
    <w:rsid w:val="16A95B42"/>
    <w:rsid w:val="16DC7003"/>
    <w:rsid w:val="16F10848"/>
    <w:rsid w:val="16FB465D"/>
    <w:rsid w:val="17004D33"/>
    <w:rsid w:val="17081314"/>
    <w:rsid w:val="17121710"/>
    <w:rsid w:val="17127CAE"/>
    <w:rsid w:val="173E6AE4"/>
    <w:rsid w:val="174A03C5"/>
    <w:rsid w:val="17503901"/>
    <w:rsid w:val="176A4149"/>
    <w:rsid w:val="177F509D"/>
    <w:rsid w:val="17934704"/>
    <w:rsid w:val="17D770B7"/>
    <w:rsid w:val="17DD6A3B"/>
    <w:rsid w:val="17E92E64"/>
    <w:rsid w:val="17F81389"/>
    <w:rsid w:val="1807375F"/>
    <w:rsid w:val="181B5F88"/>
    <w:rsid w:val="182006A0"/>
    <w:rsid w:val="18277578"/>
    <w:rsid w:val="182D661B"/>
    <w:rsid w:val="1844033D"/>
    <w:rsid w:val="18480E9E"/>
    <w:rsid w:val="185A794E"/>
    <w:rsid w:val="185B4DF7"/>
    <w:rsid w:val="185D6DD4"/>
    <w:rsid w:val="186B4AC9"/>
    <w:rsid w:val="187F7032"/>
    <w:rsid w:val="188500D4"/>
    <w:rsid w:val="189A5F9C"/>
    <w:rsid w:val="189C2A3B"/>
    <w:rsid w:val="189F7A56"/>
    <w:rsid w:val="18A801B1"/>
    <w:rsid w:val="18BF113B"/>
    <w:rsid w:val="18D23947"/>
    <w:rsid w:val="18EB64A9"/>
    <w:rsid w:val="18EF60E0"/>
    <w:rsid w:val="190C3220"/>
    <w:rsid w:val="19177405"/>
    <w:rsid w:val="191E6BCD"/>
    <w:rsid w:val="19541754"/>
    <w:rsid w:val="19677F5C"/>
    <w:rsid w:val="19886E29"/>
    <w:rsid w:val="199A3B97"/>
    <w:rsid w:val="19A03F64"/>
    <w:rsid w:val="19D33EBB"/>
    <w:rsid w:val="19FD15D2"/>
    <w:rsid w:val="1A0128C6"/>
    <w:rsid w:val="1A241295"/>
    <w:rsid w:val="1A57771C"/>
    <w:rsid w:val="1A6A6EAC"/>
    <w:rsid w:val="1A704DBA"/>
    <w:rsid w:val="1AB73325"/>
    <w:rsid w:val="1ACE2AF6"/>
    <w:rsid w:val="1AF57E02"/>
    <w:rsid w:val="1B2905E4"/>
    <w:rsid w:val="1B516EC1"/>
    <w:rsid w:val="1B5543FC"/>
    <w:rsid w:val="1B6309F5"/>
    <w:rsid w:val="1BA60C80"/>
    <w:rsid w:val="1BB8681C"/>
    <w:rsid w:val="1BC76C7F"/>
    <w:rsid w:val="1BCE59A7"/>
    <w:rsid w:val="1BED6945"/>
    <w:rsid w:val="1BF013F7"/>
    <w:rsid w:val="1BF17051"/>
    <w:rsid w:val="1C0714A5"/>
    <w:rsid w:val="1C1E7797"/>
    <w:rsid w:val="1C284952"/>
    <w:rsid w:val="1C495344"/>
    <w:rsid w:val="1C565EB3"/>
    <w:rsid w:val="1C5A59E7"/>
    <w:rsid w:val="1C7229C6"/>
    <w:rsid w:val="1C804357"/>
    <w:rsid w:val="1C9A4318"/>
    <w:rsid w:val="1CA25582"/>
    <w:rsid w:val="1CA66F7C"/>
    <w:rsid w:val="1CA96404"/>
    <w:rsid w:val="1CAF70FE"/>
    <w:rsid w:val="1CD70761"/>
    <w:rsid w:val="1CEF7F37"/>
    <w:rsid w:val="1D052DFB"/>
    <w:rsid w:val="1D1635D4"/>
    <w:rsid w:val="1D27774D"/>
    <w:rsid w:val="1D3F7112"/>
    <w:rsid w:val="1D4B6A13"/>
    <w:rsid w:val="1D6130EC"/>
    <w:rsid w:val="1D7F05C1"/>
    <w:rsid w:val="1D8A06CC"/>
    <w:rsid w:val="1D9401CC"/>
    <w:rsid w:val="1D9732A9"/>
    <w:rsid w:val="1DA426C5"/>
    <w:rsid w:val="1DAE2487"/>
    <w:rsid w:val="1DD82462"/>
    <w:rsid w:val="1DE64084"/>
    <w:rsid w:val="1E081BFA"/>
    <w:rsid w:val="1E0835C8"/>
    <w:rsid w:val="1E1E0BE8"/>
    <w:rsid w:val="1E2D778F"/>
    <w:rsid w:val="1E3432B3"/>
    <w:rsid w:val="1E444F18"/>
    <w:rsid w:val="1E475E16"/>
    <w:rsid w:val="1E633D95"/>
    <w:rsid w:val="1E63633D"/>
    <w:rsid w:val="1E636757"/>
    <w:rsid w:val="1E681D60"/>
    <w:rsid w:val="1E780453"/>
    <w:rsid w:val="1E91456C"/>
    <w:rsid w:val="1E9C3AC7"/>
    <w:rsid w:val="1EAD3946"/>
    <w:rsid w:val="1ED46F1D"/>
    <w:rsid w:val="1EE91A2B"/>
    <w:rsid w:val="1EED01A0"/>
    <w:rsid w:val="1F1D6D0E"/>
    <w:rsid w:val="1F30217E"/>
    <w:rsid w:val="1F3E70DE"/>
    <w:rsid w:val="1F827A80"/>
    <w:rsid w:val="1F835655"/>
    <w:rsid w:val="1F840851"/>
    <w:rsid w:val="1F8C26F9"/>
    <w:rsid w:val="1F8C28BE"/>
    <w:rsid w:val="1F961FC3"/>
    <w:rsid w:val="1F9E605C"/>
    <w:rsid w:val="1FA87F79"/>
    <w:rsid w:val="1FB82DB1"/>
    <w:rsid w:val="1FBB5307"/>
    <w:rsid w:val="1FC72100"/>
    <w:rsid w:val="1FCA4EC6"/>
    <w:rsid w:val="1FCA5BED"/>
    <w:rsid w:val="1FCD58BA"/>
    <w:rsid w:val="1FD61042"/>
    <w:rsid w:val="1FF43379"/>
    <w:rsid w:val="1FFF0DC2"/>
    <w:rsid w:val="20133A7C"/>
    <w:rsid w:val="201855A2"/>
    <w:rsid w:val="2021186C"/>
    <w:rsid w:val="20344ED9"/>
    <w:rsid w:val="203852FB"/>
    <w:rsid w:val="208270EC"/>
    <w:rsid w:val="20863ABC"/>
    <w:rsid w:val="209F0082"/>
    <w:rsid w:val="209F71A6"/>
    <w:rsid w:val="20C55114"/>
    <w:rsid w:val="20DA1A44"/>
    <w:rsid w:val="20FC6B54"/>
    <w:rsid w:val="21025026"/>
    <w:rsid w:val="21136547"/>
    <w:rsid w:val="212042F5"/>
    <w:rsid w:val="21306A87"/>
    <w:rsid w:val="2136168D"/>
    <w:rsid w:val="2148207C"/>
    <w:rsid w:val="217E2CDA"/>
    <w:rsid w:val="218055D5"/>
    <w:rsid w:val="21867498"/>
    <w:rsid w:val="218D68BB"/>
    <w:rsid w:val="21C351EA"/>
    <w:rsid w:val="21D32090"/>
    <w:rsid w:val="21D86BC9"/>
    <w:rsid w:val="21E965A3"/>
    <w:rsid w:val="22030F41"/>
    <w:rsid w:val="220A1E82"/>
    <w:rsid w:val="220E4D43"/>
    <w:rsid w:val="22174579"/>
    <w:rsid w:val="222353AD"/>
    <w:rsid w:val="222E2F31"/>
    <w:rsid w:val="223D7699"/>
    <w:rsid w:val="22453BEF"/>
    <w:rsid w:val="22502B92"/>
    <w:rsid w:val="22571C4C"/>
    <w:rsid w:val="22593CA3"/>
    <w:rsid w:val="226D5B28"/>
    <w:rsid w:val="227445D6"/>
    <w:rsid w:val="227E453C"/>
    <w:rsid w:val="227F761A"/>
    <w:rsid w:val="22814764"/>
    <w:rsid w:val="22975B6B"/>
    <w:rsid w:val="229B2DC9"/>
    <w:rsid w:val="22C67D68"/>
    <w:rsid w:val="22C852A3"/>
    <w:rsid w:val="22E51E51"/>
    <w:rsid w:val="22ED455F"/>
    <w:rsid w:val="22F3354B"/>
    <w:rsid w:val="22F508C7"/>
    <w:rsid w:val="231E77CA"/>
    <w:rsid w:val="233B65CE"/>
    <w:rsid w:val="234E1621"/>
    <w:rsid w:val="234F1BE8"/>
    <w:rsid w:val="235E0488"/>
    <w:rsid w:val="236633E4"/>
    <w:rsid w:val="23D3761B"/>
    <w:rsid w:val="23DD1ECE"/>
    <w:rsid w:val="23DE58D7"/>
    <w:rsid w:val="23E27107"/>
    <w:rsid w:val="24293CDE"/>
    <w:rsid w:val="24337335"/>
    <w:rsid w:val="24384EDC"/>
    <w:rsid w:val="243A04A4"/>
    <w:rsid w:val="24500609"/>
    <w:rsid w:val="24502C3B"/>
    <w:rsid w:val="245709AD"/>
    <w:rsid w:val="248576D6"/>
    <w:rsid w:val="24A55C52"/>
    <w:rsid w:val="24AB06C9"/>
    <w:rsid w:val="24B27305"/>
    <w:rsid w:val="24D34B86"/>
    <w:rsid w:val="24D8788A"/>
    <w:rsid w:val="24E511FB"/>
    <w:rsid w:val="24E91DEE"/>
    <w:rsid w:val="24EB293C"/>
    <w:rsid w:val="251A3CA2"/>
    <w:rsid w:val="25392A48"/>
    <w:rsid w:val="254213F2"/>
    <w:rsid w:val="25570701"/>
    <w:rsid w:val="255914C3"/>
    <w:rsid w:val="257E65AF"/>
    <w:rsid w:val="25804E80"/>
    <w:rsid w:val="258E7FA4"/>
    <w:rsid w:val="259362CB"/>
    <w:rsid w:val="259F55D2"/>
    <w:rsid w:val="25B06CA1"/>
    <w:rsid w:val="25B12F6E"/>
    <w:rsid w:val="25BE6CDF"/>
    <w:rsid w:val="25DB3FA0"/>
    <w:rsid w:val="260542FB"/>
    <w:rsid w:val="262B2929"/>
    <w:rsid w:val="262D1A34"/>
    <w:rsid w:val="264508C2"/>
    <w:rsid w:val="26561C22"/>
    <w:rsid w:val="2668592C"/>
    <w:rsid w:val="2681798B"/>
    <w:rsid w:val="26841611"/>
    <w:rsid w:val="269B0986"/>
    <w:rsid w:val="26B741BD"/>
    <w:rsid w:val="26BA2A56"/>
    <w:rsid w:val="26C50459"/>
    <w:rsid w:val="26C8461C"/>
    <w:rsid w:val="26D63AF7"/>
    <w:rsid w:val="26D905D7"/>
    <w:rsid w:val="26E8045A"/>
    <w:rsid w:val="26FC68B3"/>
    <w:rsid w:val="26FD4C5A"/>
    <w:rsid w:val="27007D51"/>
    <w:rsid w:val="270560DE"/>
    <w:rsid w:val="27070CD6"/>
    <w:rsid w:val="271366A8"/>
    <w:rsid w:val="2716659A"/>
    <w:rsid w:val="27412D5D"/>
    <w:rsid w:val="274A1CCA"/>
    <w:rsid w:val="274C299E"/>
    <w:rsid w:val="27884B89"/>
    <w:rsid w:val="27B3655B"/>
    <w:rsid w:val="27BA4A74"/>
    <w:rsid w:val="27E0287A"/>
    <w:rsid w:val="27E17D05"/>
    <w:rsid w:val="27E40570"/>
    <w:rsid w:val="27E4706F"/>
    <w:rsid w:val="280A02E4"/>
    <w:rsid w:val="28132489"/>
    <w:rsid w:val="282A1E3A"/>
    <w:rsid w:val="2842352C"/>
    <w:rsid w:val="287D64EB"/>
    <w:rsid w:val="28913FB6"/>
    <w:rsid w:val="28A657AB"/>
    <w:rsid w:val="28AE099B"/>
    <w:rsid w:val="28B354F5"/>
    <w:rsid w:val="28E73228"/>
    <w:rsid w:val="291312D4"/>
    <w:rsid w:val="29287BE8"/>
    <w:rsid w:val="293137BD"/>
    <w:rsid w:val="293B045E"/>
    <w:rsid w:val="29461E3B"/>
    <w:rsid w:val="29834886"/>
    <w:rsid w:val="298B3F37"/>
    <w:rsid w:val="2990090A"/>
    <w:rsid w:val="299A3F63"/>
    <w:rsid w:val="29B34458"/>
    <w:rsid w:val="29D15596"/>
    <w:rsid w:val="29E66DE0"/>
    <w:rsid w:val="29EF7FDF"/>
    <w:rsid w:val="29F574D6"/>
    <w:rsid w:val="29FC555B"/>
    <w:rsid w:val="2A0A45B0"/>
    <w:rsid w:val="2A170C37"/>
    <w:rsid w:val="2A333AB6"/>
    <w:rsid w:val="2A401DD1"/>
    <w:rsid w:val="2A4178A7"/>
    <w:rsid w:val="2A6033D4"/>
    <w:rsid w:val="2A681272"/>
    <w:rsid w:val="2A743A1F"/>
    <w:rsid w:val="2A897947"/>
    <w:rsid w:val="2A9A2875"/>
    <w:rsid w:val="2A9D2527"/>
    <w:rsid w:val="2AAF09C1"/>
    <w:rsid w:val="2AC61C8E"/>
    <w:rsid w:val="2AD0654F"/>
    <w:rsid w:val="2AE533A5"/>
    <w:rsid w:val="2AF051DE"/>
    <w:rsid w:val="2AF076D1"/>
    <w:rsid w:val="2AF61415"/>
    <w:rsid w:val="2AF96E5F"/>
    <w:rsid w:val="2AFA6323"/>
    <w:rsid w:val="2AFE7AAE"/>
    <w:rsid w:val="2B546160"/>
    <w:rsid w:val="2B5A6BD7"/>
    <w:rsid w:val="2B5D495F"/>
    <w:rsid w:val="2B672F70"/>
    <w:rsid w:val="2B7010AB"/>
    <w:rsid w:val="2B7D7783"/>
    <w:rsid w:val="2B8D254E"/>
    <w:rsid w:val="2B90509A"/>
    <w:rsid w:val="2B9D10BC"/>
    <w:rsid w:val="2BA967CA"/>
    <w:rsid w:val="2BB9315D"/>
    <w:rsid w:val="2BCB6ACF"/>
    <w:rsid w:val="2BCF6756"/>
    <w:rsid w:val="2BD559B4"/>
    <w:rsid w:val="2BD7707A"/>
    <w:rsid w:val="2BE04F62"/>
    <w:rsid w:val="2BEB6BF6"/>
    <w:rsid w:val="2C0A1595"/>
    <w:rsid w:val="2C0C1C9A"/>
    <w:rsid w:val="2C105D77"/>
    <w:rsid w:val="2C114DB3"/>
    <w:rsid w:val="2C2F3615"/>
    <w:rsid w:val="2C401718"/>
    <w:rsid w:val="2C5C7DFA"/>
    <w:rsid w:val="2C631349"/>
    <w:rsid w:val="2C7B0585"/>
    <w:rsid w:val="2C7B786B"/>
    <w:rsid w:val="2C7D05E4"/>
    <w:rsid w:val="2C832A08"/>
    <w:rsid w:val="2CA016DA"/>
    <w:rsid w:val="2CDE6805"/>
    <w:rsid w:val="2CE774CF"/>
    <w:rsid w:val="2D194E5C"/>
    <w:rsid w:val="2D197980"/>
    <w:rsid w:val="2D300825"/>
    <w:rsid w:val="2D556CE0"/>
    <w:rsid w:val="2D7E5C76"/>
    <w:rsid w:val="2D9E6AA1"/>
    <w:rsid w:val="2DAB6355"/>
    <w:rsid w:val="2DC2371B"/>
    <w:rsid w:val="2DCF52E0"/>
    <w:rsid w:val="2E076A68"/>
    <w:rsid w:val="2E245B5F"/>
    <w:rsid w:val="2E366468"/>
    <w:rsid w:val="2E417ADA"/>
    <w:rsid w:val="2E5D5F70"/>
    <w:rsid w:val="2E7117D1"/>
    <w:rsid w:val="2E727501"/>
    <w:rsid w:val="2E840E29"/>
    <w:rsid w:val="2E8E4084"/>
    <w:rsid w:val="2E9E6C59"/>
    <w:rsid w:val="2EA532C7"/>
    <w:rsid w:val="2EA95B0B"/>
    <w:rsid w:val="2EB17034"/>
    <w:rsid w:val="2EBA1580"/>
    <w:rsid w:val="2EC07B3A"/>
    <w:rsid w:val="2ECA37FB"/>
    <w:rsid w:val="2ED133D9"/>
    <w:rsid w:val="2ED97E92"/>
    <w:rsid w:val="2EDE2C2F"/>
    <w:rsid w:val="2EDE73CC"/>
    <w:rsid w:val="2EE9399C"/>
    <w:rsid w:val="2EF956EA"/>
    <w:rsid w:val="2EFD0FC8"/>
    <w:rsid w:val="2F181B51"/>
    <w:rsid w:val="2F2E7AA7"/>
    <w:rsid w:val="2F3B2BEC"/>
    <w:rsid w:val="2F4068B9"/>
    <w:rsid w:val="2F4A524B"/>
    <w:rsid w:val="2F6B3D97"/>
    <w:rsid w:val="2F712C95"/>
    <w:rsid w:val="2F727183"/>
    <w:rsid w:val="2F7E0CFF"/>
    <w:rsid w:val="2F8E21F5"/>
    <w:rsid w:val="2FA13C1A"/>
    <w:rsid w:val="2FA73BBB"/>
    <w:rsid w:val="2FBA38AE"/>
    <w:rsid w:val="2FCE4419"/>
    <w:rsid w:val="2FE470E8"/>
    <w:rsid w:val="30267B46"/>
    <w:rsid w:val="302D6BF9"/>
    <w:rsid w:val="303074EB"/>
    <w:rsid w:val="3036527A"/>
    <w:rsid w:val="30503533"/>
    <w:rsid w:val="30766D6A"/>
    <w:rsid w:val="308D4659"/>
    <w:rsid w:val="30955C68"/>
    <w:rsid w:val="309A25D9"/>
    <w:rsid w:val="30A92063"/>
    <w:rsid w:val="30CD66BD"/>
    <w:rsid w:val="30D90805"/>
    <w:rsid w:val="30DB6CFA"/>
    <w:rsid w:val="30F214D6"/>
    <w:rsid w:val="30F46739"/>
    <w:rsid w:val="30F527B5"/>
    <w:rsid w:val="30F53775"/>
    <w:rsid w:val="311168C3"/>
    <w:rsid w:val="31273F56"/>
    <w:rsid w:val="31297707"/>
    <w:rsid w:val="31414728"/>
    <w:rsid w:val="31633E26"/>
    <w:rsid w:val="31690DDD"/>
    <w:rsid w:val="316D35E7"/>
    <w:rsid w:val="31726056"/>
    <w:rsid w:val="317466FA"/>
    <w:rsid w:val="319D12B4"/>
    <w:rsid w:val="31A92D87"/>
    <w:rsid w:val="31B7679F"/>
    <w:rsid w:val="31C022E2"/>
    <w:rsid w:val="31C5622B"/>
    <w:rsid w:val="31D15979"/>
    <w:rsid w:val="31D62755"/>
    <w:rsid w:val="31EA18EB"/>
    <w:rsid w:val="31F52DF0"/>
    <w:rsid w:val="31F91F62"/>
    <w:rsid w:val="31FB0EFE"/>
    <w:rsid w:val="31FC0220"/>
    <w:rsid w:val="31FE716F"/>
    <w:rsid w:val="32162570"/>
    <w:rsid w:val="322F2A2C"/>
    <w:rsid w:val="32357787"/>
    <w:rsid w:val="32413236"/>
    <w:rsid w:val="32607DFF"/>
    <w:rsid w:val="32613E98"/>
    <w:rsid w:val="326D719D"/>
    <w:rsid w:val="327147D9"/>
    <w:rsid w:val="32964823"/>
    <w:rsid w:val="329C1450"/>
    <w:rsid w:val="32A17036"/>
    <w:rsid w:val="32A525C9"/>
    <w:rsid w:val="32B72961"/>
    <w:rsid w:val="32B87685"/>
    <w:rsid w:val="32D23C3B"/>
    <w:rsid w:val="32D63F2C"/>
    <w:rsid w:val="32DC3F40"/>
    <w:rsid w:val="32F522F5"/>
    <w:rsid w:val="32FA21CA"/>
    <w:rsid w:val="3304210D"/>
    <w:rsid w:val="330B1B18"/>
    <w:rsid w:val="33131661"/>
    <w:rsid w:val="331658CE"/>
    <w:rsid w:val="33200CA9"/>
    <w:rsid w:val="33525ACD"/>
    <w:rsid w:val="33531C05"/>
    <w:rsid w:val="3364011D"/>
    <w:rsid w:val="3369683F"/>
    <w:rsid w:val="337C1562"/>
    <w:rsid w:val="338B1C68"/>
    <w:rsid w:val="338B3697"/>
    <w:rsid w:val="339144BD"/>
    <w:rsid w:val="33A73EDC"/>
    <w:rsid w:val="33AD4963"/>
    <w:rsid w:val="33C120EC"/>
    <w:rsid w:val="33C80C39"/>
    <w:rsid w:val="33E65E5E"/>
    <w:rsid w:val="33E81E5A"/>
    <w:rsid w:val="33FF625E"/>
    <w:rsid w:val="34040FD2"/>
    <w:rsid w:val="340E5AA3"/>
    <w:rsid w:val="342113BF"/>
    <w:rsid w:val="34403F12"/>
    <w:rsid w:val="34435D28"/>
    <w:rsid w:val="34710F11"/>
    <w:rsid w:val="3484305A"/>
    <w:rsid w:val="34C45853"/>
    <w:rsid w:val="34D33E29"/>
    <w:rsid w:val="34E814C3"/>
    <w:rsid w:val="34EC4250"/>
    <w:rsid w:val="350728BA"/>
    <w:rsid w:val="35075824"/>
    <w:rsid w:val="35374E47"/>
    <w:rsid w:val="35496A01"/>
    <w:rsid w:val="354C772B"/>
    <w:rsid w:val="356315A7"/>
    <w:rsid w:val="357F6335"/>
    <w:rsid w:val="359B63DD"/>
    <w:rsid w:val="35A275B8"/>
    <w:rsid w:val="35A8447E"/>
    <w:rsid w:val="35C351C8"/>
    <w:rsid w:val="35D24B6F"/>
    <w:rsid w:val="36013B06"/>
    <w:rsid w:val="360533A6"/>
    <w:rsid w:val="36190B8C"/>
    <w:rsid w:val="361B2FD2"/>
    <w:rsid w:val="363427E5"/>
    <w:rsid w:val="363D32F2"/>
    <w:rsid w:val="364F0133"/>
    <w:rsid w:val="36683ACA"/>
    <w:rsid w:val="36857F45"/>
    <w:rsid w:val="368F2A60"/>
    <w:rsid w:val="369344D1"/>
    <w:rsid w:val="36947E72"/>
    <w:rsid w:val="36AF416B"/>
    <w:rsid w:val="36C71697"/>
    <w:rsid w:val="36E14578"/>
    <w:rsid w:val="36E94D26"/>
    <w:rsid w:val="371020BD"/>
    <w:rsid w:val="37126534"/>
    <w:rsid w:val="372346E9"/>
    <w:rsid w:val="37347AAA"/>
    <w:rsid w:val="37464EB9"/>
    <w:rsid w:val="3747231F"/>
    <w:rsid w:val="375B1811"/>
    <w:rsid w:val="376C3707"/>
    <w:rsid w:val="376D5FE7"/>
    <w:rsid w:val="37784C23"/>
    <w:rsid w:val="37904126"/>
    <w:rsid w:val="3795694F"/>
    <w:rsid w:val="37B32014"/>
    <w:rsid w:val="37BB4E8C"/>
    <w:rsid w:val="37C16C4A"/>
    <w:rsid w:val="37D04FB9"/>
    <w:rsid w:val="37F6004B"/>
    <w:rsid w:val="37F62C1B"/>
    <w:rsid w:val="37F95876"/>
    <w:rsid w:val="38080440"/>
    <w:rsid w:val="380C0B85"/>
    <w:rsid w:val="38255322"/>
    <w:rsid w:val="38414D52"/>
    <w:rsid w:val="38443081"/>
    <w:rsid w:val="38470D7F"/>
    <w:rsid w:val="38561A88"/>
    <w:rsid w:val="385739F5"/>
    <w:rsid w:val="385D1590"/>
    <w:rsid w:val="386C3FAC"/>
    <w:rsid w:val="3873152D"/>
    <w:rsid w:val="38A1636D"/>
    <w:rsid w:val="38A4513C"/>
    <w:rsid w:val="38A66040"/>
    <w:rsid w:val="38A90D94"/>
    <w:rsid w:val="38B47AC7"/>
    <w:rsid w:val="38BB7B3D"/>
    <w:rsid w:val="38F900FC"/>
    <w:rsid w:val="39346C92"/>
    <w:rsid w:val="394751AD"/>
    <w:rsid w:val="3947650B"/>
    <w:rsid w:val="396557D4"/>
    <w:rsid w:val="39735DA7"/>
    <w:rsid w:val="39941D81"/>
    <w:rsid w:val="39A03A60"/>
    <w:rsid w:val="39AF2C4F"/>
    <w:rsid w:val="39ED6B3B"/>
    <w:rsid w:val="3A0E1EEE"/>
    <w:rsid w:val="3A110BEB"/>
    <w:rsid w:val="3A1C16A4"/>
    <w:rsid w:val="3A1F561F"/>
    <w:rsid w:val="3A20445B"/>
    <w:rsid w:val="3A231DA0"/>
    <w:rsid w:val="3A3A6EBC"/>
    <w:rsid w:val="3A4208B1"/>
    <w:rsid w:val="3A4A60C7"/>
    <w:rsid w:val="3A575ECA"/>
    <w:rsid w:val="3A5B3F95"/>
    <w:rsid w:val="3A9466EF"/>
    <w:rsid w:val="3AAC12E5"/>
    <w:rsid w:val="3AB07DC6"/>
    <w:rsid w:val="3AB35609"/>
    <w:rsid w:val="3ABF76AF"/>
    <w:rsid w:val="3AC058DE"/>
    <w:rsid w:val="3AC92591"/>
    <w:rsid w:val="3AD9074E"/>
    <w:rsid w:val="3ADA4DC9"/>
    <w:rsid w:val="3AE47FD9"/>
    <w:rsid w:val="3AF16283"/>
    <w:rsid w:val="3B25710A"/>
    <w:rsid w:val="3B401561"/>
    <w:rsid w:val="3B5E5070"/>
    <w:rsid w:val="3B651396"/>
    <w:rsid w:val="3B733E41"/>
    <w:rsid w:val="3B846B7A"/>
    <w:rsid w:val="3B871F58"/>
    <w:rsid w:val="3B8A29AC"/>
    <w:rsid w:val="3BAB40DA"/>
    <w:rsid w:val="3BBB65BB"/>
    <w:rsid w:val="3BFF0CE6"/>
    <w:rsid w:val="3C0F423B"/>
    <w:rsid w:val="3C2B6D87"/>
    <w:rsid w:val="3C3B67A4"/>
    <w:rsid w:val="3C5139EC"/>
    <w:rsid w:val="3C580899"/>
    <w:rsid w:val="3C581FBC"/>
    <w:rsid w:val="3C5A6354"/>
    <w:rsid w:val="3C7D4BE0"/>
    <w:rsid w:val="3C9B3B4E"/>
    <w:rsid w:val="3CB71645"/>
    <w:rsid w:val="3CC7561D"/>
    <w:rsid w:val="3CCD54F2"/>
    <w:rsid w:val="3CD6005C"/>
    <w:rsid w:val="3CF36418"/>
    <w:rsid w:val="3D00007E"/>
    <w:rsid w:val="3D085260"/>
    <w:rsid w:val="3D175119"/>
    <w:rsid w:val="3D243EE5"/>
    <w:rsid w:val="3D2F0DB3"/>
    <w:rsid w:val="3D501F51"/>
    <w:rsid w:val="3D670947"/>
    <w:rsid w:val="3D77057D"/>
    <w:rsid w:val="3DAC0FE2"/>
    <w:rsid w:val="3DB625D5"/>
    <w:rsid w:val="3DC92CFC"/>
    <w:rsid w:val="3DDD4EF0"/>
    <w:rsid w:val="3DDE6511"/>
    <w:rsid w:val="3DE003A9"/>
    <w:rsid w:val="3DE2791A"/>
    <w:rsid w:val="3DE334C5"/>
    <w:rsid w:val="3DF3220C"/>
    <w:rsid w:val="3DF8294B"/>
    <w:rsid w:val="3E1D0372"/>
    <w:rsid w:val="3E3A106C"/>
    <w:rsid w:val="3E4A55C9"/>
    <w:rsid w:val="3E4D3892"/>
    <w:rsid w:val="3E7467BE"/>
    <w:rsid w:val="3E7C6004"/>
    <w:rsid w:val="3E9B7BD5"/>
    <w:rsid w:val="3EB15708"/>
    <w:rsid w:val="3ECB56B2"/>
    <w:rsid w:val="3ED56901"/>
    <w:rsid w:val="3ED8151A"/>
    <w:rsid w:val="3EDC5ADC"/>
    <w:rsid w:val="3EEB2A5B"/>
    <w:rsid w:val="3EEE7CF7"/>
    <w:rsid w:val="3EF92B31"/>
    <w:rsid w:val="3F1D6AE6"/>
    <w:rsid w:val="3F2651FA"/>
    <w:rsid w:val="3F4A7AE8"/>
    <w:rsid w:val="3F632CDC"/>
    <w:rsid w:val="3F652EBC"/>
    <w:rsid w:val="3F805CBA"/>
    <w:rsid w:val="3F89538C"/>
    <w:rsid w:val="3F942E96"/>
    <w:rsid w:val="3F9D773D"/>
    <w:rsid w:val="3FBE7221"/>
    <w:rsid w:val="3FCE7542"/>
    <w:rsid w:val="3FD24498"/>
    <w:rsid w:val="3FDC0490"/>
    <w:rsid w:val="3FDE6243"/>
    <w:rsid w:val="3FE24614"/>
    <w:rsid w:val="3FFF020C"/>
    <w:rsid w:val="400329D3"/>
    <w:rsid w:val="40137546"/>
    <w:rsid w:val="402D43EF"/>
    <w:rsid w:val="40417744"/>
    <w:rsid w:val="4061546E"/>
    <w:rsid w:val="40716360"/>
    <w:rsid w:val="40761F11"/>
    <w:rsid w:val="407821EF"/>
    <w:rsid w:val="40796427"/>
    <w:rsid w:val="40865F51"/>
    <w:rsid w:val="408B105B"/>
    <w:rsid w:val="40B70601"/>
    <w:rsid w:val="40DC1ABE"/>
    <w:rsid w:val="40E340D5"/>
    <w:rsid w:val="40E42A54"/>
    <w:rsid w:val="40F87A58"/>
    <w:rsid w:val="410E531D"/>
    <w:rsid w:val="411316C2"/>
    <w:rsid w:val="412C6380"/>
    <w:rsid w:val="412E1E66"/>
    <w:rsid w:val="412E4689"/>
    <w:rsid w:val="41314E40"/>
    <w:rsid w:val="41367723"/>
    <w:rsid w:val="4164531A"/>
    <w:rsid w:val="417B2017"/>
    <w:rsid w:val="418C27C9"/>
    <w:rsid w:val="41B25855"/>
    <w:rsid w:val="41C95A03"/>
    <w:rsid w:val="41FA319B"/>
    <w:rsid w:val="421B164C"/>
    <w:rsid w:val="421F5A2A"/>
    <w:rsid w:val="42641838"/>
    <w:rsid w:val="426465CC"/>
    <w:rsid w:val="4278456C"/>
    <w:rsid w:val="428A5DF7"/>
    <w:rsid w:val="42A316F1"/>
    <w:rsid w:val="42B016B4"/>
    <w:rsid w:val="42B702BC"/>
    <w:rsid w:val="42DC3A7C"/>
    <w:rsid w:val="42EF77CE"/>
    <w:rsid w:val="42FB33A0"/>
    <w:rsid w:val="432503FC"/>
    <w:rsid w:val="43311775"/>
    <w:rsid w:val="43491833"/>
    <w:rsid w:val="435F1C40"/>
    <w:rsid w:val="436A0B89"/>
    <w:rsid w:val="437B042C"/>
    <w:rsid w:val="438E58DF"/>
    <w:rsid w:val="439D1DF9"/>
    <w:rsid w:val="439F15AB"/>
    <w:rsid w:val="43C15973"/>
    <w:rsid w:val="43C63669"/>
    <w:rsid w:val="43D4556A"/>
    <w:rsid w:val="440136F0"/>
    <w:rsid w:val="44252A31"/>
    <w:rsid w:val="443474B4"/>
    <w:rsid w:val="44391F51"/>
    <w:rsid w:val="4443385D"/>
    <w:rsid w:val="444E0F43"/>
    <w:rsid w:val="445A6FD1"/>
    <w:rsid w:val="44617C0D"/>
    <w:rsid w:val="447F763C"/>
    <w:rsid w:val="448D5F93"/>
    <w:rsid w:val="44943C26"/>
    <w:rsid w:val="44A21AFB"/>
    <w:rsid w:val="44BF10C1"/>
    <w:rsid w:val="44F26424"/>
    <w:rsid w:val="44F52831"/>
    <w:rsid w:val="450A2DF0"/>
    <w:rsid w:val="45416C06"/>
    <w:rsid w:val="454669B6"/>
    <w:rsid w:val="45587D6F"/>
    <w:rsid w:val="45722B1E"/>
    <w:rsid w:val="45764D80"/>
    <w:rsid w:val="457A210E"/>
    <w:rsid w:val="458A58AA"/>
    <w:rsid w:val="458A6DC3"/>
    <w:rsid w:val="458E72A1"/>
    <w:rsid w:val="45975F5B"/>
    <w:rsid w:val="45A90E55"/>
    <w:rsid w:val="45C5343B"/>
    <w:rsid w:val="45DF6F46"/>
    <w:rsid w:val="45F67B77"/>
    <w:rsid w:val="46156388"/>
    <w:rsid w:val="46182062"/>
    <w:rsid w:val="461C792D"/>
    <w:rsid w:val="46285FC3"/>
    <w:rsid w:val="46342CDD"/>
    <w:rsid w:val="465515D1"/>
    <w:rsid w:val="46613618"/>
    <w:rsid w:val="466C06C8"/>
    <w:rsid w:val="468642B0"/>
    <w:rsid w:val="46926C32"/>
    <w:rsid w:val="469E234D"/>
    <w:rsid w:val="46BA6DAC"/>
    <w:rsid w:val="46DE6D91"/>
    <w:rsid w:val="46DF70EC"/>
    <w:rsid w:val="46E10F11"/>
    <w:rsid w:val="46E26BDC"/>
    <w:rsid w:val="46EB14C6"/>
    <w:rsid w:val="46FD3874"/>
    <w:rsid w:val="47060224"/>
    <w:rsid w:val="47084349"/>
    <w:rsid w:val="470942BC"/>
    <w:rsid w:val="470B699E"/>
    <w:rsid w:val="470D5A07"/>
    <w:rsid w:val="470F4992"/>
    <w:rsid w:val="472D53AF"/>
    <w:rsid w:val="4730618A"/>
    <w:rsid w:val="474A6C7D"/>
    <w:rsid w:val="474C0A7B"/>
    <w:rsid w:val="47831DA6"/>
    <w:rsid w:val="47860ED0"/>
    <w:rsid w:val="478709B8"/>
    <w:rsid w:val="47886656"/>
    <w:rsid w:val="479248A0"/>
    <w:rsid w:val="47A22C9A"/>
    <w:rsid w:val="47A51C6C"/>
    <w:rsid w:val="47B21ABF"/>
    <w:rsid w:val="47B42327"/>
    <w:rsid w:val="47DA07BC"/>
    <w:rsid w:val="47F049B2"/>
    <w:rsid w:val="48377ECC"/>
    <w:rsid w:val="483D2DB3"/>
    <w:rsid w:val="48444E4D"/>
    <w:rsid w:val="48595DFA"/>
    <w:rsid w:val="487A5DAD"/>
    <w:rsid w:val="488879B7"/>
    <w:rsid w:val="489E62CC"/>
    <w:rsid w:val="48A57EC2"/>
    <w:rsid w:val="48AA7310"/>
    <w:rsid w:val="48B56357"/>
    <w:rsid w:val="48C84B91"/>
    <w:rsid w:val="48D12541"/>
    <w:rsid w:val="490F4126"/>
    <w:rsid w:val="491C0B14"/>
    <w:rsid w:val="4940190C"/>
    <w:rsid w:val="496519EA"/>
    <w:rsid w:val="496A2801"/>
    <w:rsid w:val="49927EA9"/>
    <w:rsid w:val="4994569C"/>
    <w:rsid w:val="49960543"/>
    <w:rsid w:val="499C529B"/>
    <w:rsid w:val="49B92E53"/>
    <w:rsid w:val="49C45C0F"/>
    <w:rsid w:val="49C70810"/>
    <w:rsid w:val="49E42F3B"/>
    <w:rsid w:val="49E8763C"/>
    <w:rsid w:val="4A091C1A"/>
    <w:rsid w:val="4A0D582F"/>
    <w:rsid w:val="4A1717ED"/>
    <w:rsid w:val="4A366089"/>
    <w:rsid w:val="4A4B7A55"/>
    <w:rsid w:val="4A4D3F0D"/>
    <w:rsid w:val="4A561D5A"/>
    <w:rsid w:val="4A5C5131"/>
    <w:rsid w:val="4A6B055F"/>
    <w:rsid w:val="4A9342CF"/>
    <w:rsid w:val="4AA94432"/>
    <w:rsid w:val="4AAF2042"/>
    <w:rsid w:val="4ACD4673"/>
    <w:rsid w:val="4AD4459F"/>
    <w:rsid w:val="4AF6192C"/>
    <w:rsid w:val="4AFB064E"/>
    <w:rsid w:val="4B173794"/>
    <w:rsid w:val="4B324F62"/>
    <w:rsid w:val="4B3E725E"/>
    <w:rsid w:val="4B513059"/>
    <w:rsid w:val="4B543813"/>
    <w:rsid w:val="4B682CAF"/>
    <w:rsid w:val="4B8A4B5B"/>
    <w:rsid w:val="4B927F42"/>
    <w:rsid w:val="4B992DEB"/>
    <w:rsid w:val="4B9E3FFB"/>
    <w:rsid w:val="4BB238E1"/>
    <w:rsid w:val="4BB64BAF"/>
    <w:rsid w:val="4BC147AD"/>
    <w:rsid w:val="4BCD483A"/>
    <w:rsid w:val="4BD415A0"/>
    <w:rsid w:val="4BD94756"/>
    <w:rsid w:val="4C007962"/>
    <w:rsid w:val="4C0A4D89"/>
    <w:rsid w:val="4C334CC4"/>
    <w:rsid w:val="4C433B38"/>
    <w:rsid w:val="4C4F45D0"/>
    <w:rsid w:val="4C5D21E0"/>
    <w:rsid w:val="4C6072A3"/>
    <w:rsid w:val="4C7B5125"/>
    <w:rsid w:val="4CB425B4"/>
    <w:rsid w:val="4CC01064"/>
    <w:rsid w:val="4CEA030A"/>
    <w:rsid w:val="4CEE1203"/>
    <w:rsid w:val="4CF52248"/>
    <w:rsid w:val="4D2F0BD3"/>
    <w:rsid w:val="4D484513"/>
    <w:rsid w:val="4D695EF4"/>
    <w:rsid w:val="4D6E4D26"/>
    <w:rsid w:val="4D8A7DED"/>
    <w:rsid w:val="4D9D560B"/>
    <w:rsid w:val="4DA07254"/>
    <w:rsid w:val="4DBC0187"/>
    <w:rsid w:val="4DC1579E"/>
    <w:rsid w:val="4DCB203A"/>
    <w:rsid w:val="4DD4222A"/>
    <w:rsid w:val="4DE3634C"/>
    <w:rsid w:val="4DF56AA7"/>
    <w:rsid w:val="4DFD4A6A"/>
    <w:rsid w:val="4E085032"/>
    <w:rsid w:val="4E086F29"/>
    <w:rsid w:val="4E107CFC"/>
    <w:rsid w:val="4E1C41B2"/>
    <w:rsid w:val="4E3C6BD2"/>
    <w:rsid w:val="4E432B3D"/>
    <w:rsid w:val="4E5654E2"/>
    <w:rsid w:val="4E5755AD"/>
    <w:rsid w:val="4E5C1022"/>
    <w:rsid w:val="4E662280"/>
    <w:rsid w:val="4E6A383E"/>
    <w:rsid w:val="4E8650C0"/>
    <w:rsid w:val="4E9C0B40"/>
    <w:rsid w:val="4EC65D3D"/>
    <w:rsid w:val="4F076F6A"/>
    <w:rsid w:val="4F0C67FE"/>
    <w:rsid w:val="4F1E061D"/>
    <w:rsid w:val="4F475525"/>
    <w:rsid w:val="4F5F1A7F"/>
    <w:rsid w:val="4F6507F6"/>
    <w:rsid w:val="4F672E79"/>
    <w:rsid w:val="4F6F0ADD"/>
    <w:rsid w:val="4F752D4F"/>
    <w:rsid w:val="4F7621E1"/>
    <w:rsid w:val="4F7A4CC0"/>
    <w:rsid w:val="4FA35CE3"/>
    <w:rsid w:val="4FD86E1E"/>
    <w:rsid w:val="500C6F61"/>
    <w:rsid w:val="500F4F5B"/>
    <w:rsid w:val="50151DD1"/>
    <w:rsid w:val="502948A4"/>
    <w:rsid w:val="504C7201"/>
    <w:rsid w:val="5050211F"/>
    <w:rsid w:val="505B00AD"/>
    <w:rsid w:val="505B264A"/>
    <w:rsid w:val="505C7A00"/>
    <w:rsid w:val="50A576B2"/>
    <w:rsid w:val="50B066D9"/>
    <w:rsid w:val="50C47696"/>
    <w:rsid w:val="50C65596"/>
    <w:rsid w:val="50C76F73"/>
    <w:rsid w:val="50D717A9"/>
    <w:rsid w:val="50E0030E"/>
    <w:rsid w:val="50ED05B1"/>
    <w:rsid w:val="510D5B5B"/>
    <w:rsid w:val="510E1AFA"/>
    <w:rsid w:val="51441B43"/>
    <w:rsid w:val="51715335"/>
    <w:rsid w:val="51821967"/>
    <w:rsid w:val="519C2785"/>
    <w:rsid w:val="51A1362B"/>
    <w:rsid w:val="51AB70CA"/>
    <w:rsid w:val="51C21C86"/>
    <w:rsid w:val="51CF7B9E"/>
    <w:rsid w:val="51D45A6F"/>
    <w:rsid w:val="51E767B8"/>
    <w:rsid w:val="51FC0F51"/>
    <w:rsid w:val="52023CB8"/>
    <w:rsid w:val="52031D3D"/>
    <w:rsid w:val="52195377"/>
    <w:rsid w:val="522C1CD2"/>
    <w:rsid w:val="523B552C"/>
    <w:rsid w:val="52411EF0"/>
    <w:rsid w:val="525D691E"/>
    <w:rsid w:val="52917394"/>
    <w:rsid w:val="5298570C"/>
    <w:rsid w:val="52C66AF3"/>
    <w:rsid w:val="52CA50F4"/>
    <w:rsid w:val="52CA6AFE"/>
    <w:rsid w:val="53002729"/>
    <w:rsid w:val="530D3328"/>
    <w:rsid w:val="53116E11"/>
    <w:rsid w:val="531D5A98"/>
    <w:rsid w:val="53395EFA"/>
    <w:rsid w:val="538573C1"/>
    <w:rsid w:val="53923E52"/>
    <w:rsid w:val="539473F4"/>
    <w:rsid w:val="53965A08"/>
    <w:rsid w:val="53A53222"/>
    <w:rsid w:val="53C5766A"/>
    <w:rsid w:val="53C9735F"/>
    <w:rsid w:val="53ED7023"/>
    <w:rsid w:val="53F7701F"/>
    <w:rsid w:val="541F321E"/>
    <w:rsid w:val="543728FF"/>
    <w:rsid w:val="54763A92"/>
    <w:rsid w:val="547A57A4"/>
    <w:rsid w:val="54A778F3"/>
    <w:rsid w:val="54B55930"/>
    <w:rsid w:val="54C02356"/>
    <w:rsid w:val="54D20465"/>
    <w:rsid w:val="54DA2168"/>
    <w:rsid w:val="54DB1935"/>
    <w:rsid w:val="54F71AA5"/>
    <w:rsid w:val="54FA2491"/>
    <w:rsid w:val="54FA6D8E"/>
    <w:rsid w:val="550B1D60"/>
    <w:rsid w:val="550E5C38"/>
    <w:rsid w:val="551177AF"/>
    <w:rsid w:val="551E1CBE"/>
    <w:rsid w:val="55225FF6"/>
    <w:rsid w:val="55291DEA"/>
    <w:rsid w:val="555C33DA"/>
    <w:rsid w:val="55665D0A"/>
    <w:rsid w:val="557C5E02"/>
    <w:rsid w:val="558B66E9"/>
    <w:rsid w:val="55C57791"/>
    <w:rsid w:val="55C951EF"/>
    <w:rsid w:val="55CE071F"/>
    <w:rsid w:val="55D50815"/>
    <w:rsid w:val="55DF2C65"/>
    <w:rsid w:val="56125652"/>
    <w:rsid w:val="56150862"/>
    <w:rsid w:val="56162BC1"/>
    <w:rsid w:val="561A60E2"/>
    <w:rsid w:val="561B6BA6"/>
    <w:rsid w:val="561F77DE"/>
    <w:rsid w:val="56254DF9"/>
    <w:rsid w:val="562B12CC"/>
    <w:rsid w:val="5639730D"/>
    <w:rsid w:val="56532A68"/>
    <w:rsid w:val="565C0AAA"/>
    <w:rsid w:val="565E329E"/>
    <w:rsid w:val="56624A5E"/>
    <w:rsid w:val="56687807"/>
    <w:rsid w:val="56796550"/>
    <w:rsid w:val="568804E8"/>
    <w:rsid w:val="568847B9"/>
    <w:rsid w:val="56B45887"/>
    <w:rsid w:val="56DE3DF2"/>
    <w:rsid w:val="57142B24"/>
    <w:rsid w:val="5719740B"/>
    <w:rsid w:val="572C2EAE"/>
    <w:rsid w:val="5733686E"/>
    <w:rsid w:val="5737087F"/>
    <w:rsid w:val="573D6624"/>
    <w:rsid w:val="574257CC"/>
    <w:rsid w:val="575B51A1"/>
    <w:rsid w:val="575F44FA"/>
    <w:rsid w:val="575F6053"/>
    <w:rsid w:val="57715D26"/>
    <w:rsid w:val="577B4B3D"/>
    <w:rsid w:val="578038D2"/>
    <w:rsid w:val="578355F9"/>
    <w:rsid w:val="57846F55"/>
    <w:rsid w:val="57AA2DFF"/>
    <w:rsid w:val="57C9426D"/>
    <w:rsid w:val="57DB1653"/>
    <w:rsid w:val="57E5652D"/>
    <w:rsid w:val="58087123"/>
    <w:rsid w:val="582439D6"/>
    <w:rsid w:val="58343FB2"/>
    <w:rsid w:val="58422889"/>
    <w:rsid w:val="58501BF8"/>
    <w:rsid w:val="58580641"/>
    <w:rsid w:val="58625E92"/>
    <w:rsid w:val="58630A71"/>
    <w:rsid w:val="587B71B7"/>
    <w:rsid w:val="58801702"/>
    <w:rsid w:val="58A34D72"/>
    <w:rsid w:val="58B55FDB"/>
    <w:rsid w:val="58BD7BBB"/>
    <w:rsid w:val="58CD3AF0"/>
    <w:rsid w:val="58D7622E"/>
    <w:rsid w:val="58DC7B4E"/>
    <w:rsid w:val="58E54DF2"/>
    <w:rsid w:val="58F702C5"/>
    <w:rsid w:val="5915450F"/>
    <w:rsid w:val="592940D5"/>
    <w:rsid w:val="593B099E"/>
    <w:rsid w:val="594F1EAF"/>
    <w:rsid w:val="5951669D"/>
    <w:rsid w:val="59557B18"/>
    <w:rsid w:val="59594D71"/>
    <w:rsid w:val="59646963"/>
    <w:rsid w:val="597415F4"/>
    <w:rsid w:val="59877B08"/>
    <w:rsid w:val="5A057883"/>
    <w:rsid w:val="5A262F40"/>
    <w:rsid w:val="5A2E7ADF"/>
    <w:rsid w:val="5A3E47BE"/>
    <w:rsid w:val="5A3F3830"/>
    <w:rsid w:val="5A5278E8"/>
    <w:rsid w:val="5A6364FC"/>
    <w:rsid w:val="5A666567"/>
    <w:rsid w:val="5A7A2D04"/>
    <w:rsid w:val="5A9276D1"/>
    <w:rsid w:val="5AA0484E"/>
    <w:rsid w:val="5AB9222A"/>
    <w:rsid w:val="5AC66459"/>
    <w:rsid w:val="5AC73211"/>
    <w:rsid w:val="5AF70A51"/>
    <w:rsid w:val="5B03111D"/>
    <w:rsid w:val="5B13444D"/>
    <w:rsid w:val="5B23379B"/>
    <w:rsid w:val="5B330F7D"/>
    <w:rsid w:val="5B4D2081"/>
    <w:rsid w:val="5B4D4644"/>
    <w:rsid w:val="5B512D0F"/>
    <w:rsid w:val="5B6D7038"/>
    <w:rsid w:val="5B7342D1"/>
    <w:rsid w:val="5B7440D9"/>
    <w:rsid w:val="5B804D79"/>
    <w:rsid w:val="5B8228C3"/>
    <w:rsid w:val="5B9B0DFA"/>
    <w:rsid w:val="5BB57FC4"/>
    <w:rsid w:val="5BC215A6"/>
    <w:rsid w:val="5BC24567"/>
    <w:rsid w:val="5BC83D08"/>
    <w:rsid w:val="5BD24B96"/>
    <w:rsid w:val="5BD5070D"/>
    <w:rsid w:val="5BDA6EC2"/>
    <w:rsid w:val="5BF0455A"/>
    <w:rsid w:val="5C0674B0"/>
    <w:rsid w:val="5C0A3EA9"/>
    <w:rsid w:val="5C0B52F4"/>
    <w:rsid w:val="5C0D35F0"/>
    <w:rsid w:val="5C257FE0"/>
    <w:rsid w:val="5C323DFE"/>
    <w:rsid w:val="5C3F4870"/>
    <w:rsid w:val="5C585BC1"/>
    <w:rsid w:val="5C620809"/>
    <w:rsid w:val="5C6B2172"/>
    <w:rsid w:val="5C786ADC"/>
    <w:rsid w:val="5C9E3D10"/>
    <w:rsid w:val="5CB079D7"/>
    <w:rsid w:val="5CB70498"/>
    <w:rsid w:val="5CBA37D5"/>
    <w:rsid w:val="5CC449B2"/>
    <w:rsid w:val="5CD10A9A"/>
    <w:rsid w:val="5D03176B"/>
    <w:rsid w:val="5D2148DF"/>
    <w:rsid w:val="5D2611FB"/>
    <w:rsid w:val="5D273C43"/>
    <w:rsid w:val="5D3E2818"/>
    <w:rsid w:val="5D710AEC"/>
    <w:rsid w:val="5D7B1D0F"/>
    <w:rsid w:val="5D8972C7"/>
    <w:rsid w:val="5D8E2B2F"/>
    <w:rsid w:val="5DA22F5E"/>
    <w:rsid w:val="5DC80798"/>
    <w:rsid w:val="5DDA216B"/>
    <w:rsid w:val="5DE77FD4"/>
    <w:rsid w:val="5DEA052F"/>
    <w:rsid w:val="5E1163C7"/>
    <w:rsid w:val="5E212DE3"/>
    <w:rsid w:val="5E2F6083"/>
    <w:rsid w:val="5E3133BC"/>
    <w:rsid w:val="5E397634"/>
    <w:rsid w:val="5E422D1B"/>
    <w:rsid w:val="5E5235A7"/>
    <w:rsid w:val="5E594376"/>
    <w:rsid w:val="5E691558"/>
    <w:rsid w:val="5E6F5506"/>
    <w:rsid w:val="5E77265C"/>
    <w:rsid w:val="5E7B0C8C"/>
    <w:rsid w:val="5E7B627F"/>
    <w:rsid w:val="5E7C0212"/>
    <w:rsid w:val="5E7F4FE5"/>
    <w:rsid w:val="5ECF489F"/>
    <w:rsid w:val="5ED35729"/>
    <w:rsid w:val="5ED92A36"/>
    <w:rsid w:val="5EED5626"/>
    <w:rsid w:val="5EFA28BD"/>
    <w:rsid w:val="5F270514"/>
    <w:rsid w:val="5F4064B3"/>
    <w:rsid w:val="5F4568EB"/>
    <w:rsid w:val="5F49114F"/>
    <w:rsid w:val="5F4C40E0"/>
    <w:rsid w:val="5F5E5040"/>
    <w:rsid w:val="5F8B41E9"/>
    <w:rsid w:val="5F97010C"/>
    <w:rsid w:val="5FA97E40"/>
    <w:rsid w:val="5FBA41D0"/>
    <w:rsid w:val="5FD27F1C"/>
    <w:rsid w:val="5FDA69DC"/>
    <w:rsid w:val="5FF102F8"/>
    <w:rsid w:val="602B7E68"/>
    <w:rsid w:val="604A0FC0"/>
    <w:rsid w:val="60615301"/>
    <w:rsid w:val="60626A44"/>
    <w:rsid w:val="607D6C44"/>
    <w:rsid w:val="608068C2"/>
    <w:rsid w:val="60874B22"/>
    <w:rsid w:val="60A066CB"/>
    <w:rsid w:val="60A24FBB"/>
    <w:rsid w:val="60A279E2"/>
    <w:rsid w:val="60AF1EFE"/>
    <w:rsid w:val="60C362AB"/>
    <w:rsid w:val="60C65E57"/>
    <w:rsid w:val="60D53C6D"/>
    <w:rsid w:val="60F87C08"/>
    <w:rsid w:val="610F6B81"/>
    <w:rsid w:val="612643FF"/>
    <w:rsid w:val="61305DCF"/>
    <w:rsid w:val="61316865"/>
    <w:rsid w:val="6138147B"/>
    <w:rsid w:val="614222FA"/>
    <w:rsid w:val="61486B8A"/>
    <w:rsid w:val="61490241"/>
    <w:rsid w:val="614D0557"/>
    <w:rsid w:val="615A08D4"/>
    <w:rsid w:val="61666DD3"/>
    <w:rsid w:val="616F12E7"/>
    <w:rsid w:val="61805C80"/>
    <w:rsid w:val="618F30B0"/>
    <w:rsid w:val="619B1870"/>
    <w:rsid w:val="619F38B3"/>
    <w:rsid w:val="619F795D"/>
    <w:rsid w:val="61A80DBC"/>
    <w:rsid w:val="61AE0FAA"/>
    <w:rsid w:val="61B1479A"/>
    <w:rsid w:val="61C64243"/>
    <w:rsid w:val="62092E18"/>
    <w:rsid w:val="62203464"/>
    <w:rsid w:val="62226602"/>
    <w:rsid w:val="623D448F"/>
    <w:rsid w:val="623E4F8E"/>
    <w:rsid w:val="62496C4B"/>
    <w:rsid w:val="626B66C0"/>
    <w:rsid w:val="627B6DF2"/>
    <w:rsid w:val="62917278"/>
    <w:rsid w:val="62A42B52"/>
    <w:rsid w:val="62A526C8"/>
    <w:rsid w:val="62B231AB"/>
    <w:rsid w:val="62B3036A"/>
    <w:rsid w:val="62D81168"/>
    <w:rsid w:val="62E33EBD"/>
    <w:rsid w:val="630B442A"/>
    <w:rsid w:val="630D4AD4"/>
    <w:rsid w:val="63110A97"/>
    <w:rsid w:val="63186C78"/>
    <w:rsid w:val="63371B7B"/>
    <w:rsid w:val="63372EED"/>
    <w:rsid w:val="6375398D"/>
    <w:rsid w:val="63784FCE"/>
    <w:rsid w:val="6388699F"/>
    <w:rsid w:val="63A06345"/>
    <w:rsid w:val="63AF4930"/>
    <w:rsid w:val="63B374DF"/>
    <w:rsid w:val="63BA6FE3"/>
    <w:rsid w:val="63D27DD0"/>
    <w:rsid w:val="63ED4609"/>
    <w:rsid w:val="640377A5"/>
    <w:rsid w:val="64055CB4"/>
    <w:rsid w:val="64123B35"/>
    <w:rsid w:val="641E6797"/>
    <w:rsid w:val="641F26E7"/>
    <w:rsid w:val="6420374D"/>
    <w:rsid w:val="642D20FB"/>
    <w:rsid w:val="643C2D97"/>
    <w:rsid w:val="64411EFD"/>
    <w:rsid w:val="644E3A1E"/>
    <w:rsid w:val="648D2B15"/>
    <w:rsid w:val="648F3ED8"/>
    <w:rsid w:val="648F6627"/>
    <w:rsid w:val="64951A0D"/>
    <w:rsid w:val="6498073D"/>
    <w:rsid w:val="649B377E"/>
    <w:rsid w:val="64A124E9"/>
    <w:rsid w:val="64A743E1"/>
    <w:rsid w:val="64AD75D0"/>
    <w:rsid w:val="64B70768"/>
    <w:rsid w:val="64B83262"/>
    <w:rsid w:val="64B834F9"/>
    <w:rsid w:val="64D14BAC"/>
    <w:rsid w:val="64D70FAB"/>
    <w:rsid w:val="64E32304"/>
    <w:rsid w:val="64FE506C"/>
    <w:rsid w:val="650303B0"/>
    <w:rsid w:val="651B32B6"/>
    <w:rsid w:val="65306421"/>
    <w:rsid w:val="655527CE"/>
    <w:rsid w:val="658D21D7"/>
    <w:rsid w:val="65931D0D"/>
    <w:rsid w:val="65991A08"/>
    <w:rsid w:val="659B451A"/>
    <w:rsid w:val="65C51AE0"/>
    <w:rsid w:val="66073A7C"/>
    <w:rsid w:val="660C6800"/>
    <w:rsid w:val="66245E57"/>
    <w:rsid w:val="66320FCE"/>
    <w:rsid w:val="66441B1C"/>
    <w:rsid w:val="66572161"/>
    <w:rsid w:val="666437C4"/>
    <w:rsid w:val="666837FF"/>
    <w:rsid w:val="66697C6E"/>
    <w:rsid w:val="66725705"/>
    <w:rsid w:val="6673321A"/>
    <w:rsid w:val="66761ADA"/>
    <w:rsid w:val="667E3621"/>
    <w:rsid w:val="66817E3B"/>
    <w:rsid w:val="668E61F7"/>
    <w:rsid w:val="669431CD"/>
    <w:rsid w:val="66CF0383"/>
    <w:rsid w:val="66D3664A"/>
    <w:rsid w:val="66D934A5"/>
    <w:rsid w:val="67002181"/>
    <w:rsid w:val="670B5524"/>
    <w:rsid w:val="67103DC0"/>
    <w:rsid w:val="67110D14"/>
    <w:rsid w:val="671E4450"/>
    <w:rsid w:val="673806AB"/>
    <w:rsid w:val="67396246"/>
    <w:rsid w:val="6757506D"/>
    <w:rsid w:val="67683F36"/>
    <w:rsid w:val="67786A75"/>
    <w:rsid w:val="678F5B28"/>
    <w:rsid w:val="679338AF"/>
    <w:rsid w:val="67AF2BBD"/>
    <w:rsid w:val="67C9107F"/>
    <w:rsid w:val="67D61813"/>
    <w:rsid w:val="67F26589"/>
    <w:rsid w:val="67F44D9B"/>
    <w:rsid w:val="680A67EB"/>
    <w:rsid w:val="680D7135"/>
    <w:rsid w:val="680F7DD5"/>
    <w:rsid w:val="685F1AFD"/>
    <w:rsid w:val="686E19D3"/>
    <w:rsid w:val="68703BF0"/>
    <w:rsid w:val="68BF6D15"/>
    <w:rsid w:val="68DB177A"/>
    <w:rsid w:val="68DF136E"/>
    <w:rsid w:val="690C738C"/>
    <w:rsid w:val="69360E70"/>
    <w:rsid w:val="693E2E68"/>
    <w:rsid w:val="694C4892"/>
    <w:rsid w:val="695D2814"/>
    <w:rsid w:val="695F1DC6"/>
    <w:rsid w:val="697028DF"/>
    <w:rsid w:val="69894209"/>
    <w:rsid w:val="699367BB"/>
    <w:rsid w:val="69A169F9"/>
    <w:rsid w:val="69A62C1F"/>
    <w:rsid w:val="69B11E33"/>
    <w:rsid w:val="69D86FAC"/>
    <w:rsid w:val="69D874E3"/>
    <w:rsid w:val="69E24208"/>
    <w:rsid w:val="69FD7706"/>
    <w:rsid w:val="6A0A2986"/>
    <w:rsid w:val="6A49777D"/>
    <w:rsid w:val="6A4B16F7"/>
    <w:rsid w:val="6A6460F1"/>
    <w:rsid w:val="6A6A0139"/>
    <w:rsid w:val="6A6A2A46"/>
    <w:rsid w:val="6A7B0869"/>
    <w:rsid w:val="6A7B4222"/>
    <w:rsid w:val="6A8B0606"/>
    <w:rsid w:val="6A8B1840"/>
    <w:rsid w:val="6A8E79C2"/>
    <w:rsid w:val="6AB6049E"/>
    <w:rsid w:val="6AC82D50"/>
    <w:rsid w:val="6AE71568"/>
    <w:rsid w:val="6AEC4BDE"/>
    <w:rsid w:val="6B045749"/>
    <w:rsid w:val="6B2914BE"/>
    <w:rsid w:val="6B2E55FA"/>
    <w:rsid w:val="6B3C5BFF"/>
    <w:rsid w:val="6B420139"/>
    <w:rsid w:val="6B5A639D"/>
    <w:rsid w:val="6B793957"/>
    <w:rsid w:val="6B854318"/>
    <w:rsid w:val="6B855E11"/>
    <w:rsid w:val="6B900B29"/>
    <w:rsid w:val="6B955CB8"/>
    <w:rsid w:val="6BAA0405"/>
    <w:rsid w:val="6BAE2BC7"/>
    <w:rsid w:val="6BB56954"/>
    <w:rsid w:val="6BD205AA"/>
    <w:rsid w:val="6BD92770"/>
    <w:rsid w:val="6BDD1977"/>
    <w:rsid w:val="6BE96194"/>
    <w:rsid w:val="6BEF0BDB"/>
    <w:rsid w:val="6BFE53C8"/>
    <w:rsid w:val="6C007F14"/>
    <w:rsid w:val="6C103946"/>
    <w:rsid w:val="6C180827"/>
    <w:rsid w:val="6C206EF4"/>
    <w:rsid w:val="6C2625E9"/>
    <w:rsid w:val="6C2A5AA0"/>
    <w:rsid w:val="6C334675"/>
    <w:rsid w:val="6C365F1D"/>
    <w:rsid w:val="6C476F30"/>
    <w:rsid w:val="6C584EA0"/>
    <w:rsid w:val="6C6E50CE"/>
    <w:rsid w:val="6C9A7951"/>
    <w:rsid w:val="6CA30EBC"/>
    <w:rsid w:val="6CCC34A0"/>
    <w:rsid w:val="6CD40BF2"/>
    <w:rsid w:val="6CDA5ADC"/>
    <w:rsid w:val="6CDB5134"/>
    <w:rsid w:val="6CE801F9"/>
    <w:rsid w:val="6D034D0B"/>
    <w:rsid w:val="6D154876"/>
    <w:rsid w:val="6D2221B7"/>
    <w:rsid w:val="6D3276C6"/>
    <w:rsid w:val="6D3B39DF"/>
    <w:rsid w:val="6D446103"/>
    <w:rsid w:val="6D68758C"/>
    <w:rsid w:val="6D6B61DF"/>
    <w:rsid w:val="6D805CD7"/>
    <w:rsid w:val="6D9C504D"/>
    <w:rsid w:val="6DA02827"/>
    <w:rsid w:val="6DAC5C5F"/>
    <w:rsid w:val="6DAF40E3"/>
    <w:rsid w:val="6DC04C2C"/>
    <w:rsid w:val="6DD469CF"/>
    <w:rsid w:val="6DE525C3"/>
    <w:rsid w:val="6DE611E8"/>
    <w:rsid w:val="6DF47BD0"/>
    <w:rsid w:val="6E2D7626"/>
    <w:rsid w:val="6E307B54"/>
    <w:rsid w:val="6E4E1E74"/>
    <w:rsid w:val="6E5804E3"/>
    <w:rsid w:val="6E6D2137"/>
    <w:rsid w:val="6E89563D"/>
    <w:rsid w:val="6E8D6E50"/>
    <w:rsid w:val="6E8F0A8D"/>
    <w:rsid w:val="6E9F6171"/>
    <w:rsid w:val="6EA41782"/>
    <w:rsid w:val="6EC0794E"/>
    <w:rsid w:val="6ECF493D"/>
    <w:rsid w:val="6ED47B29"/>
    <w:rsid w:val="6EFB52CF"/>
    <w:rsid w:val="6EFB6167"/>
    <w:rsid w:val="6EFC067D"/>
    <w:rsid w:val="6EFF40A4"/>
    <w:rsid w:val="6F0F1C57"/>
    <w:rsid w:val="6F124E6A"/>
    <w:rsid w:val="6F171AF1"/>
    <w:rsid w:val="6F24631D"/>
    <w:rsid w:val="6F446734"/>
    <w:rsid w:val="6F6A1399"/>
    <w:rsid w:val="6F717F75"/>
    <w:rsid w:val="6F85361A"/>
    <w:rsid w:val="6F920016"/>
    <w:rsid w:val="6F9257DB"/>
    <w:rsid w:val="6FDE7534"/>
    <w:rsid w:val="6FE24803"/>
    <w:rsid w:val="6FFB5F5A"/>
    <w:rsid w:val="700E0498"/>
    <w:rsid w:val="70105BD0"/>
    <w:rsid w:val="702465D1"/>
    <w:rsid w:val="702910D8"/>
    <w:rsid w:val="703B40F2"/>
    <w:rsid w:val="703F6F0B"/>
    <w:rsid w:val="70403D46"/>
    <w:rsid w:val="7071214D"/>
    <w:rsid w:val="70A628A5"/>
    <w:rsid w:val="70AA3D9A"/>
    <w:rsid w:val="70AF4E97"/>
    <w:rsid w:val="70CA406F"/>
    <w:rsid w:val="70F86798"/>
    <w:rsid w:val="71051F2B"/>
    <w:rsid w:val="710904A5"/>
    <w:rsid w:val="71140A09"/>
    <w:rsid w:val="711D0624"/>
    <w:rsid w:val="71230730"/>
    <w:rsid w:val="71234CB2"/>
    <w:rsid w:val="71265AAF"/>
    <w:rsid w:val="713B41EF"/>
    <w:rsid w:val="714026EB"/>
    <w:rsid w:val="7153246F"/>
    <w:rsid w:val="71690EDF"/>
    <w:rsid w:val="716D3CFD"/>
    <w:rsid w:val="717100DF"/>
    <w:rsid w:val="7177060A"/>
    <w:rsid w:val="71885A63"/>
    <w:rsid w:val="719134C4"/>
    <w:rsid w:val="719153A8"/>
    <w:rsid w:val="719743A9"/>
    <w:rsid w:val="71A130D0"/>
    <w:rsid w:val="71AF0CE6"/>
    <w:rsid w:val="71B41656"/>
    <w:rsid w:val="71C00419"/>
    <w:rsid w:val="71C7135A"/>
    <w:rsid w:val="71ED5C9B"/>
    <w:rsid w:val="71EF218B"/>
    <w:rsid w:val="71F01EAF"/>
    <w:rsid w:val="71F27518"/>
    <w:rsid w:val="720C6738"/>
    <w:rsid w:val="720D1C88"/>
    <w:rsid w:val="72367553"/>
    <w:rsid w:val="723F36A5"/>
    <w:rsid w:val="72421BA8"/>
    <w:rsid w:val="724834E8"/>
    <w:rsid w:val="724E0079"/>
    <w:rsid w:val="72601DD4"/>
    <w:rsid w:val="726B0877"/>
    <w:rsid w:val="726D41A8"/>
    <w:rsid w:val="72750547"/>
    <w:rsid w:val="72973F01"/>
    <w:rsid w:val="729B76F0"/>
    <w:rsid w:val="72B73D63"/>
    <w:rsid w:val="72D43C27"/>
    <w:rsid w:val="72E55DD6"/>
    <w:rsid w:val="72FA0C86"/>
    <w:rsid w:val="730544F5"/>
    <w:rsid w:val="730E64E0"/>
    <w:rsid w:val="73103829"/>
    <w:rsid w:val="73192C01"/>
    <w:rsid w:val="733D6046"/>
    <w:rsid w:val="73440153"/>
    <w:rsid w:val="737F3D34"/>
    <w:rsid w:val="73AB26DD"/>
    <w:rsid w:val="73AF16F5"/>
    <w:rsid w:val="73C54486"/>
    <w:rsid w:val="74240A09"/>
    <w:rsid w:val="742C64FE"/>
    <w:rsid w:val="742F7820"/>
    <w:rsid w:val="74515200"/>
    <w:rsid w:val="74871BFD"/>
    <w:rsid w:val="748E5477"/>
    <w:rsid w:val="74962C31"/>
    <w:rsid w:val="74A419DE"/>
    <w:rsid w:val="74AE17F7"/>
    <w:rsid w:val="74B04639"/>
    <w:rsid w:val="74B758F6"/>
    <w:rsid w:val="74BE6A9D"/>
    <w:rsid w:val="74D3111C"/>
    <w:rsid w:val="74D56F46"/>
    <w:rsid w:val="74D57901"/>
    <w:rsid w:val="74EC5DFD"/>
    <w:rsid w:val="74FE2978"/>
    <w:rsid w:val="74FF4D1E"/>
    <w:rsid w:val="750725DB"/>
    <w:rsid w:val="750758DC"/>
    <w:rsid w:val="75191C52"/>
    <w:rsid w:val="7524058C"/>
    <w:rsid w:val="75321397"/>
    <w:rsid w:val="753348DF"/>
    <w:rsid w:val="75460A06"/>
    <w:rsid w:val="756838A0"/>
    <w:rsid w:val="75686015"/>
    <w:rsid w:val="75757292"/>
    <w:rsid w:val="75771499"/>
    <w:rsid w:val="757E1B07"/>
    <w:rsid w:val="75A2480D"/>
    <w:rsid w:val="75AB5389"/>
    <w:rsid w:val="75B000FF"/>
    <w:rsid w:val="75B31E37"/>
    <w:rsid w:val="75C55281"/>
    <w:rsid w:val="75CD6D61"/>
    <w:rsid w:val="75D65FA0"/>
    <w:rsid w:val="75E540C8"/>
    <w:rsid w:val="76133609"/>
    <w:rsid w:val="761D184D"/>
    <w:rsid w:val="762119FD"/>
    <w:rsid w:val="76214990"/>
    <w:rsid w:val="762F763D"/>
    <w:rsid w:val="763F0F26"/>
    <w:rsid w:val="764050B6"/>
    <w:rsid w:val="76480549"/>
    <w:rsid w:val="76882F1E"/>
    <w:rsid w:val="76CD007A"/>
    <w:rsid w:val="7720409A"/>
    <w:rsid w:val="77373A19"/>
    <w:rsid w:val="777758A3"/>
    <w:rsid w:val="7783284C"/>
    <w:rsid w:val="778636B8"/>
    <w:rsid w:val="778D4B16"/>
    <w:rsid w:val="778F6BE4"/>
    <w:rsid w:val="77D219E5"/>
    <w:rsid w:val="77DA7C54"/>
    <w:rsid w:val="78252301"/>
    <w:rsid w:val="786F7AC3"/>
    <w:rsid w:val="78A7749A"/>
    <w:rsid w:val="78BE4CDA"/>
    <w:rsid w:val="78C0208F"/>
    <w:rsid w:val="78CD7418"/>
    <w:rsid w:val="78CF61A7"/>
    <w:rsid w:val="78D10656"/>
    <w:rsid w:val="78D50209"/>
    <w:rsid w:val="78ED115A"/>
    <w:rsid w:val="78EE0BFB"/>
    <w:rsid w:val="78F47BD6"/>
    <w:rsid w:val="78FD693B"/>
    <w:rsid w:val="79054973"/>
    <w:rsid w:val="79071D36"/>
    <w:rsid w:val="793774DF"/>
    <w:rsid w:val="793C7C88"/>
    <w:rsid w:val="794F20B4"/>
    <w:rsid w:val="79741FA4"/>
    <w:rsid w:val="7974543C"/>
    <w:rsid w:val="797766A8"/>
    <w:rsid w:val="797957E4"/>
    <w:rsid w:val="797D1FD5"/>
    <w:rsid w:val="79823CC1"/>
    <w:rsid w:val="79B67CF4"/>
    <w:rsid w:val="79CE7F93"/>
    <w:rsid w:val="79D27B0B"/>
    <w:rsid w:val="7A0B0646"/>
    <w:rsid w:val="7A1128BD"/>
    <w:rsid w:val="7A3F1776"/>
    <w:rsid w:val="7A4338B9"/>
    <w:rsid w:val="7A436D07"/>
    <w:rsid w:val="7A440A39"/>
    <w:rsid w:val="7A535C66"/>
    <w:rsid w:val="7A6D0122"/>
    <w:rsid w:val="7A7111C8"/>
    <w:rsid w:val="7A7F64AF"/>
    <w:rsid w:val="7A823756"/>
    <w:rsid w:val="7A897747"/>
    <w:rsid w:val="7A8A5AE9"/>
    <w:rsid w:val="7A9E10A8"/>
    <w:rsid w:val="7AA96E39"/>
    <w:rsid w:val="7ABA6C62"/>
    <w:rsid w:val="7ACE4ED2"/>
    <w:rsid w:val="7AD131F4"/>
    <w:rsid w:val="7AF1310B"/>
    <w:rsid w:val="7AFD301A"/>
    <w:rsid w:val="7B017F63"/>
    <w:rsid w:val="7B1E000D"/>
    <w:rsid w:val="7B2A4A0A"/>
    <w:rsid w:val="7B450413"/>
    <w:rsid w:val="7B48665E"/>
    <w:rsid w:val="7B501FA3"/>
    <w:rsid w:val="7B62561B"/>
    <w:rsid w:val="7B707050"/>
    <w:rsid w:val="7B8178AD"/>
    <w:rsid w:val="7BB10350"/>
    <w:rsid w:val="7BC05180"/>
    <w:rsid w:val="7BD16399"/>
    <w:rsid w:val="7C187FC7"/>
    <w:rsid w:val="7C255806"/>
    <w:rsid w:val="7C3F3F05"/>
    <w:rsid w:val="7C5F1B82"/>
    <w:rsid w:val="7C611A9B"/>
    <w:rsid w:val="7C727011"/>
    <w:rsid w:val="7C790E6E"/>
    <w:rsid w:val="7C8124B5"/>
    <w:rsid w:val="7C8E2B4F"/>
    <w:rsid w:val="7CB379AB"/>
    <w:rsid w:val="7CCB4DB6"/>
    <w:rsid w:val="7CD14D84"/>
    <w:rsid w:val="7CE45748"/>
    <w:rsid w:val="7CE8155B"/>
    <w:rsid w:val="7CF51DC9"/>
    <w:rsid w:val="7CF820C9"/>
    <w:rsid w:val="7D020E63"/>
    <w:rsid w:val="7D294710"/>
    <w:rsid w:val="7D3354C1"/>
    <w:rsid w:val="7D3E13A2"/>
    <w:rsid w:val="7D403FA6"/>
    <w:rsid w:val="7D6D3515"/>
    <w:rsid w:val="7D7A4200"/>
    <w:rsid w:val="7DB132D0"/>
    <w:rsid w:val="7DC24AD2"/>
    <w:rsid w:val="7DD84CE5"/>
    <w:rsid w:val="7DF4257A"/>
    <w:rsid w:val="7DFD11A7"/>
    <w:rsid w:val="7E225451"/>
    <w:rsid w:val="7E332FF7"/>
    <w:rsid w:val="7E3518EA"/>
    <w:rsid w:val="7E473426"/>
    <w:rsid w:val="7E5A101C"/>
    <w:rsid w:val="7E6A0232"/>
    <w:rsid w:val="7E6A6D6C"/>
    <w:rsid w:val="7E743D8C"/>
    <w:rsid w:val="7E776242"/>
    <w:rsid w:val="7E7B2964"/>
    <w:rsid w:val="7EAB72D9"/>
    <w:rsid w:val="7EC5047E"/>
    <w:rsid w:val="7EEC0A6D"/>
    <w:rsid w:val="7F1E3456"/>
    <w:rsid w:val="7F2340B5"/>
    <w:rsid w:val="7F4D7871"/>
    <w:rsid w:val="7F585494"/>
    <w:rsid w:val="7F5F404B"/>
    <w:rsid w:val="7F7E5E41"/>
    <w:rsid w:val="7F9C3ECC"/>
    <w:rsid w:val="7FA05E9C"/>
    <w:rsid w:val="7FA526C4"/>
    <w:rsid w:val="7FB442F3"/>
    <w:rsid w:val="7FCC39AA"/>
    <w:rsid w:val="7FD401CE"/>
    <w:rsid w:val="7FDB22D9"/>
    <w:rsid w:val="7FE92CA3"/>
    <w:rsid w:val="7FEC2099"/>
    <w:rsid w:val="7FEF2E8F"/>
    <w:rsid w:val="7FFB7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70C0"/>
    </o:shapedefaults>
    <o:shapelayout v:ext="edit">
      <o:idmap v:ext="edit" data="2,3"/>
      <o:rules v:ext="edit">
        <o:r id="V:Rule1" type="callout" idref="#自选图形 1026"/>
        <o:r id="V:Rule2" type="callout" idref="#自选图形 1027"/>
        <o:r id="V:Rule3" type="callout" idref="#自选图形 1037"/>
        <o:r id="V:Rule4" type="callout" idref="#自选图形 1038"/>
        <o:r id="V:Rule5" type="callout" idref="#自选图形 1039"/>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qFormat="1"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480" w:lineRule="exact"/>
      <w:ind w:firstLine="48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0"/>
    <w:pPr>
      <w:spacing w:before="12" w:after="12"/>
      <w:ind w:left="3126" w:firstLine="0" w:firstLineChars="0"/>
      <w:jc w:val="left"/>
      <w:outlineLvl w:val="0"/>
    </w:pPr>
    <w:rPr>
      <w:b/>
      <w:sz w:val="30"/>
      <w:szCs w:val="32"/>
    </w:rPr>
  </w:style>
  <w:style w:type="paragraph" w:styleId="3">
    <w:name w:val="heading 2"/>
    <w:basedOn w:val="1"/>
    <w:next w:val="1"/>
    <w:qFormat/>
    <w:uiPriority w:val="0"/>
    <w:pPr>
      <w:ind w:firstLine="0" w:firstLineChars="0"/>
      <w:outlineLvl w:val="1"/>
    </w:pPr>
    <w:rPr>
      <w:b/>
      <w:kern w:val="0"/>
      <w:sz w:val="30"/>
    </w:rPr>
  </w:style>
  <w:style w:type="paragraph" w:styleId="4">
    <w:name w:val="heading 3"/>
    <w:basedOn w:val="1"/>
    <w:next w:val="1"/>
    <w:qFormat/>
    <w:uiPriority w:val="0"/>
    <w:pPr>
      <w:spacing w:beforeLines="50" w:line="360" w:lineRule="auto"/>
      <w:ind w:firstLine="0" w:firstLineChars="0"/>
      <w:jc w:val="left"/>
      <w:outlineLvl w:val="2"/>
    </w:pPr>
    <w:rPr>
      <w:b/>
      <w:sz w:val="28"/>
    </w:rPr>
  </w:style>
  <w:style w:type="paragraph" w:styleId="5">
    <w:name w:val="heading 4"/>
    <w:basedOn w:val="1"/>
    <w:next w:val="1"/>
    <w:qFormat/>
    <w:uiPriority w:val="0"/>
    <w:pPr>
      <w:keepNext/>
      <w:keepLines/>
      <w:spacing w:beforeLines="50" w:line="360" w:lineRule="auto"/>
      <w:ind w:firstLine="0" w:firstLineChars="0"/>
      <w:jc w:val="left"/>
      <w:outlineLvl w:val="3"/>
    </w:pPr>
    <w:rPr>
      <w:b/>
      <w:bCs/>
      <w:szCs w:val="28"/>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unhideWhenUsed/>
    <w:qFormat/>
    <w:uiPriority w:val="39"/>
    <w:pPr>
      <w:adjustRightInd/>
      <w:snapToGrid/>
      <w:spacing w:line="240" w:lineRule="auto"/>
      <w:ind w:left="2520" w:leftChars="1200" w:firstLine="0" w:firstLineChars="0"/>
    </w:pPr>
    <w:rPr>
      <w:rFonts w:asciiTheme="minorHAnsi" w:hAnsiTheme="minorHAnsi" w:eastAsiaTheme="minorEastAsia" w:cstheme="minorBidi"/>
      <w:sz w:val="21"/>
      <w:szCs w:val="22"/>
    </w:rPr>
  </w:style>
  <w:style w:type="paragraph" w:styleId="7">
    <w:name w:val="table of authorities"/>
    <w:basedOn w:val="1"/>
    <w:next w:val="1"/>
    <w:qFormat/>
    <w:uiPriority w:val="0"/>
    <w:pPr>
      <w:spacing w:line="360" w:lineRule="auto"/>
      <w:ind w:left="420" w:leftChars="200" w:firstLine="640"/>
    </w:pPr>
  </w:style>
  <w:style w:type="paragraph" w:styleId="8">
    <w:name w:val="Normal Indent"/>
    <w:basedOn w:val="1"/>
    <w:next w:val="9"/>
    <w:qFormat/>
    <w:uiPriority w:val="0"/>
    <w:pPr>
      <w:ind w:firstLine="420"/>
    </w:pPr>
    <w:rPr>
      <w:szCs w:val="20"/>
    </w:rPr>
  </w:style>
  <w:style w:type="paragraph" w:styleId="9">
    <w:name w:val="toc 2"/>
    <w:basedOn w:val="1"/>
    <w:next w:val="1"/>
    <w:qFormat/>
    <w:uiPriority w:val="39"/>
    <w:pPr>
      <w:ind w:left="420" w:leftChars="200"/>
    </w:pPr>
  </w:style>
  <w:style w:type="paragraph" w:styleId="10">
    <w:name w:val="caption"/>
    <w:basedOn w:val="1"/>
    <w:next w:val="1"/>
    <w:qFormat/>
    <w:uiPriority w:val="0"/>
    <w:pPr>
      <w:spacing w:line="360" w:lineRule="auto"/>
      <w:jc w:val="center"/>
    </w:pPr>
    <w:rPr>
      <w:rFonts w:ascii="宋体" w:hAnsi="Arial" w:cs="Arial"/>
      <w:b/>
      <w:szCs w:val="20"/>
    </w:rPr>
  </w:style>
  <w:style w:type="paragraph" w:styleId="11">
    <w:name w:val="Document Map"/>
    <w:basedOn w:val="1"/>
    <w:link w:val="46"/>
    <w:qFormat/>
    <w:uiPriority w:val="0"/>
    <w:rPr>
      <w:rFonts w:ascii="宋体" w:eastAsia="仿宋_GB2312"/>
      <w:sz w:val="18"/>
      <w:szCs w:val="18"/>
    </w:rPr>
  </w:style>
  <w:style w:type="paragraph" w:styleId="12">
    <w:name w:val="annotation text"/>
    <w:basedOn w:val="1"/>
    <w:link w:val="47"/>
    <w:qFormat/>
    <w:uiPriority w:val="0"/>
    <w:pPr>
      <w:jc w:val="left"/>
    </w:pPr>
    <w:rPr>
      <w:rFonts w:eastAsia="仿宋_GB2312"/>
    </w:rPr>
  </w:style>
  <w:style w:type="paragraph" w:styleId="13">
    <w:name w:val="Body Text"/>
    <w:basedOn w:val="1"/>
    <w:next w:val="1"/>
    <w:link w:val="48"/>
    <w:qFormat/>
    <w:uiPriority w:val="0"/>
    <w:pPr>
      <w:spacing w:line="240" w:lineRule="auto"/>
      <w:ind w:firstLine="0" w:firstLineChars="0"/>
    </w:pPr>
    <w:rPr>
      <w:rFonts w:ascii="宋体" w:hAnsi="宋体" w:eastAsia="仿宋_GB2312"/>
      <w:sz w:val="28"/>
    </w:rPr>
  </w:style>
  <w:style w:type="paragraph" w:styleId="14">
    <w:name w:val="Body Text Indent"/>
    <w:basedOn w:val="1"/>
    <w:next w:val="15"/>
    <w:qFormat/>
    <w:uiPriority w:val="0"/>
    <w:pPr>
      <w:spacing w:after="120" w:line="240" w:lineRule="auto"/>
      <w:ind w:left="420" w:leftChars="200" w:firstLine="0" w:firstLineChars="0"/>
    </w:pPr>
    <w:rPr>
      <w:sz w:val="21"/>
    </w:rPr>
  </w:style>
  <w:style w:type="paragraph" w:styleId="15">
    <w:name w:val="Body Text Indent 2"/>
    <w:basedOn w:val="1"/>
    <w:next w:val="16"/>
    <w:qFormat/>
    <w:uiPriority w:val="0"/>
    <w:pPr>
      <w:ind w:firstLine="420"/>
    </w:pPr>
    <w:rPr>
      <w:sz w:val="21"/>
    </w:rPr>
  </w:style>
  <w:style w:type="paragraph" w:styleId="16">
    <w:name w:val="Body Text First Indent"/>
    <w:basedOn w:val="1"/>
    <w:next w:val="17"/>
    <w:unhideWhenUsed/>
    <w:qFormat/>
    <w:uiPriority w:val="99"/>
    <w:pPr>
      <w:ind w:firstLine="498" w:firstLineChars="200"/>
    </w:pPr>
    <w:rPr>
      <w:sz w:val="24"/>
      <w:szCs w:val="20"/>
    </w:rPr>
  </w:style>
  <w:style w:type="paragraph" w:styleId="17">
    <w:name w:val="Body Text First Indent 2"/>
    <w:basedOn w:val="14"/>
    <w:next w:val="1"/>
    <w:qFormat/>
    <w:uiPriority w:val="0"/>
    <w:pPr>
      <w:ind w:left="200" w:firstLine="200" w:firstLineChars="200"/>
    </w:pPr>
    <w:rPr>
      <w:kern w:val="0"/>
    </w:rPr>
  </w:style>
  <w:style w:type="paragraph" w:styleId="18">
    <w:name w:val="toc 5"/>
    <w:basedOn w:val="1"/>
    <w:next w:val="1"/>
    <w:unhideWhenUsed/>
    <w:qFormat/>
    <w:uiPriority w:val="39"/>
    <w:pPr>
      <w:adjustRightInd/>
      <w:snapToGrid/>
      <w:spacing w:line="240" w:lineRule="auto"/>
      <w:ind w:left="1680" w:leftChars="800" w:firstLine="0" w:firstLineChars="0"/>
    </w:pPr>
    <w:rPr>
      <w:rFonts w:asciiTheme="minorHAnsi" w:hAnsiTheme="minorHAnsi" w:eastAsiaTheme="minorEastAsia" w:cstheme="minorBidi"/>
      <w:sz w:val="21"/>
      <w:szCs w:val="22"/>
    </w:rPr>
  </w:style>
  <w:style w:type="paragraph" w:styleId="19">
    <w:name w:val="toc 3"/>
    <w:basedOn w:val="1"/>
    <w:next w:val="1"/>
    <w:qFormat/>
    <w:uiPriority w:val="39"/>
    <w:pPr>
      <w:ind w:left="840" w:leftChars="400"/>
    </w:pPr>
  </w:style>
  <w:style w:type="paragraph" w:styleId="20">
    <w:name w:val="Plain Text"/>
    <w:basedOn w:val="1"/>
    <w:qFormat/>
    <w:uiPriority w:val="0"/>
    <w:pPr>
      <w:widowControl/>
      <w:spacing w:before="100" w:after="100"/>
      <w:jc w:val="left"/>
    </w:pPr>
    <w:rPr>
      <w:rFonts w:hint="eastAsia" w:ascii="宋体" w:hAnsi="宋体"/>
      <w:color w:val="800000"/>
      <w:kern w:val="0"/>
      <w:sz w:val="14"/>
      <w:szCs w:val="20"/>
    </w:rPr>
  </w:style>
  <w:style w:type="paragraph" w:styleId="21">
    <w:name w:val="toc 8"/>
    <w:basedOn w:val="1"/>
    <w:next w:val="1"/>
    <w:unhideWhenUsed/>
    <w:qFormat/>
    <w:uiPriority w:val="39"/>
    <w:pPr>
      <w:adjustRightInd/>
      <w:snapToGrid/>
      <w:spacing w:line="240" w:lineRule="auto"/>
      <w:ind w:left="2940" w:leftChars="1400" w:firstLine="0" w:firstLineChars="0"/>
    </w:pPr>
    <w:rPr>
      <w:rFonts w:asciiTheme="minorHAnsi" w:hAnsiTheme="minorHAnsi" w:eastAsiaTheme="minorEastAsia" w:cstheme="minorBidi"/>
      <w:sz w:val="21"/>
      <w:szCs w:val="22"/>
    </w:rPr>
  </w:style>
  <w:style w:type="paragraph" w:styleId="22">
    <w:name w:val="Balloon Text"/>
    <w:basedOn w:val="1"/>
    <w:link w:val="49"/>
    <w:qFormat/>
    <w:uiPriority w:val="0"/>
    <w:pPr>
      <w:spacing w:line="240" w:lineRule="auto"/>
    </w:pPr>
    <w:rPr>
      <w:rFonts w:eastAsia="仿宋_GB2312"/>
      <w:sz w:val="18"/>
      <w:szCs w:val="18"/>
    </w:rPr>
  </w:style>
  <w:style w:type="paragraph" w:styleId="23">
    <w:name w:val="footer"/>
    <w:basedOn w:val="1"/>
    <w:link w:val="50"/>
    <w:qFormat/>
    <w:uiPriority w:val="0"/>
    <w:pPr>
      <w:tabs>
        <w:tab w:val="center" w:pos="4153"/>
        <w:tab w:val="right" w:pos="8306"/>
      </w:tabs>
      <w:spacing w:line="240" w:lineRule="auto"/>
    </w:pPr>
    <w:rPr>
      <w:rFonts w:eastAsia="仿宋_GB2312"/>
      <w:color w:val="000000"/>
      <w:sz w:val="18"/>
      <w:szCs w:val="18"/>
    </w:rPr>
  </w:style>
  <w:style w:type="paragraph" w:styleId="24">
    <w:name w:val="header"/>
    <w:basedOn w:val="1"/>
    <w:qFormat/>
    <w:uiPriority w:val="0"/>
    <w:pPr>
      <w:pBdr>
        <w:bottom w:val="single" w:color="auto" w:sz="6" w:space="1"/>
      </w:pBdr>
      <w:tabs>
        <w:tab w:val="center" w:pos="4153"/>
        <w:tab w:val="right" w:pos="8306"/>
      </w:tabs>
      <w:spacing w:line="240" w:lineRule="auto"/>
      <w:jc w:val="center"/>
    </w:pPr>
    <w:rPr>
      <w:color w:val="000000"/>
      <w:sz w:val="18"/>
      <w:szCs w:val="18"/>
    </w:rPr>
  </w:style>
  <w:style w:type="paragraph" w:styleId="25">
    <w:name w:val="toc 1"/>
    <w:basedOn w:val="1"/>
    <w:next w:val="1"/>
    <w:qFormat/>
    <w:uiPriority w:val="39"/>
  </w:style>
  <w:style w:type="paragraph" w:styleId="26">
    <w:name w:val="toc 4"/>
    <w:basedOn w:val="1"/>
    <w:next w:val="1"/>
    <w:unhideWhenUsed/>
    <w:qFormat/>
    <w:uiPriority w:val="39"/>
    <w:pPr>
      <w:adjustRightInd/>
      <w:snapToGrid/>
      <w:spacing w:line="240" w:lineRule="auto"/>
      <w:ind w:left="1260" w:leftChars="600" w:firstLine="0" w:firstLineChars="0"/>
    </w:pPr>
    <w:rPr>
      <w:rFonts w:asciiTheme="minorHAnsi" w:hAnsiTheme="minorHAnsi" w:eastAsiaTheme="minorEastAsia" w:cstheme="minorBidi"/>
      <w:sz w:val="21"/>
      <w:szCs w:val="22"/>
    </w:rPr>
  </w:style>
  <w:style w:type="paragraph" w:styleId="27">
    <w:name w:val="toc 6"/>
    <w:basedOn w:val="1"/>
    <w:next w:val="1"/>
    <w:unhideWhenUsed/>
    <w:qFormat/>
    <w:uiPriority w:val="39"/>
    <w:pPr>
      <w:adjustRightInd/>
      <w:snapToGrid/>
      <w:spacing w:line="240" w:lineRule="auto"/>
      <w:ind w:left="2100" w:leftChars="1000" w:firstLine="0" w:firstLineChars="0"/>
    </w:pPr>
    <w:rPr>
      <w:rFonts w:asciiTheme="minorHAnsi" w:hAnsiTheme="minorHAnsi" w:eastAsiaTheme="minorEastAsia" w:cstheme="minorBidi"/>
      <w:sz w:val="21"/>
      <w:szCs w:val="22"/>
    </w:rPr>
  </w:style>
  <w:style w:type="paragraph" w:styleId="28">
    <w:name w:val="toc 9"/>
    <w:basedOn w:val="1"/>
    <w:next w:val="1"/>
    <w:unhideWhenUsed/>
    <w:qFormat/>
    <w:uiPriority w:val="39"/>
    <w:pPr>
      <w:adjustRightInd/>
      <w:snapToGrid/>
      <w:spacing w:line="240" w:lineRule="auto"/>
      <w:ind w:left="3360" w:leftChars="1600" w:firstLine="0" w:firstLineChars="0"/>
    </w:pPr>
    <w:rPr>
      <w:rFonts w:asciiTheme="minorHAnsi" w:hAnsiTheme="minorHAnsi" w:eastAsiaTheme="minorEastAsia" w:cstheme="minorBidi"/>
      <w:sz w:val="21"/>
      <w:szCs w:val="22"/>
    </w:rPr>
  </w:style>
  <w:style w:type="paragraph" w:styleId="29">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kern w:val="0"/>
      <w:sz w:val="20"/>
      <w:shd w:val="pct20" w:color="auto" w:fill="auto"/>
    </w:rPr>
  </w:style>
  <w:style w:type="paragraph" w:styleId="30">
    <w:name w:val="Normal (Web)"/>
    <w:basedOn w:val="1"/>
    <w:link w:val="51"/>
    <w:qFormat/>
    <w:uiPriority w:val="99"/>
    <w:pPr>
      <w:spacing w:before="100" w:beforeAutospacing="1" w:after="100" w:afterAutospacing="1"/>
      <w:jc w:val="left"/>
    </w:pPr>
    <w:rPr>
      <w:kern w:val="0"/>
    </w:rPr>
  </w:style>
  <w:style w:type="paragraph" w:styleId="31">
    <w:name w:val="List Continue 3"/>
    <w:basedOn w:val="1"/>
    <w:qFormat/>
    <w:uiPriority w:val="0"/>
    <w:pPr>
      <w:spacing w:after="120"/>
      <w:ind w:left="1260" w:leftChars="600"/>
      <w:contextualSpacing/>
    </w:pPr>
  </w:style>
  <w:style w:type="paragraph" w:styleId="32">
    <w:name w:val="annotation subject"/>
    <w:basedOn w:val="12"/>
    <w:next w:val="12"/>
    <w:link w:val="52"/>
    <w:qFormat/>
    <w:uiPriority w:val="0"/>
    <w:rPr>
      <w:b/>
      <w:bCs/>
    </w:rPr>
  </w:style>
  <w:style w:type="table" w:styleId="34">
    <w:name w:val="Table Grid"/>
    <w:basedOn w:val="3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6">
    <w:name w:val="Strong"/>
    <w:qFormat/>
    <w:uiPriority w:val="22"/>
    <w:rPr>
      <w:rFonts w:eastAsia="仿宋_GB2312"/>
      <w:b/>
      <w:sz w:val="24"/>
      <w:szCs w:val="32"/>
    </w:rPr>
  </w:style>
  <w:style w:type="character" w:styleId="37">
    <w:name w:val="page number"/>
    <w:qFormat/>
    <w:uiPriority w:val="0"/>
  </w:style>
  <w:style w:type="character" w:styleId="38">
    <w:name w:val="FollowedHyperlink"/>
    <w:qFormat/>
    <w:uiPriority w:val="99"/>
    <w:rPr>
      <w:rFonts w:eastAsia="仿宋_GB2312"/>
      <w:color w:val="800080"/>
      <w:sz w:val="24"/>
      <w:szCs w:val="32"/>
      <w:u w:val="none"/>
    </w:rPr>
  </w:style>
  <w:style w:type="character" w:styleId="39">
    <w:name w:val="Emphasis"/>
    <w:qFormat/>
    <w:uiPriority w:val="20"/>
    <w:rPr>
      <w:rFonts w:eastAsia="仿宋_GB2312"/>
      <w:sz w:val="24"/>
      <w:szCs w:val="32"/>
    </w:rPr>
  </w:style>
  <w:style w:type="character" w:styleId="40">
    <w:name w:val="Hyperlink"/>
    <w:qFormat/>
    <w:uiPriority w:val="99"/>
    <w:rPr>
      <w:rFonts w:eastAsia="仿宋_GB2312" w:cs="Times New Roman"/>
      <w:color w:val="0000FF"/>
      <w:sz w:val="24"/>
      <w:szCs w:val="32"/>
      <w:u w:val="single"/>
    </w:rPr>
  </w:style>
  <w:style w:type="character" w:styleId="41">
    <w:name w:val="annotation reference"/>
    <w:qFormat/>
    <w:uiPriority w:val="0"/>
    <w:rPr>
      <w:rFonts w:eastAsia="仿宋_GB2312"/>
      <w:sz w:val="21"/>
      <w:szCs w:val="21"/>
    </w:rPr>
  </w:style>
  <w:style w:type="paragraph" w:customStyle="1" w:styleId="42">
    <w:name w:val="Default"/>
    <w:basedOn w:val="43"/>
    <w:next w:val="1"/>
    <w:qFormat/>
    <w:uiPriority w:val="0"/>
    <w:pPr>
      <w:widowControl w:val="0"/>
      <w:autoSpaceDE w:val="0"/>
      <w:autoSpaceDN w:val="0"/>
      <w:adjustRightInd w:val="0"/>
    </w:pPr>
    <w:rPr>
      <w:rFonts w:ascii="仿宋_GB2312" w:hAnsi="Times New Roman" w:eastAsia="仿宋_GB2312" w:cs="Times New Roman"/>
      <w:color w:val="000000"/>
      <w:sz w:val="24"/>
      <w:szCs w:val="24"/>
      <w:lang w:val="en-US" w:eastAsia="zh-CN" w:bidi="ar-SA"/>
    </w:rPr>
  </w:style>
  <w:style w:type="paragraph" w:customStyle="1" w:styleId="43">
    <w:name w:val="纯文本1"/>
    <w:qFormat/>
    <w:uiPriority w:val="0"/>
    <w:pPr>
      <w:adjustRightInd w:val="0"/>
      <w:jc w:val="center"/>
      <w:textAlignment w:val="baseline"/>
    </w:pPr>
    <w:rPr>
      <w:rFonts w:ascii="宋体" w:hAnsi="Courier New" w:eastAsia="宋体" w:cs="Times New Roman"/>
      <w:sz w:val="24"/>
      <w:lang w:val="en-US" w:eastAsia="zh-CN" w:bidi="ar-SA"/>
    </w:rPr>
  </w:style>
  <w:style w:type="paragraph" w:customStyle="1" w:styleId="44">
    <w:name w:val="Normal (Web)1"/>
    <w:basedOn w:val="1"/>
    <w:next w:val="45"/>
    <w:qFormat/>
    <w:uiPriority w:val="0"/>
    <w:pPr>
      <w:widowControl/>
      <w:spacing w:line="360" w:lineRule="auto"/>
      <w:jc w:val="left"/>
    </w:pPr>
    <w:rPr>
      <w:rFonts w:ascii="宋体"/>
      <w:kern w:val="0"/>
      <w:szCs w:val="21"/>
    </w:rPr>
  </w:style>
  <w:style w:type="paragraph" w:customStyle="1" w:styleId="45">
    <w:name w:val="Date1"/>
    <w:basedOn w:val="1"/>
    <w:next w:val="1"/>
    <w:qFormat/>
    <w:uiPriority w:val="0"/>
    <w:pPr>
      <w:ind w:left="2500" w:leftChars="2500"/>
    </w:pPr>
  </w:style>
  <w:style w:type="character" w:customStyle="1" w:styleId="46">
    <w:name w:val="文档结构图 Char"/>
    <w:link w:val="11"/>
    <w:qFormat/>
    <w:uiPriority w:val="0"/>
    <w:rPr>
      <w:rFonts w:ascii="宋体" w:eastAsia="仿宋_GB2312"/>
      <w:kern w:val="2"/>
      <w:sz w:val="18"/>
      <w:szCs w:val="18"/>
    </w:rPr>
  </w:style>
  <w:style w:type="character" w:customStyle="1" w:styleId="47">
    <w:name w:val="批注文字 Char"/>
    <w:link w:val="12"/>
    <w:qFormat/>
    <w:uiPriority w:val="0"/>
    <w:rPr>
      <w:rFonts w:eastAsia="仿宋_GB2312"/>
      <w:kern w:val="2"/>
      <w:sz w:val="24"/>
      <w:szCs w:val="24"/>
    </w:rPr>
  </w:style>
  <w:style w:type="character" w:customStyle="1" w:styleId="48">
    <w:name w:val="正文文本 Char"/>
    <w:link w:val="13"/>
    <w:qFormat/>
    <w:uiPriority w:val="0"/>
    <w:rPr>
      <w:rFonts w:ascii="宋体" w:hAnsi="宋体" w:eastAsia="仿宋_GB2312"/>
      <w:kern w:val="2"/>
      <w:sz w:val="28"/>
      <w:szCs w:val="24"/>
    </w:rPr>
  </w:style>
  <w:style w:type="character" w:customStyle="1" w:styleId="49">
    <w:name w:val="批注框文本 Char"/>
    <w:link w:val="22"/>
    <w:qFormat/>
    <w:uiPriority w:val="0"/>
    <w:rPr>
      <w:rFonts w:eastAsia="仿宋_GB2312"/>
      <w:kern w:val="2"/>
      <w:sz w:val="18"/>
      <w:szCs w:val="18"/>
    </w:rPr>
  </w:style>
  <w:style w:type="character" w:customStyle="1" w:styleId="50">
    <w:name w:val="页脚 Char"/>
    <w:link w:val="23"/>
    <w:qFormat/>
    <w:uiPriority w:val="0"/>
    <w:rPr>
      <w:rFonts w:eastAsia="仿宋_GB2312"/>
      <w:color w:val="000000"/>
      <w:kern w:val="2"/>
      <w:sz w:val="18"/>
      <w:szCs w:val="18"/>
    </w:rPr>
  </w:style>
  <w:style w:type="character" w:customStyle="1" w:styleId="51">
    <w:name w:val="普通(网站) Char"/>
    <w:link w:val="30"/>
    <w:qFormat/>
    <w:uiPriority w:val="99"/>
    <w:rPr>
      <w:sz w:val="24"/>
      <w:szCs w:val="24"/>
    </w:rPr>
  </w:style>
  <w:style w:type="character" w:customStyle="1" w:styleId="52">
    <w:name w:val="批注主题 Char"/>
    <w:link w:val="32"/>
    <w:qFormat/>
    <w:uiPriority w:val="0"/>
    <w:rPr>
      <w:rFonts w:eastAsia="仿宋_GB2312"/>
      <w:b/>
      <w:bCs/>
      <w:kern w:val="2"/>
      <w:sz w:val="24"/>
      <w:szCs w:val="24"/>
    </w:rPr>
  </w:style>
  <w:style w:type="character" w:customStyle="1" w:styleId="53">
    <w:name w:val="font101"/>
    <w:qFormat/>
    <w:uiPriority w:val="0"/>
    <w:rPr>
      <w:rFonts w:hint="eastAsia" w:ascii="宋体" w:hAnsi="宋体" w:eastAsia="宋体" w:cs="宋体"/>
      <w:color w:val="000000"/>
      <w:sz w:val="18"/>
      <w:szCs w:val="18"/>
      <w:u w:val="none"/>
    </w:rPr>
  </w:style>
  <w:style w:type="character" w:customStyle="1" w:styleId="54">
    <w:name w:val="font21"/>
    <w:qFormat/>
    <w:uiPriority w:val="0"/>
    <w:rPr>
      <w:rFonts w:hint="eastAsia" w:ascii="宋体" w:hAnsi="宋体" w:eastAsia="宋体" w:cs="宋体"/>
      <w:color w:val="000000"/>
      <w:sz w:val="20"/>
      <w:szCs w:val="20"/>
      <w:u w:val="none"/>
      <w:vertAlign w:val="superscript"/>
    </w:rPr>
  </w:style>
  <w:style w:type="character" w:customStyle="1" w:styleId="55">
    <w:name w:val="font41"/>
    <w:qFormat/>
    <w:uiPriority w:val="0"/>
    <w:rPr>
      <w:rFonts w:hint="default" w:ascii="Times New Roman" w:hAnsi="Times New Roman" w:eastAsia="仿宋_GB2312" w:cs="Times New Roman"/>
      <w:color w:val="000000"/>
      <w:sz w:val="21"/>
      <w:szCs w:val="21"/>
      <w:u w:val="none"/>
      <w:vertAlign w:val="subscript"/>
    </w:rPr>
  </w:style>
  <w:style w:type="character" w:customStyle="1" w:styleId="56">
    <w:name w:val="font01"/>
    <w:qFormat/>
    <w:uiPriority w:val="0"/>
    <w:rPr>
      <w:rFonts w:hint="eastAsia" w:ascii="宋体" w:hAnsi="宋体" w:eastAsia="宋体" w:cs="宋体"/>
      <w:color w:val="000000"/>
      <w:sz w:val="20"/>
      <w:szCs w:val="20"/>
      <w:u w:val="none"/>
      <w:vertAlign w:val="superscript"/>
    </w:rPr>
  </w:style>
  <w:style w:type="character" w:customStyle="1" w:styleId="57">
    <w:name w:val="first-child"/>
    <w:qFormat/>
    <w:uiPriority w:val="0"/>
  </w:style>
  <w:style w:type="character" w:customStyle="1" w:styleId="58">
    <w:name w:val="表格标题采用 Char"/>
    <w:link w:val="59"/>
    <w:qFormat/>
    <w:uiPriority w:val="0"/>
    <w:rPr>
      <w:rFonts w:hAnsi="宋体"/>
      <w:color w:val="000000"/>
      <w:kern w:val="2"/>
      <w:sz w:val="24"/>
      <w:szCs w:val="24"/>
    </w:rPr>
  </w:style>
  <w:style w:type="paragraph" w:customStyle="1" w:styleId="59">
    <w:name w:val="表格标题采用"/>
    <w:basedOn w:val="1"/>
    <w:link w:val="58"/>
    <w:qFormat/>
    <w:uiPriority w:val="0"/>
    <w:pPr>
      <w:spacing w:beforeLines="25" w:afterLines="25"/>
      <w:ind w:firstLine="0" w:firstLineChars="0"/>
      <w:jc w:val="center"/>
    </w:pPr>
    <w:rPr>
      <w:rFonts w:hAnsi="宋体"/>
      <w:color w:val="000000"/>
    </w:rPr>
  </w:style>
  <w:style w:type="character" w:customStyle="1" w:styleId="60">
    <w:name w:val="font61"/>
    <w:qFormat/>
    <w:uiPriority w:val="0"/>
    <w:rPr>
      <w:rFonts w:hint="default" w:ascii="Times New Roman" w:hAnsi="Times New Roman" w:eastAsia="仿宋_GB2312" w:cs="Times New Roman"/>
      <w:color w:val="000000"/>
      <w:sz w:val="21"/>
      <w:szCs w:val="21"/>
      <w:u w:val="none"/>
      <w:vertAlign w:val="subscript"/>
    </w:rPr>
  </w:style>
  <w:style w:type="character" w:customStyle="1" w:styleId="61">
    <w:name w:val="active"/>
    <w:qFormat/>
    <w:uiPriority w:val="0"/>
    <w:rPr>
      <w:rFonts w:eastAsia="仿宋_GB2312"/>
      <w:color w:val="FFFFFF"/>
      <w:sz w:val="24"/>
      <w:szCs w:val="32"/>
      <w:shd w:val="clear" w:color="auto" w:fill="0166B6"/>
    </w:rPr>
  </w:style>
  <w:style w:type="character" w:customStyle="1" w:styleId="62">
    <w:name w:val="正文本 Char"/>
    <w:link w:val="63"/>
    <w:qFormat/>
    <w:uiPriority w:val="0"/>
    <w:rPr>
      <w:rFonts w:ascii="Times New Roman" w:hAnsi="Times New Roman"/>
      <w:kern w:val="2"/>
      <w:sz w:val="24"/>
      <w:szCs w:val="24"/>
      <w:lang w:val="zh-CN"/>
    </w:rPr>
  </w:style>
  <w:style w:type="paragraph" w:customStyle="1" w:styleId="63">
    <w:name w:val="正文本"/>
    <w:basedOn w:val="1"/>
    <w:link w:val="62"/>
    <w:qFormat/>
    <w:uiPriority w:val="0"/>
    <w:pPr>
      <w:tabs>
        <w:tab w:val="left" w:pos="0"/>
      </w:tabs>
      <w:adjustRightInd/>
      <w:snapToGrid/>
      <w:spacing w:line="460" w:lineRule="atLeast"/>
      <w:ind w:firstLine="200"/>
    </w:pPr>
    <w:rPr>
      <w:lang w:val="zh-CN"/>
    </w:rPr>
  </w:style>
  <w:style w:type="character" w:customStyle="1" w:styleId="64">
    <w:name w:val="w105"/>
    <w:qFormat/>
    <w:uiPriority w:val="0"/>
  </w:style>
  <w:style w:type="character" w:customStyle="1" w:styleId="65">
    <w:name w:val="font121"/>
    <w:qFormat/>
    <w:uiPriority w:val="0"/>
    <w:rPr>
      <w:rFonts w:hint="default" w:ascii="Times New Roman" w:hAnsi="Times New Roman" w:eastAsia="仿宋_GB2312" w:cs="Times New Roman"/>
      <w:color w:val="000000"/>
      <w:sz w:val="18"/>
      <w:szCs w:val="18"/>
      <w:u w:val="none"/>
    </w:rPr>
  </w:style>
  <w:style w:type="character" w:customStyle="1" w:styleId="66">
    <w:name w:val="font51"/>
    <w:qFormat/>
    <w:uiPriority w:val="0"/>
    <w:rPr>
      <w:rFonts w:hint="default" w:ascii="Times New Roman" w:hAnsi="Times New Roman" w:eastAsia="仿宋_GB2312" w:cs="Times New Roman"/>
      <w:color w:val="000000"/>
      <w:sz w:val="21"/>
      <w:szCs w:val="21"/>
      <w:u w:val="none"/>
    </w:rPr>
  </w:style>
  <w:style w:type="character" w:customStyle="1" w:styleId="67">
    <w:name w:val="表格正文 Char"/>
    <w:link w:val="68"/>
    <w:qFormat/>
    <w:locked/>
    <w:uiPriority w:val="0"/>
    <w:rPr>
      <w:rFonts w:ascii="Times New Roman" w:hAnsi="Times New Roman"/>
      <w:kern w:val="2"/>
      <w:sz w:val="21"/>
      <w:lang w:val="zh-CN"/>
    </w:rPr>
  </w:style>
  <w:style w:type="paragraph" w:customStyle="1" w:styleId="68">
    <w:name w:val="表格正文"/>
    <w:basedOn w:val="1"/>
    <w:link w:val="67"/>
    <w:qFormat/>
    <w:uiPriority w:val="0"/>
    <w:pPr>
      <w:adjustRightInd/>
      <w:snapToGrid/>
      <w:spacing w:line="240" w:lineRule="auto"/>
      <w:ind w:firstLine="0" w:firstLineChars="0"/>
      <w:jc w:val="center"/>
    </w:pPr>
    <w:rPr>
      <w:sz w:val="21"/>
      <w:szCs w:val="20"/>
      <w:lang w:val="zh-CN"/>
    </w:rPr>
  </w:style>
  <w:style w:type="character" w:customStyle="1" w:styleId="69">
    <w:name w:val="hover19"/>
    <w:qFormat/>
    <w:uiPriority w:val="0"/>
    <w:rPr>
      <w:rFonts w:eastAsia="仿宋_GB2312"/>
      <w:sz w:val="24"/>
      <w:szCs w:val="32"/>
      <w:u w:val="single"/>
    </w:rPr>
  </w:style>
  <w:style w:type="character" w:customStyle="1" w:styleId="70">
    <w:name w:val="表格 Char"/>
    <w:link w:val="71"/>
    <w:qFormat/>
    <w:uiPriority w:val="0"/>
    <w:rPr>
      <w:rFonts w:ascii="宋体" w:hAnsi="宋体"/>
      <w:bCs/>
      <w:snapToGrid/>
      <w:color w:val="000000"/>
    </w:rPr>
  </w:style>
  <w:style w:type="paragraph" w:customStyle="1" w:styleId="71">
    <w:name w:val="表格"/>
    <w:basedOn w:val="72"/>
    <w:next w:val="1"/>
    <w:link w:val="70"/>
    <w:qFormat/>
    <w:uiPriority w:val="0"/>
    <w:pPr>
      <w:spacing w:beforeLines="5" w:afterLines="5" w:line="240" w:lineRule="auto"/>
    </w:pPr>
    <w:rPr>
      <w:bCs/>
      <w:kern w:val="0"/>
      <w:sz w:val="20"/>
      <w:szCs w:val="20"/>
    </w:rPr>
  </w:style>
  <w:style w:type="paragraph" w:customStyle="1" w:styleId="72">
    <w:name w:val="表格标题"/>
    <w:basedOn w:val="1"/>
    <w:qFormat/>
    <w:uiPriority w:val="0"/>
    <w:pPr>
      <w:spacing w:line="520" w:lineRule="exact"/>
      <w:ind w:firstLine="0" w:firstLineChars="0"/>
      <w:jc w:val="center"/>
    </w:pPr>
    <w:rPr>
      <w:rFonts w:ascii="宋体" w:hAnsi="宋体"/>
      <w:color w:val="000000"/>
    </w:rPr>
  </w:style>
  <w:style w:type="character" w:customStyle="1" w:styleId="73">
    <w:name w:val="w178"/>
    <w:qFormat/>
    <w:uiPriority w:val="0"/>
  </w:style>
  <w:style w:type="character" w:customStyle="1" w:styleId="74">
    <w:name w:val="样式 宋体 四号1"/>
    <w:qFormat/>
    <w:uiPriority w:val="0"/>
    <w:rPr>
      <w:rFonts w:ascii="Times New Roman" w:hAnsi="Times New Roman" w:eastAsia="仿宋_GB2312"/>
      <w:sz w:val="28"/>
      <w:szCs w:val="28"/>
    </w:rPr>
  </w:style>
  <w:style w:type="character" w:customStyle="1" w:styleId="75">
    <w:name w:val="font31"/>
    <w:basedOn w:val="35"/>
    <w:qFormat/>
    <w:uiPriority w:val="0"/>
    <w:rPr>
      <w:rFonts w:hint="eastAsia" w:ascii="宋体" w:hAnsi="宋体" w:eastAsia="宋体" w:cs="宋体"/>
      <w:color w:val="000000"/>
      <w:sz w:val="21"/>
      <w:szCs w:val="21"/>
      <w:u w:val="none"/>
    </w:rPr>
  </w:style>
  <w:style w:type="character" w:customStyle="1" w:styleId="76">
    <w:name w:val="apple-style-span"/>
    <w:qFormat/>
    <w:uiPriority w:val="0"/>
  </w:style>
  <w:style w:type="character" w:customStyle="1" w:styleId="77">
    <w:name w:val="hover18"/>
    <w:qFormat/>
    <w:uiPriority w:val="0"/>
    <w:rPr>
      <w:rFonts w:eastAsia="仿宋_GB2312"/>
      <w:sz w:val="24"/>
      <w:szCs w:val="32"/>
      <w:u w:val="none"/>
    </w:rPr>
  </w:style>
  <w:style w:type="character" w:customStyle="1" w:styleId="78">
    <w:name w:val="font71"/>
    <w:qFormat/>
    <w:uiPriority w:val="0"/>
    <w:rPr>
      <w:rFonts w:hint="eastAsia" w:ascii="宋体" w:hAnsi="宋体" w:eastAsia="宋体" w:cs="宋体"/>
      <w:color w:val="0070C0"/>
      <w:sz w:val="21"/>
      <w:szCs w:val="21"/>
      <w:u w:val="none"/>
    </w:rPr>
  </w:style>
  <w:style w:type="character" w:customStyle="1" w:styleId="79">
    <w:name w:val="font112"/>
    <w:qFormat/>
    <w:uiPriority w:val="0"/>
    <w:rPr>
      <w:rFonts w:hint="eastAsia" w:ascii="宋体" w:hAnsi="宋体" w:eastAsia="宋体" w:cs="宋体"/>
      <w:color w:val="00B050"/>
      <w:sz w:val="21"/>
      <w:szCs w:val="21"/>
      <w:u w:val="none"/>
    </w:rPr>
  </w:style>
  <w:style w:type="character" w:customStyle="1" w:styleId="80">
    <w:name w:val="hover6"/>
    <w:qFormat/>
    <w:uiPriority w:val="0"/>
    <w:rPr>
      <w:rFonts w:eastAsia="仿宋_GB2312"/>
      <w:sz w:val="24"/>
      <w:szCs w:val="32"/>
      <w:shd w:val="clear" w:color="auto" w:fill="0166B6"/>
    </w:rPr>
  </w:style>
  <w:style w:type="character" w:customStyle="1" w:styleId="81">
    <w:name w:val="w200"/>
    <w:qFormat/>
    <w:uiPriority w:val="0"/>
  </w:style>
  <w:style w:type="character" w:customStyle="1" w:styleId="82">
    <w:name w:val="font11"/>
    <w:qFormat/>
    <w:uiPriority w:val="0"/>
    <w:rPr>
      <w:rFonts w:hint="eastAsia" w:ascii="宋体" w:hAnsi="宋体" w:eastAsia="宋体" w:cs="宋体"/>
      <w:color w:val="000000"/>
      <w:sz w:val="21"/>
      <w:szCs w:val="21"/>
      <w:u w:val="none"/>
    </w:rPr>
  </w:style>
  <w:style w:type="character" w:customStyle="1" w:styleId="83">
    <w:name w:val="表格内容 Char"/>
    <w:link w:val="84"/>
    <w:qFormat/>
    <w:uiPriority w:val="0"/>
    <w:rPr>
      <w:rFonts w:hAnsi="Arial"/>
      <w:color w:val="000000"/>
      <w:kern w:val="2"/>
      <w:sz w:val="21"/>
      <w:szCs w:val="24"/>
    </w:rPr>
  </w:style>
  <w:style w:type="paragraph" w:customStyle="1" w:styleId="84">
    <w:name w:val="表格内容"/>
    <w:basedOn w:val="1"/>
    <w:link w:val="83"/>
    <w:qFormat/>
    <w:uiPriority w:val="0"/>
    <w:pPr>
      <w:spacing w:line="240" w:lineRule="exact"/>
      <w:ind w:firstLine="0" w:firstLineChars="0"/>
      <w:jc w:val="center"/>
    </w:pPr>
    <w:rPr>
      <w:rFonts w:hAnsi="Arial"/>
      <w:color w:val="000000"/>
      <w:sz w:val="21"/>
    </w:rPr>
  </w:style>
  <w:style w:type="character" w:customStyle="1" w:styleId="85">
    <w:name w:val="小四正文 Char"/>
    <w:link w:val="86"/>
    <w:qFormat/>
    <w:uiPriority w:val="0"/>
    <w:rPr>
      <w:rFonts w:ascii="Times New Roman" w:hAnsi="Times New Roman"/>
      <w:kern w:val="2"/>
      <w:sz w:val="24"/>
      <w:szCs w:val="24"/>
      <w:lang w:val="zh-CN"/>
    </w:rPr>
  </w:style>
  <w:style w:type="paragraph" w:customStyle="1" w:styleId="86">
    <w:name w:val="小四正文"/>
    <w:basedOn w:val="1"/>
    <w:next w:val="1"/>
    <w:link w:val="85"/>
    <w:qFormat/>
    <w:uiPriority w:val="0"/>
    <w:pPr>
      <w:adjustRightInd/>
      <w:snapToGrid/>
      <w:spacing w:line="360" w:lineRule="auto"/>
    </w:pPr>
    <w:rPr>
      <w:lang w:val="zh-CN"/>
    </w:rPr>
  </w:style>
  <w:style w:type="character" w:customStyle="1" w:styleId="87">
    <w:name w:val="未处理的提及"/>
    <w:unhideWhenUsed/>
    <w:qFormat/>
    <w:uiPriority w:val="99"/>
    <w:rPr>
      <w:rFonts w:eastAsia="仿宋_GB2312"/>
      <w:color w:val="605E5C"/>
      <w:sz w:val="24"/>
      <w:szCs w:val="32"/>
      <w:shd w:val="clear" w:color="auto" w:fill="E1DFDD"/>
    </w:rPr>
  </w:style>
  <w:style w:type="character" w:customStyle="1" w:styleId="88">
    <w:name w:val="节（1） Char"/>
    <w:link w:val="89"/>
    <w:qFormat/>
    <w:uiPriority w:val="0"/>
    <w:rPr>
      <w:rFonts w:ascii="Times New Roman" w:hAnsi="Times New Roman"/>
      <w:kern w:val="2"/>
      <w:sz w:val="24"/>
      <w:szCs w:val="24"/>
      <w:lang w:val="zh-CN"/>
    </w:rPr>
  </w:style>
  <w:style w:type="paragraph" w:customStyle="1" w:styleId="89">
    <w:name w:val="节（1）"/>
    <w:basedOn w:val="1"/>
    <w:link w:val="88"/>
    <w:qFormat/>
    <w:uiPriority w:val="0"/>
    <w:pPr>
      <w:snapToGrid/>
      <w:spacing w:before="156" w:after="156" w:line="500" w:lineRule="exact"/>
      <w:ind w:firstLine="0" w:firstLineChars="0"/>
      <w:jc w:val="left"/>
    </w:pPr>
    <w:rPr>
      <w:lang w:val="zh-CN"/>
    </w:rPr>
  </w:style>
  <w:style w:type="paragraph" w:customStyle="1" w:styleId="90">
    <w:name w:val="图表名称1"/>
    <w:next w:val="1"/>
    <w:qFormat/>
    <w:uiPriority w:val="0"/>
    <w:pPr>
      <w:spacing w:line="360" w:lineRule="auto"/>
      <w:jc w:val="center"/>
    </w:pPr>
    <w:rPr>
      <w:rFonts w:ascii="Times New Roman" w:hAnsi="Times New Roman" w:eastAsia="宋体" w:cs="Times New Roman"/>
      <w:b/>
      <w:bCs/>
      <w:kern w:val="2"/>
      <w:sz w:val="21"/>
      <w:szCs w:val="28"/>
      <w:lang w:val="en-US" w:eastAsia="zh-CN" w:bidi="ar-SA"/>
    </w:rPr>
  </w:style>
  <w:style w:type="paragraph" w:styleId="91">
    <w:name w:val="List Paragraph"/>
    <w:basedOn w:val="1"/>
    <w:qFormat/>
    <w:uiPriority w:val="1"/>
  </w:style>
  <w:style w:type="paragraph" w:customStyle="1" w:styleId="92">
    <w:name w:val="【正文】"/>
    <w:basedOn w:val="1"/>
    <w:next w:val="29"/>
    <w:qFormat/>
    <w:uiPriority w:val="0"/>
    <w:pPr>
      <w:spacing w:line="500" w:lineRule="exact"/>
    </w:pPr>
  </w:style>
  <w:style w:type="paragraph" w:customStyle="1" w:styleId="93">
    <w:name w:val="样式 黑体 居中 行距: 1.5 倍行距"/>
    <w:basedOn w:val="1"/>
    <w:qFormat/>
    <w:uiPriority w:val="0"/>
    <w:pPr>
      <w:spacing w:line="360" w:lineRule="auto"/>
      <w:jc w:val="center"/>
    </w:pPr>
    <w:rPr>
      <w:rFonts w:ascii="黑体" w:hAnsi="黑体" w:eastAsia="黑体"/>
      <w:kern w:val="0"/>
      <w:szCs w:val="20"/>
    </w:rPr>
  </w:style>
  <w:style w:type="paragraph" w:customStyle="1" w:styleId="94">
    <w:name w:val="题注1"/>
    <w:basedOn w:val="1"/>
    <w:next w:val="1"/>
    <w:qFormat/>
    <w:uiPriority w:val="0"/>
    <w:pPr>
      <w:spacing w:line="240" w:lineRule="auto"/>
      <w:ind w:firstLine="0" w:firstLineChars="0"/>
    </w:pPr>
    <w:rPr>
      <w:rFonts w:ascii="Arial" w:hAnsi="Arial" w:eastAsia="黑体" w:cs="Arial"/>
      <w:sz w:val="21"/>
      <w:szCs w:val="20"/>
    </w:rPr>
  </w:style>
  <w:style w:type="paragraph" w:customStyle="1" w:styleId="95">
    <w:name w:val="正文4"/>
    <w:qFormat/>
    <w:uiPriority w:val="0"/>
    <w:pPr>
      <w:widowControl w:val="0"/>
      <w:adjustRightInd w:val="0"/>
      <w:spacing w:line="360" w:lineRule="atLeast"/>
    </w:pPr>
    <w:rPr>
      <w:rFonts w:ascii="宋体" w:hAnsi="Times New Roman" w:eastAsia="宋体" w:cs="Times New Roman"/>
      <w:sz w:val="24"/>
      <w:lang w:val="en-US" w:eastAsia="zh-CN" w:bidi="ar-SA"/>
    </w:rPr>
  </w:style>
  <w:style w:type="paragraph" w:customStyle="1" w:styleId="96">
    <w:name w:val="表格5加粗"/>
    <w:basedOn w:val="97"/>
    <w:qFormat/>
    <w:uiPriority w:val="0"/>
    <w:rPr>
      <w:b/>
    </w:rPr>
  </w:style>
  <w:style w:type="paragraph" w:customStyle="1" w:styleId="97">
    <w:name w:val="表格5居中"/>
    <w:basedOn w:val="1"/>
    <w:qFormat/>
    <w:uiPriority w:val="99"/>
    <w:pPr>
      <w:adjustRightInd/>
      <w:snapToGrid/>
      <w:spacing w:line="360" w:lineRule="auto"/>
      <w:ind w:firstLine="482" w:firstLineChars="0"/>
      <w:contextualSpacing/>
      <w:jc w:val="center"/>
    </w:pPr>
    <w:rPr>
      <w:rFonts w:ascii="宋体"/>
      <w:snapToGrid w:val="0"/>
      <w:color w:val="000000"/>
      <w:kern w:val="44"/>
      <w:szCs w:val="20"/>
      <w:lang w:val="zh-CN"/>
    </w:rPr>
  </w:style>
  <w:style w:type="paragraph" w:customStyle="1" w:styleId="98">
    <w:name w:val="【表中文字】"/>
    <w:basedOn w:val="1"/>
    <w:qFormat/>
    <w:uiPriority w:val="0"/>
    <w:pPr>
      <w:jc w:val="center"/>
    </w:pPr>
    <w:rPr>
      <w:sz w:val="21"/>
    </w:rPr>
  </w:style>
  <w:style w:type="paragraph" w:customStyle="1" w:styleId="99">
    <w:name w:val="普通(网站)1"/>
    <w:basedOn w:val="1"/>
    <w:qFormat/>
    <w:uiPriority w:val="0"/>
    <w:pPr>
      <w:widowControl/>
      <w:snapToGrid/>
      <w:spacing w:before="100" w:beforeAutospacing="1" w:after="100" w:afterAutospacing="1" w:line="240" w:lineRule="auto"/>
      <w:ind w:firstLine="0"/>
      <w:jc w:val="left"/>
    </w:pPr>
    <w:rPr>
      <w:rFonts w:hint="eastAsia" w:ascii="宋体" w:hAnsi="宋体"/>
    </w:rPr>
  </w:style>
  <w:style w:type="paragraph" w:customStyle="1" w:styleId="100">
    <w:name w:val="Char1 Char Char Char"/>
    <w:basedOn w:val="1"/>
    <w:qFormat/>
    <w:uiPriority w:val="0"/>
    <w:pPr>
      <w:adjustRightInd/>
      <w:snapToGrid/>
      <w:spacing w:line="240" w:lineRule="auto"/>
    </w:pPr>
    <w:rPr>
      <w:rFonts w:ascii="宋体"/>
      <w:sz w:val="28"/>
    </w:rPr>
  </w:style>
  <w:style w:type="paragraph" w:customStyle="1" w:styleId="101">
    <w:name w:val="【标题3】"/>
    <w:basedOn w:val="4"/>
    <w:qFormat/>
    <w:uiPriority w:val="0"/>
    <w:pPr>
      <w:spacing w:before="240" w:after="240" w:line="380" w:lineRule="exact"/>
    </w:pPr>
    <w:rPr>
      <w:sz w:val="30"/>
      <w:szCs w:val="20"/>
    </w:rPr>
  </w:style>
  <w:style w:type="paragraph" w:customStyle="1" w:styleId="102">
    <w:name w:val="表体-格式"/>
    <w:basedOn w:val="1"/>
    <w:qFormat/>
    <w:uiPriority w:val="0"/>
    <w:pPr>
      <w:spacing w:line="240" w:lineRule="auto"/>
      <w:ind w:firstLine="0" w:firstLineChars="0"/>
      <w:jc w:val="center"/>
    </w:pPr>
    <w:rPr>
      <w:kern w:val="0"/>
      <w:sz w:val="21"/>
      <w:szCs w:val="18"/>
      <w:lang w:eastAsia="en-US" w:bidi="en-US"/>
    </w:rPr>
  </w:style>
  <w:style w:type="paragraph" w:customStyle="1" w:styleId="103">
    <w:name w:val="表格文字"/>
    <w:basedOn w:val="1"/>
    <w:qFormat/>
    <w:uiPriority w:val="0"/>
    <w:pPr>
      <w:tabs>
        <w:tab w:val="left" w:pos="146"/>
      </w:tabs>
      <w:spacing w:line="240" w:lineRule="exact"/>
      <w:ind w:right="-55" w:rightChars="-55"/>
      <w:jc w:val="center"/>
    </w:pPr>
    <w:rPr>
      <w:rFonts w:ascii="宋体" w:hAnsi="宋体"/>
      <w:snapToGrid w:val="0"/>
      <w:spacing w:val="6"/>
      <w:kern w:val="0"/>
      <w:szCs w:val="20"/>
    </w:rPr>
  </w:style>
  <w:style w:type="paragraph" w:customStyle="1" w:styleId="104">
    <w:name w:val="着重"/>
    <w:qFormat/>
    <w:uiPriority w:val="0"/>
    <w:pPr>
      <w:spacing w:line="360" w:lineRule="auto"/>
      <w:ind w:firstLine="200" w:firstLineChars="200"/>
      <w:jc w:val="both"/>
    </w:pPr>
    <w:rPr>
      <w:rFonts w:ascii="宋体" w:hAnsi="宋体" w:eastAsia="宋体" w:cs="Arial"/>
      <w:b/>
      <w:sz w:val="24"/>
      <w:szCs w:val="24"/>
      <w:lang w:val="en-US" w:eastAsia="zh-CN" w:bidi="ar-SA"/>
    </w:rPr>
  </w:style>
  <w:style w:type="paragraph" w:customStyle="1" w:styleId="105">
    <w:name w:val="p0"/>
    <w:basedOn w:val="1"/>
    <w:qFormat/>
    <w:uiPriority w:val="0"/>
    <w:pPr>
      <w:widowControl/>
      <w:spacing w:line="240" w:lineRule="auto"/>
      <w:ind w:firstLine="0" w:firstLineChars="0"/>
    </w:pPr>
    <w:rPr>
      <w:kern w:val="0"/>
      <w:sz w:val="21"/>
      <w:szCs w:val="21"/>
    </w:rPr>
  </w:style>
  <w:style w:type="paragraph" w:customStyle="1" w:styleId="106">
    <w:name w:val="样式7"/>
    <w:basedOn w:val="92"/>
    <w:qFormat/>
    <w:uiPriority w:val="0"/>
    <w:rPr>
      <w:rFonts w:ascii="Calibri" w:hAnsi="Calibri"/>
      <w:kern w:val="0"/>
      <w:szCs w:val="20"/>
    </w:rPr>
  </w:style>
  <w:style w:type="paragraph" w:customStyle="1" w:styleId="107">
    <w:name w:val="样式 四号 行距: 固定值 25 磅"/>
    <w:basedOn w:val="1"/>
    <w:qFormat/>
    <w:uiPriority w:val="0"/>
    <w:pPr>
      <w:tabs>
        <w:tab w:val="left" w:pos="5880"/>
      </w:tabs>
      <w:spacing w:line="360" w:lineRule="auto"/>
    </w:pPr>
    <w:rPr>
      <w:shd w:val="clear" w:color="auto" w:fill="FFFFFF"/>
    </w:rPr>
  </w:style>
  <w:style w:type="paragraph" w:customStyle="1" w:styleId="108">
    <w:name w:val="正文 + 首行缩进:  2 字符"/>
    <w:basedOn w:val="1"/>
    <w:qFormat/>
    <w:uiPriority w:val="0"/>
    <w:pPr>
      <w:spacing w:line="460" w:lineRule="atLeast"/>
      <w:ind w:firstLine="528"/>
    </w:pPr>
    <w:rPr>
      <w:spacing w:val="12"/>
      <w:szCs w:val="20"/>
    </w:rPr>
  </w:style>
  <w:style w:type="paragraph" w:customStyle="1" w:styleId="109">
    <w:name w:val="Table Paragraph"/>
    <w:basedOn w:val="1"/>
    <w:unhideWhenUsed/>
    <w:qFormat/>
    <w:uiPriority w:val="0"/>
  </w:style>
  <w:style w:type="paragraph" w:customStyle="1" w:styleId="110">
    <w:name w:val="【表格文字】"/>
    <w:basedOn w:val="1"/>
    <w:next w:val="1"/>
    <w:qFormat/>
    <w:uiPriority w:val="0"/>
    <w:pPr>
      <w:spacing w:line="240" w:lineRule="exact"/>
      <w:jc w:val="center"/>
    </w:pPr>
    <w:rPr>
      <w:sz w:val="20"/>
    </w:rPr>
  </w:style>
  <w:style w:type="paragraph" w:customStyle="1" w:styleId="111">
    <w:name w:val="正文1"/>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12">
    <w:name w:val="Char"/>
    <w:basedOn w:val="1"/>
    <w:qFormat/>
    <w:uiPriority w:val="0"/>
    <w:pPr>
      <w:tabs>
        <w:tab w:val="left" w:pos="1723"/>
      </w:tabs>
      <w:ind w:left="1723" w:hanging="1080"/>
    </w:pPr>
    <w:rPr>
      <w:rFonts w:eastAsia="仿宋_GB2312"/>
      <w:szCs w:val="32"/>
    </w:rPr>
  </w:style>
  <w:style w:type="paragraph" w:customStyle="1" w:styleId="113">
    <w:name w:val="主正文3"/>
    <w:basedOn w:val="1"/>
    <w:qFormat/>
    <w:uiPriority w:val="0"/>
    <w:pPr>
      <w:spacing w:line="360" w:lineRule="auto"/>
      <w:ind w:left="1619" w:leftChars="771"/>
    </w:pPr>
    <w:rPr>
      <w:szCs w:val="20"/>
    </w:rPr>
  </w:style>
  <w:style w:type="paragraph" w:customStyle="1" w:styleId="114">
    <w:name w:val="样式w"/>
    <w:basedOn w:val="1"/>
    <w:qFormat/>
    <w:uiPriority w:val="0"/>
    <w:pPr>
      <w:spacing w:line="360" w:lineRule="auto"/>
      <w:ind w:firstLine="200"/>
    </w:pPr>
    <w:rPr>
      <w:rFonts w:ascii="宋体" w:hAnsi="宋体"/>
    </w:rPr>
  </w:style>
  <w:style w:type="paragraph" w:customStyle="1" w:styleId="115">
    <w:name w:val="样式 Century Gothic 四号 行距: 1.5 倍行距"/>
    <w:basedOn w:val="1"/>
    <w:qFormat/>
    <w:uiPriority w:val="0"/>
    <w:pPr>
      <w:spacing w:line="360" w:lineRule="auto"/>
      <w:ind w:firstLine="200"/>
    </w:pPr>
    <w:rPr>
      <w:rFonts w:ascii="Century Gothic" w:hAnsi="宋体" w:cs="宋体"/>
      <w:sz w:val="28"/>
      <w:szCs w:val="20"/>
    </w:rPr>
  </w:style>
  <w:style w:type="paragraph" w:customStyle="1" w:styleId="116">
    <w:name w:val="表头文字"/>
    <w:basedOn w:val="1"/>
    <w:qFormat/>
    <w:uiPriority w:val="0"/>
    <w:pPr>
      <w:ind w:firstLine="0" w:firstLineChars="0"/>
      <w:jc w:val="center"/>
    </w:pPr>
    <w:rPr>
      <w:sz w:val="28"/>
      <w:szCs w:val="20"/>
    </w:rPr>
  </w:style>
  <w:style w:type="paragraph" w:customStyle="1" w:styleId="117">
    <w:name w:val="样式 标题 1 + 首行缩进:  2 字符"/>
    <w:basedOn w:val="2"/>
    <w:qFormat/>
    <w:uiPriority w:val="0"/>
    <w:pPr>
      <w:spacing w:before="0" w:after="0" w:line="720" w:lineRule="auto"/>
      <w:ind w:firstLine="200" w:firstLineChars="200"/>
      <w:jc w:val="center"/>
    </w:pPr>
    <w:rPr>
      <w:rFonts w:ascii="黑体" w:eastAsia="黑体" w:cs="宋体"/>
      <w:sz w:val="36"/>
      <w:szCs w:val="20"/>
    </w:rPr>
  </w:style>
  <w:style w:type="paragraph" w:customStyle="1" w:styleId="118">
    <w:name w:val="【标题1】"/>
    <w:basedOn w:val="2"/>
    <w:qFormat/>
    <w:uiPriority w:val="0"/>
    <w:pPr>
      <w:keepNext/>
      <w:keepLines/>
      <w:pageBreakBefore/>
      <w:ind w:left="0"/>
    </w:pPr>
    <w:rPr>
      <w:rFonts w:cs="宋体"/>
      <w:bCs/>
      <w:kern w:val="44"/>
      <w:szCs w:val="20"/>
    </w:rPr>
  </w:style>
  <w:style w:type="paragraph" w:customStyle="1" w:styleId="119">
    <w:name w:val="正文(首行缩进)"/>
    <w:basedOn w:val="1"/>
    <w:qFormat/>
    <w:uiPriority w:val="0"/>
    <w:rPr>
      <w:snapToGrid w:val="0"/>
      <w:kern w:val="0"/>
    </w:rPr>
  </w:style>
  <w:style w:type="paragraph" w:customStyle="1" w:styleId="120">
    <w:name w:val="【表头】"/>
    <w:basedOn w:val="1"/>
    <w:next w:val="110"/>
    <w:qFormat/>
    <w:uiPriority w:val="0"/>
    <w:pPr>
      <w:spacing w:line="460" w:lineRule="exact"/>
      <w:ind w:firstLine="0" w:firstLineChars="0"/>
      <w:jc w:val="center"/>
    </w:pPr>
    <w:rPr>
      <w:rFonts w:eastAsia="黑体" w:cs="宋体"/>
      <w:kern w:val="0"/>
      <w:szCs w:val="20"/>
    </w:rPr>
  </w:style>
  <w:style w:type="paragraph" w:customStyle="1" w:styleId="121">
    <w:name w:val="【标题4】"/>
    <w:basedOn w:val="1"/>
    <w:qFormat/>
    <w:uiPriority w:val="0"/>
    <w:pPr>
      <w:keepLines/>
      <w:spacing w:line="500" w:lineRule="exact"/>
      <w:jc w:val="left"/>
      <w:outlineLvl w:val="3"/>
    </w:pPr>
    <w:rPr>
      <w:rFonts w:cs="宋体"/>
      <w:bCs/>
      <w:szCs w:val="20"/>
    </w:rPr>
  </w:style>
  <w:style w:type="paragraph" w:customStyle="1" w:styleId="122">
    <w:name w:val="三级标题"/>
    <w:basedOn w:val="1"/>
    <w:qFormat/>
    <w:uiPriority w:val="0"/>
    <w:pPr>
      <w:spacing w:line="440" w:lineRule="exact"/>
      <w:ind w:firstLine="560"/>
    </w:pPr>
    <w:rPr>
      <w:rFonts w:ascii="黑体" w:hAnsi="宋体" w:eastAsia="黑体"/>
      <w:snapToGrid w:val="0"/>
      <w:color w:val="008000"/>
      <w:spacing w:val="20"/>
      <w:kern w:val="0"/>
    </w:rPr>
  </w:style>
  <w:style w:type="paragraph" w:customStyle="1" w:styleId="123">
    <w:name w:val="样式4"/>
    <w:basedOn w:val="13"/>
    <w:qFormat/>
    <w:uiPriority w:val="0"/>
    <w:pPr>
      <w:widowControl/>
      <w:spacing w:line="360" w:lineRule="auto"/>
      <w:ind w:firstLine="480" w:firstLineChars="200"/>
      <w:jc w:val="left"/>
    </w:pPr>
    <w:rPr>
      <w:rFonts w:ascii="Times New Roman" w:hAnsi="Times New Roman"/>
      <w:snapToGrid w:val="0"/>
      <w:sz w:val="24"/>
      <w:szCs w:val="20"/>
      <w:lang w:val="zh-CN"/>
    </w:rPr>
  </w:style>
  <w:style w:type="paragraph" w:customStyle="1" w:styleId="124">
    <w:name w:val="YB表格文字"/>
    <w:basedOn w:val="1"/>
    <w:qFormat/>
    <w:uiPriority w:val="4"/>
    <w:pPr>
      <w:spacing w:line="360" w:lineRule="auto"/>
      <w:ind w:firstLine="0" w:firstLineChars="0"/>
      <w:jc w:val="center"/>
    </w:pPr>
    <w:rPr>
      <w:rFonts w:ascii="Century Gothic" w:hAnsi="Century Gothic"/>
      <w:kern w:val="0"/>
      <w:sz w:val="21"/>
      <w:szCs w:val="22"/>
    </w:rPr>
  </w:style>
  <w:style w:type="paragraph" w:customStyle="1" w:styleId="125">
    <w:name w:val="标题1"/>
    <w:basedOn w:val="1"/>
    <w:next w:val="1"/>
    <w:qFormat/>
    <w:uiPriority w:val="0"/>
    <w:pPr>
      <w:keepNext/>
      <w:keepLines/>
      <w:tabs>
        <w:tab w:val="left" w:pos="1200"/>
      </w:tabs>
      <w:spacing w:before="160" w:after="160"/>
      <w:ind w:left="425" w:firstLine="0" w:firstLineChars="0"/>
      <w:jc w:val="center"/>
      <w:outlineLvl w:val="0"/>
    </w:pPr>
    <w:rPr>
      <w:rFonts w:ascii="黑体" w:eastAsia="黑体"/>
      <w:b/>
      <w:sz w:val="32"/>
      <w:szCs w:val="32"/>
    </w:rPr>
  </w:style>
  <w:style w:type="paragraph" w:customStyle="1" w:styleId="126">
    <w:name w:val="11111"/>
    <w:basedOn w:val="1"/>
    <w:next w:val="1"/>
    <w:qFormat/>
    <w:uiPriority w:val="0"/>
    <w:pPr>
      <w:spacing w:line="360" w:lineRule="auto"/>
      <w:ind w:firstLine="200"/>
    </w:pPr>
    <w:rPr>
      <w:rFonts w:ascii="宋体" w:hAnsi="宋体" w:cs="宋体"/>
    </w:rPr>
  </w:style>
  <w:style w:type="paragraph" w:customStyle="1" w:styleId="127">
    <w:name w:val="报告正文格式"/>
    <w:basedOn w:val="1"/>
    <w:link w:val="128"/>
    <w:qFormat/>
    <w:uiPriority w:val="0"/>
    <w:pPr>
      <w:adjustRightInd/>
      <w:snapToGrid/>
      <w:spacing w:line="520" w:lineRule="exact"/>
      <w:jc w:val="left"/>
    </w:pPr>
    <w:rPr>
      <w:rFonts w:eastAsia="仿宋_GB2312"/>
      <w:color w:val="000000"/>
      <w:szCs w:val="32"/>
    </w:rPr>
  </w:style>
  <w:style w:type="character" w:customStyle="1" w:styleId="128">
    <w:name w:val="报告正文格式 Char"/>
    <w:link w:val="127"/>
    <w:qFormat/>
    <w:uiPriority w:val="0"/>
    <w:rPr>
      <w:rFonts w:eastAsia="仿宋_GB2312"/>
      <w:color w:val="000000"/>
      <w:kern w:val="2"/>
      <w:sz w:val="24"/>
      <w:szCs w:val="32"/>
    </w:rPr>
  </w:style>
  <w:style w:type="paragraph" w:customStyle="1" w:styleId="129">
    <w:name w:val="图表"/>
    <w:basedOn w:val="1"/>
    <w:next w:val="1"/>
    <w:link w:val="130"/>
    <w:qFormat/>
    <w:uiPriority w:val="0"/>
    <w:pPr>
      <w:adjustRightInd/>
      <w:snapToGrid/>
      <w:spacing w:line="360" w:lineRule="auto"/>
      <w:ind w:firstLine="0" w:firstLineChars="0"/>
      <w:jc w:val="center"/>
    </w:pPr>
    <w:rPr>
      <w:rFonts w:eastAsia="黑体"/>
      <w:kern w:val="0"/>
      <w:sz w:val="20"/>
      <w:szCs w:val="20"/>
    </w:rPr>
  </w:style>
  <w:style w:type="character" w:customStyle="1" w:styleId="130">
    <w:name w:val="图表 Char"/>
    <w:link w:val="129"/>
    <w:qFormat/>
    <w:uiPriority w:val="0"/>
    <w:rPr>
      <w:rFonts w:eastAsia="黑体"/>
    </w:rPr>
  </w:style>
  <w:style w:type="paragraph" w:customStyle="1" w:styleId="131">
    <w:name w:val="表中字"/>
    <w:basedOn w:val="1"/>
    <w:next w:val="1"/>
    <w:qFormat/>
    <w:uiPriority w:val="0"/>
    <w:pPr>
      <w:spacing w:line="240" w:lineRule="auto"/>
      <w:ind w:firstLine="0" w:firstLineChars="0"/>
      <w:jc w:val="center"/>
    </w:pPr>
    <w:rPr>
      <w:rFonts w:ascii="Times New Roman" w:hAnsi="Times New Roman"/>
      <w:color w:val="auto"/>
      <w:sz w:val="18"/>
      <w:szCs w:val="22"/>
      <w:lang w:val="zh-CN"/>
    </w:rPr>
  </w:style>
  <w:style w:type="table" w:customStyle="1" w:styleId="132">
    <w:name w:val="Table Normal"/>
    <w:semiHidden/>
    <w:unhideWhenUsed/>
    <w:qFormat/>
    <w:uiPriority w:val="0"/>
    <w:tblPr>
      <w:tblCellMar>
        <w:top w:w="0" w:type="dxa"/>
        <w:left w:w="0" w:type="dxa"/>
        <w:bottom w:w="0" w:type="dxa"/>
        <w:right w:w="0" w:type="dxa"/>
      </w:tblCellMar>
    </w:tblPr>
  </w:style>
  <w:style w:type="paragraph" w:customStyle="1" w:styleId="133">
    <w:name w:val="Table Text"/>
    <w:basedOn w:val="1"/>
    <w:semiHidden/>
    <w:qFormat/>
    <w:uiPriority w:val="0"/>
    <w:rPr>
      <w:rFonts w:ascii="宋体" w:hAnsi="宋体" w:eastAsia="宋体" w:cs="宋体"/>
      <w:sz w:val="27"/>
      <w:szCs w:val="27"/>
      <w:lang w:val="en-US" w:eastAsia="en-US" w:bidi="ar-SA"/>
    </w:rPr>
  </w:style>
  <w:style w:type="paragraph" w:customStyle="1" w:styleId="134">
    <w:name w:val="表头、图名"/>
    <w:basedOn w:val="1"/>
    <w:next w:val="1"/>
    <w:qFormat/>
    <w:uiPriority w:val="0"/>
    <w:pPr>
      <w:ind w:firstLine="0" w:firstLineChars="0"/>
      <w:jc w:val="center"/>
    </w:pPr>
    <w:rPr>
      <w:rFonts w:hint="eastAsia" w:ascii="Times New Roman" w:hAnsi="Times New Roman" w:eastAsia="黑体" w:cs="Times New Roman"/>
    </w:rPr>
  </w:style>
  <w:style w:type="paragraph" w:customStyle="1" w:styleId="135">
    <w:name w:val="表"/>
    <w:basedOn w:val="1"/>
    <w:qFormat/>
    <w:uiPriority w:val="0"/>
    <w:pPr>
      <w:spacing w:line="200" w:lineRule="atLeast"/>
      <w:jc w:val="center"/>
    </w:pPr>
    <w:rPr>
      <w:rFonts w:hint="eastAsia" w:ascii="Times New Roman" w:hAnsi="Times New Roman" w:eastAsia="宋体" w:cs="Times New Roman"/>
      <w:sz w:val="21"/>
      <w:szCs w:val="22"/>
    </w:rPr>
  </w:style>
  <w:style w:type="paragraph" w:customStyle="1" w:styleId="136">
    <w:name w:val="C【表中文字】-"/>
    <w:basedOn w:val="1"/>
    <w:autoRedefine/>
    <w:qFormat/>
    <w:uiPriority w:val="0"/>
    <w:pPr>
      <w:adjustRightInd w:val="0"/>
      <w:snapToGrid w:val="0"/>
      <w:jc w:val="center"/>
    </w:pPr>
    <w:rPr>
      <w:kern w:val="0"/>
      <w:szCs w:val="20"/>
    </w:rPr>
  </w:style>
  <w:style w:type="paragraph" w:customStyle="1" w:styleId="137">
    <w:name w:val="报告表中表格文字"/>
    <w:basedOn w:val="1"/>
    <w:qFormat/>
    <w:uiPriority w:val="0"/>
    <w:pPr>
      <w:adjustRightInd/>
      <w:snapToGrid/>
      <w:spacing w:line="288" w:lineRule="auto"/>
      <w:ind w:firstLine="0" w:firstLineChars="0"/>
      <w:jc w:val="center"/>
    </w:pPr>
    <w:rPr>
      <w:rFonts w:hint="eastAsia" w:cs="Times New Roman"/>
      <w:sz w:val="21"/>
      <w:szCs w:val="21"/>
    </w:rPr>
  </w:style>
  <w:style w:type="paragraph" w:customStyle="1" w:styleId="138">
    <w:name w:val="表头"/>
    <w:basedOn w:val="1"/>
    <w:next w:val="1"/>
    <w:qFormat/>
    <w:uiPriority w:val="0"/>
    <w:pPr>
      <w:tabs>
        <w:tab w:val="right" w:leader="hyphen" w:pos="8296"/>
      </w:tabs>
      <w:adjustRightInd w:val="0"/>
      <w:snapToGrid w:val="0"/>
      <w:spacing w:line="240" w:lineRule="auto"/>
      <w:ind w:left="0" w:right="0" w:firstLine="0" w:firstLineChars="0"/>
      <w:jc w:val="center"/>
    </w:pPr>
    <w:rPr>
      <w:rFonts w:ascii="Times New Roman" w:hAnsi="Times New Roman" w:eastAsia="宋体"/>
      <w:b/>
      <w:kern w:val="0"/>
      <w:sz w:val="21"/>
      <w:szCs w:val="21"/>
    </w:rPr>
  </w:style>
</w:styles>
</file>

<file path=word/_rels/document.xml.rels><?xml version="1.0" encoding="UTF-8" standalone="yes"?>
<Relationships xmlns="http://schemas.openxmlformats.org/package/2006/relationships"><Relationship Id="rId99" Type="http://schemas.openxmlformats.org/officeDocument/2006/relationships/image" Target="media/image79.png"/><Relationship Id="rId98" Type="http://schemas.openxmlformats.org/officeDocument/2006/relationships/image" Target="media/image78.png"/><Relationship Id="rId97" Type="http://schemas.openxmlformats.org/officeDocument/2006/relationships/image" Target="media/image77.png"/><Relationship Id="rId96" Type="http://schemas.openxmlformats.org/officeDocument/2006/relationships/image" Target="media/image76.png"/><Relationship Id="rId95" Type="http://schemas.openxmlformats.org/officeDocument/2006/relationships/image" Target="media/image75.png"/><Relationship Id="rId94" Type="http://schemas.openxmlformats.org/officeDocument/2006/relationships/image" Target="media/image74.png"/><Relationship Id="rId93" Type="http://schemas.openxmlformats.org/officeDocument/2006/relationships/image" Target="media/image73.png"/><Relationship Id="rId92" Type="http://schemas.openxmlformats.org/officeDocument/2006/relationships/image" Target="media/image72.png"/><Relationship Id="rId91" Type="http://schemas.openxmlformats.org/officeDocument/2006/relationships/image" Target="media/image71.png"/><Relationship Id="rId90" Type="http://schemas.openxmlformats.org/officeDocument/2006/relationships/image" Target="media/image70.png"/><Relationship Id="rId9" Type="http://schemas.openxmlformats.org/officeDocument/2006/relationships/footer" Target="footer2.xml"/><Relationship Id="rId89" Type="http://schemas.openxmlformats.org/officeDocument/2006/relationships/image" Target="media/image69.png"/><Relationship Id="rId88" Type="http://schemas.openxmlformats.org/officeDocument/2006/relationships/image" Target="media/image68.png"/><Relationship Id="rId87" Type="http://schemas.openxmlformats.org/officeDocument/2006/relationships/image" Target="media/image67.png"/><Relationship Id="rId86" Type="http://schemas.openxmlformats.org/officeDocument/2006/relationships/image" Target="media/image66.jpeg"/><Relationship Id="rId85" Type="http://schemas.openxmlformats.org/officeDocument/2006/relationships/image" Target="media/image65.jpeg"/><Relationship Id="rId84" Type="http://schemas.openxmlformats.org/officeDocument/2006/relationships/image" Target="media/image64.jpeg"/><Relationship Id="rId83" Type="http://schemas.openxmlformats.org/officeDocument/2006/relationships/image" Target="media/image63.png"/><Relationship Id="rId82" Type="http://schemas.openxmlformats.org/officeDocument/2006/relationships/image" Target="media/image62.png"/><Relationship Id="rId81" Type="http://schemas.openxmlformats.org/officeDocument/2006/relationships/image" Target="media/image61.png"/><Relationship Id="rId80" Type="http://schemas.openxmlformats.org/officeDocument/2006/relationships/image" Target="media/image60.png"/><Relationship Id="rId8" Type="http://schemas.openxmlformats.org/officeDocument/2006/relationships/footer" Target="footer1.xml"/><Relationship Id="rId79" Type="http://schemas.openxmlformats.org/officeDocument/2006/relationships/image" Target="media/image59.png"/><Relationship Id="rId78" Type="http://schemas.openxmlformats.org/officeDocument/2006/relationships/image" Target="media/image58.png"/><Relationship Id="rId77" Type="http://schemas.openxmlformats.org/officeDocument/2006/relationships/image" Target="media/image57.png"/><Relationship Id="rId76" Type="http://schemas.openxmlformats.org/officeDocument/2006/relationships/image" Target="media/image56.png"/><Relationship Id="rId75" Type="http://schemas.openxmlformats.org/officeDocument/2006/relationships/image" Target="media/image55.png"/><Relationship Id="rId74" Type="http://schemas.openxmlformats.org/officeDocument/2006/relationships/image" Target="media/image54.wmf"/><Relationship Id="rId73" Type="http://schemas.openxmlformats.org/officeDocument/2006/relationships/image" Target="media/image53.wmf"/><Relationship Id="rId72" Type="http://schemas.openxmlformats.org/officeDocument/2006/relationships/image" Target="media/image52.png"/><Relationship Id="rId71" Type="http://schemas.openxmlformats.org/officeDocument/2006/relationships/image" Target="media/image51.png"/><Relationship Id="rId70" Type="http://schemas.openxmlformats.org/officeDocument/2006/relationships/image" Target="media/image50.png"/><Relationship Id="rId7" Type="http://schemas.openxmlformats.org/officeDocument/2006/relationships/header" Target="header3.xml"/><Relationship Id="rId69" Type="http://schemas.openxmlformats.org/officeDocument/2006/relationships/image" Target="media/image49.png"/><Relationship Id="rId68" Type="http://schemas.openxmlformats.org/officeDocument/2006/relationships/image" Target="media/image48.png"/><Relationship Id="rId67" Type="http://schemas.openxmlformats.org/officeDocument/2006/relationships/image" Target="media/image47.png"/><Relationship Id="rId66" Type="http://schemas.openxmlformats.org/officeDocument/2006/relationships/image" Target="media/image46.png"/><Relationship Id="rId65" Type="http://schemas.openxmlformats.org/officeDocument/2006/relationships/image" Target="media/image45.png"/><Relationship Id="rId64" Type="http://schemas.openxmlformats.org/officeDocument/2006/relationships/image" Target="media/image44.png"/><Relationship Id="rId63" Type="http://schemas.openxmlformats.org/officeDocument/2006/relationships/image" Target="media/image43.wmf"/><Relationship Id="rId62" Type="http://schemas.openxmlformats.org/officeDocument/2006/relationships/image" Target="media/image42.wmf"/><Relationship Id="rId61" Type="http://schemas.openxmlformats.org/officeDocument/2006/relationships/image" Target="media/image41.png"/><Relationship Id="rId60" Type="http://schemas.openxmlformats.org/officeDocument/2006/relationships/image" Target="media/image40.wmf"/><Relationship Id="rId6" Type="http://schemas.openxmlformats.org/officeDocument/2006/relationships/header" Target="header2.xml"/><Relationship Id="rId59" Type="http://schemas.openxmlformats.org/officeDocument/2006/relationships/oleObject" Target="embeddings/oleObject2.bin"/><Relationship Id="rId58" Type="http://schemas.openxmlformats.org/officeDocument/2006/relationships/image" Target="media/image39.png"/><Relationship Id="rId57" Type="http://schemas.openxmlformats.org/officeDocument/2006/relationships/image" Target="media/image38.png"/><Relationship Id="rId56" Type="http://schemas.openxmlformats.org/officeDocument/2006/relationships/image" Target="media/image37.wmf"/><Relationship Id="rId55" Type="http://schemas.openxmlformats.org/officeDocument/2006/relationships/oleObject" Target="embeddings/oleObject1.bin"/><Relationship Id="rId54" Type="http://schemas.openxmlformats.org/officeDocument/2006/relationships/image" Target="media/image36.wmf"/><Relationship Id="rId53" Type="http://schemas.openxmlformats.org/officeDocument/2006/relationships/image" Target="media/image35.png"/><Relationship Id="rId52" Type="http://schemas.openxmlformats.org/officeDocument/2006/relationships/image" Target="media/image34.jpeg"/><Relationship Id="rId51" Type="http://schemas.openxmlformats.org/officeDocument/2006/relationships/image" Target="media/image33.jpeg"/><Relationship Id="rId50" Type="http://schemas.openxmlformats.org/officeDocument/2006/relationships/image" Target="media/image32.png"/><Relationship Id="rId5" Type="http://schemas.openxmlformats.org/officeDocument/2006/relationships/header" Target="header1.xml"/><Relationship Id="rId49" Type="http://schemas.openxmlformats.org/officeDocument/2006/relationships/image" Target="media/image31.png"/><Relationship Id="rId48" Type="http://schemas.openxmlformats.org/officeDocument/2006/relationships/image" Target="media/image30.png"/><Relationship Id="rId47" Type="http://schemas.openxmlformats.org/officeDocument/2006/relationships/image" Target="media/image29.jpeg"/><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endnotes" Target="endnotes.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image" Target="media/image16.png"/><Relationship Id="rId33" Type="http://schemas.openxmlformats.org/officeDocument/2006/relationships/image" Target="media/image15.png"/><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image" Target="media/image12.png"/><Relationship Id="rId3" Type="http://schemas.openxmlformats.org/officeDocument/2006/relationships/footnotes" Target="footnotes.xml"/><Relationship Id="rId29" Type="http://schemas.openxmlformats.org/officeDocument/2006/relationships/image" Target="media/image11.png"/><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9.xml"/><Relationship Id="rId16" Type="http://schemas.openxmlformats.org/officeDocument/2006/relationships/footer" Target="footer8.xml"/><Relationship Id="rId156" Type="http://schemas.openxmlformats.org/officeDocument/2006/relationships/fontTable" Target="fontTable.xml"/><Relationship Id="rId155" Type="http://schemas.openxmlformats.org/officeDocument/2006/relationships/numbering" Target="numbering.xml"/><Relationship Id="rId154" Type="http://schemas.openxmlformats.org/officeDocument/2006/relationships/customXml" Target="../customXml/item1.xml"/><Relationship Id="rId153" Type="http://schemas.openxmlformats.org/officeDocument/2006/relationships/image" Target="media/image133.png"/><Relationship Id="rId152" Type="http://schemas.openxmlformats.org/officeDocument/2006/relationships/image" Target="media/image132.png"/><Relationship Id="rId151" Type="http://schemas.openxmlformats.org/officeDocument/2006/relationships/image" Target="media/image131.png"/><Relationship Id="rId150" Type="http://schemas.openxmlformats.org/officeDocument/2006/relationships/image" Target="media/image130.png"/><Relationship Id="rId15" Type="http://schemas.openxmlformats.org/officeDocument/2006/relationships/footer" Target="footer7.xml"/><Relationship Id="rId149" Type="http://schemas.openxmlformats.org/officeDocument/2006/relationships/image" Target="media/image129.png"/><Relationship Id="rId148" Type="http://schemas.openxmlformats.org/officeDocument/2006/relationships/image" Target="media/image128.png"/><Relationship Id="rId147" Type="http://schemas.openxmlformats.org/officeDocument/2006/relationships/image" Target="media/image127.png"/><Relationship Id="rId146" Type="http://schemas.openxmlformats.org/officeDocument/2006/relationships/image" Target="media/image126.png"/><Relationship Id="rId145" Type="http://schemas.openxmlformats.org/officeDocument/2006/relationships/image" Target="media/image125.png"/><Relationship Id="rId144" Type="http://schemas.openxmlformats.org/officeDocument/2006/relationships/image" Target="media/image124.png"/><Relationship Id="rId143" Type="http://schemas.openxmlformats.org/officeDocument/2006/relationships/image" Target="media/image123.png"/><Relationship Id="rId142" Type="http://schemas.openxmlformats.org/officeDocument/2006/relationships/image" Target="media/image122.png"/><Relationship Id="rId141" Type="http://schemas.openxmlformats.org/officeDocument/2006/relationships/image" Target="media/image121.png"/><Relationship Id="rId140" Type="http://schemas.openxmlformats.org/officeDocument/2006/relationships/image" Target="media/image120.png"/><Relationship Id="rId14" Type="http://schemas.openxmlformats.org/officeDocument/2006/relationships/footer" Target="footer6.xml"/><Relationship Id="rId139" Type="http://schemas.openxmlformats.org/officeDocument/2006/relationships/image" Target="media/image119.png"/><Relationship Id="rId138" Type="http://schemas.openxmlformats.org/officeDocument/2006/relationships/image" Target="media/image118.png"/><Relationship Id="rId137" Type="http://schemas.openxmlformats.org/officeDocument/2006/relationships/image" Target="media/image117.png"/><Relationship Id="rId136" Type="http://schemas.openxmlformats.org/officeDocument/2006/relationships/image" Target="media/image116.png"/><Relationship Id="rId135" Type="http://schemas.openxmlformats.org/officeDocument/2006/relationships/image" Target="media/image115.png"/><Relationship Id="rId134" Type="http://schemas.openxmlformats.org/officeDocument/2006/relationships/image" Target="media/image114.png"/><Relationship Id="rId133" Type="http://schemas.openxmlformats.org/officeDocument/2006/relationships/image" Target="media/image113.png"/><Relationship Id="rId132" Type="http://schemas.openxmlformats.org/officeDocument/2006/relationships/image" Target="media/image112.png"/><Relationship Id="rId131" Type="http://schemas.openxmlformats.org/officeDocument/2006/relationships/image" Target="media/image111.png"/><Relationship Id="rId130" Type="http://schemas.openxmlformats.org/officeDocument/2006/relationships/image" Target="media/image110.png"/><Relationship Id="rId13" Type="http://schemas.openxmlformats.org/officeDocument/2006/relationships/footer" Target="footer5.xml"/><Relationship Id="rId129" Type="http://schemas.openxmlformats.org/officeDocument/2006/relationships/image" Target="media/image109.png"/><Relationship Id="rId128" Type="http://schemas.openxmlformats.org/officeDocument/2006/relationships/image" Target="media/image108.png"/><Relationship Id="rId127" Type="http://schemas.openxmlformats.org/officeDocument/2006/relationships/image" Target="media/image107.png"/><Relationship Id="rId126" Type="http://schemas.openxmlformats.org/officeDocument/2006/relationships/image" Target="media/image106.png"/><Relationship Id="rId125" Type="http://schemas.openxmlformats.org/officeDocument/2006/relationships/image" Target="media/image105.png"/><Relationship Id="rId124" Type="http://schemas.openxmlformats.org/officeDocument/2006/relationships/image" Target="media/image104.png"/><Relationship Id="rId123" Type="http://schemas.openxmlformats.org/officeDocument/2006/relationships/image" Target="media/image103.png"/><Relationship Id="rId122" Type="http://schemas.openxmlformats.org/officeDocument/2006/relationships/image" Target="media/image102.png"/><Relationship Id="rId121" Type="http://schemas.openxmlformats.org/officeDocument/2006/relationships/image" Target="media/image101.png"/><Relationship Id="rId120" Type="http://schemas.openxmlformats.org/officeDocument/2006/relationships/image" Target="media/image100.png"/><Relationship Id="rId12" Type="http://schemas.openxmlformats.org/officeDocument/2006/relationships/footer" Target="footer4.xml"/><Relationship Id="rId119" Type="http://schemas.openxmlformats.org/officeDocument/2006/relationships/image" Target="media/image99.png"/><Relationship Id="rId118" Type="http://schemas.openxmlformats.org/officeDocument/2006/relationships/image" Target="media/image98.png"/><Relationship Id="rId117" Type="http://schemas.openxmlformats.org/officeDocument/2006/relationships/image" Target="media/image97.png"/><Relationship Id="rId116" Type="http://schemas.openxmlformats.org/officeDocument/2006/relationships/image" Target="media/image96.png"/><Relationship Id="rId115" Type="http://schemas.openxmlformats.org/officeDocument/2006/relationships/image" Target="media/image95.png"/><Relationship Id="rId114" Type="http://schemas.openxmlformats.org/officeDocument/2006/relationships/image" Target="media/image94.png"/><Relationship Id="rId113" Type="http://schemas.openxmlformats.org/officeDocument/2006/relationships/image" Target="media/image93.png"/><Relationship Id="rId112" Type="http://schemas.openxmlformats.org/officeDocument/2006/relationships/image" Target="media/image92.png"/><Relationship Id="rId111" Type="http://schemas.openxmlformats.org/officeDocument/2006/relationships/image" Target="media/image91.png"/><Relationship Id="rId110" Type="http://schemas.openxmlformats.org/officeDocument/2006/relationships/image" Target="media/image90.png"/><Relationship Id="rId11" Type="http://schemas.openxmlformats.org/officeDocument/2006/relationships/header" Target="header4.xml"/><Relationship Id="rId109" Type="http://schemas.openxmlformats.org/officeDocument/2006/relationships/image" Target="media/image89.png"/><Relationship Id="rId108" Type="http://schemas.openxmlformats.org/officeDocument/2006/relationships/image" Target="media/image88.png"/><Relationship Id="rId107" Type="http://schemas.openxmlformats.org/officeDocument/2006/relationships/image" Target="media/image87.jpeg"/><Relationship Id="rId106" Type="http://schemas.openxmlformats.org/officeDocument/2006/relationships/image" Target="media/image86.png"/><Relationship Id="rId105" Type="http://schemas.openxmlformats.org/officeDocument/2006/relationships/image" Target="media/image85.png"/><Relationship Id="rId104" Type="http://schemas.openxmlformats.org/officeDocument/2006/relationships/image" Target="media/image84.png"/><Relationship Id="rId103" Type="http://schemas.openxmlformats.org/officeDocument/2006/relationships/image" Target="media/image83.png"/><Relationship Id="rId102" Type="http://schemas.openxmlformats.org/officeDocument/2006/relationships/image" Target="media/image82.png"/><Relationship Id="rId101" Type="http://schemas.openxmlformats.org/officeDocument/2006/relationships/image" Target="media/image81.png"/><Relationship Id="rId100" Type="http://schemas.openxmlformats.org/officeDocument/2006/relationships/image" Target="media/image80.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7" textRotate="1"/>
    <customShpInfo spid="_x0000_s1028" textRotate="1"/>
    <customShpInfo spid="_x0000_s1029" textRotate="1"/>
    <customShpInfo spid="_x0000_s1025"/>
    <customShpInfo spid="_x0000_s1026"/>
    <customShpInfo spid="_x0000_s3417"/>
    <customShpInfo spid="_x0000_s2055"/>
    <customShpInfo spid="_x0000_s2056"/>
    <customShpInfo spid="_x0000_s2058"/>
    <customShpInfo spid="_x0000_s2059"/>
    <customShpInfo spid="_x0000_s2060"/>
    <customShpInfo spid="_x0000_s2061"/>
    <customShpInfo spid="_x0000_s2063"/>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Exts>
  <extobjs>
    <extobj name="ECB019B1-382A-4266-B25C-5B523AA43C14-1">
      <extobjdata type="ECB019B1-382A-4266-B25C-5B523AA43C14" data="ewoJIkZpbGVJZCIgOiAiMzc0ODU1ODE0NzU5IiwKCSJHcm91cElkIiA6ICI0ODczNDI4NjUiLAoJIkltYWdlIiA6ICJpVkJPUncwS0dnb0FBQUFOU1VoRVVnQUFCallBQUFQeUNBWUFBQURmWWVhaEFBQUFBWE5TUjBJQXJzNGM2UUFBSUFCSlJFRlVlSnpzM1hsOFRGZi9CL0RQdVROWkpjUytKQjZwcFZXMWxtcFJXNVZTcWxVdHJWb2VhNHNLV3FTS2VwRGE5OWhMclBVb1N1MUMrOUFxbXBhaStyTlRrVWhDZ3V3bXljdzl2ejlteVV4bXNwRVk0Zk4rOVZVejk1NTc3cm1UNU15OTUzc1dn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MenUvd0d1WDBrZjA1Unk1QUFBQUFCSlJVNUVya0pnZ2c9PSIsCgkiVGhlbWUiIDogIiIsCgkiVHlwZSIgOiAiZmxvdyIsCgkiVXNlcklkIiA6ICI0MzIyNDY0MjMiLAoJIlZlcnNpb24iIDogIjExNS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daohangxitong.com</Company>
  <Pages>283</Pages>
  <Words>19443</Words>
  <Characters>20844</Characters>
  <Lines>2071</Lines>
  <Paragraphs>583</Paragraphs>
  <TotalTime>105</TotalTime>
  <ScaleCrop>false</ScaleCrop>
  <LinksUpToDate>false</LinksUpToDate>
  <CharactersWithSpaces>20982</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2022-06-20T03:36:00Z</dcterms:created>
  <dc:creator>Administrator</dc:creator>
  <cp:lastModifiedBy>CDF</cp:lastModifiedBy>
  <cp:lastPrinted>2025-03-18T08:06:00Z</cp:lastPrinted>
  <dcterms:modified xsi:type="dcterms:W3CDTF">2025-06-25T06:01:44Z</dcterms:modified>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99D4D915395241AF84DB6831B32A72F4</vt:lpwstr>
  </property>
  <property fmtid="{D5CDD505-2E9C-101B-9397-08002B2CF9AE}" pid="4" name="KSOTemplateDocerSaveRecord">
    <vt:lpwstr>eyJoZGlkIjoiYWRhNjVlNjQ3NmY3ODUzNjNmYTQ5M2YxOWI2ZTE4NTUiLCJ1c2VySWQiOiIyNTc1MDUyNDUifQ==</vt:lpwstr>
  </property>
</Properties>
</file>