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360" w:lineRule="auto"/>
        <w:jc w:val="both"/>
        <w:rPr>
          <w:rFonts w:ascii="黑体" w:hAnsi="黑体" w:eastAsia="黑体"/>
          <w:b/>
          <w:kern w:val="2"/>
          <w:sz w:val="32"/>
          <w:szCs w:val="32"/>
          <w:lang w:eastAsia="zh-CN"/>
        </w:rPr>
      </w:pPr>
      <w:r>
        <w:rPr>
          <w:rFonts w:hint="eastAsia" w:ascii="黑体" w:hAnsi="黑体" w:eastAsia="黑体"/>
          <w:b/>
          <w:kern w:val="2"/>
          <w:sz w:val="32"/>
          <w:szCs w:val="32"/>
          <w:lang w:eastAsia="zh-CN"/>
        </w:rPr>
        <w:t>附件</w:t>
      </w:r>
    </w:p>
    <w:p>
      <w:pPr>
        <w:spacing w:after="0" w:line="360" w:lineRule="auto"/>
        <w:ind w:firstLine="602" w:firstLineChars="200"/>
        <w:rPr>
          <w:rFonts w:ascii="仿宋_GB2312" w:hAnsi="黑体" w:eastAsia="仿宋_GB2312"/>
          <w:b/>
          <w:sz w:val="30"/>
          <w:szCs w:val="30"/>
          <w:lang w:eastAsia="zh-CN"/>
        </w:rPr>
      </w:pPr>
      <w:r>
        <w:rPr>
          <w:rFonts w:ascii="仿宋_GB2312" w:hAnsi="黑体" w:eastAsia="仿宋_GB2312"/>
          <w:b/>
          <w:sz w:val="30"/>
          <w:szCs w:val="30"/>
          <w:lang w:eastAsia="zh-CN"/>
        </w:rPr>
        <w:t>1</w:t>
      </w:r>
      <w:r>
        <w:rPr>
          <w:rFonts w:hint="eastAsia" w:ascii="仿宋_GB2312" w:hAnsi="黑体" w:eastAsia="仿宋_GB2312"/>
          <w:b/>
          <w:sz w:val="30"/>
          <w:szCs w:val="30"/>
          <w:lang w:eastAsia="zh-CN"/>
        </w:rPr>
        <w:t>、环境空气标准浓度限值</w:t>
      </w:r>
    </w:p>
    <w:p>
      <w:pPr>
        <w:spacing w:after="0" w:line="360" w:lineRule="auto"/>
        <w:jc w:val="center"/>
        <w:rPr>
          <w:rFonts w:eastAsia="仿宋_GB2312"/>
          <w:b/>
          <w:kern w:val="2"/>
          <w:sz w:val="24"/>
          <w:szCs w:val="24"/>
          <w:lang w:eastAsia="zh-CN"/>
        </w:rPr>
      </w:pPr>
      <w:r>
        <w:rPr>
          <w:rFonts w:hint="eastAsia" w:eastAsia="仿宋_GB2312"/>
          <w:b/>
          <w:kern w:val="2"/>
          <w:sz w:val="24"/>
          <w:szCs w:val="24"/>
          <w:lang w:eastAsia="zh-CN"/>
        </w:rPr>
        <w:t>《环境空气质量标准》（</w:t>
      </w:r>
      <w:r>
        <w:rPr>
          <w:rFonts w:eastAsia="仿宋_GB2312"/>
          <w:b/>
          <w:kern w:val="2"/>
          <w:sz w:val="24"/>
          <w:szCs w:val="24"/>
          <w:lang w:eastAsia="zh-CN"/>
        </w:rPr>
        <w:t>GB3095-2012</w:t>
      </w:r>
      <w:r>
        <w:rPr>
          <w:rFonts w:hint="eastAsia" w:eastAsia="仿宋_GB2312"/>
          <w:b/>
          <w:kern w:val="2"/>
          <w:sz w:val="24"/>
          <w:szCs w:val="24"/>
          <w:lang w:eastAsia="zh-CN"/>
        </w:rPr>
        <w:t>）</w:t>
      </w:r>
      <w:r>
        <w:rPr>
          <w:rFonts w:eastAsia="仿宋_GB2312"/>
          <w:b/>
          <w:kern w:val="2"/>
          <w:sz w:val="24"/>
          <w:szCs w:val="24"/>
          <w:lang w:eastAsia="zh-CN"/>
        </w:rPr>
        <w:t>6</w:t>
      </w:r>
      <w:r>
        <w:rPr>
          <w:rFonts w:hint="eastAsia" w:eastAsia="仿宋_GB2312"/>
          <w:b/>
          <w:kern w:val="2"/>
          <w:sz w:val="24"/>
          <w:szCs w:val="24"/>
          <w:lang w:eastAsia="zh-CN"/>
        </w:rPr>
        <w:t>项污染物浓度限值</w:t>
      </w:r>
    </w:p>
    <w:p>
      <w:pPr>
        <w:spacing w:after="0" w:line="360" w:lineRule="auto"/>
        <w:jc w:val="center"/>
        <w:rPr>
          <w:b/>
          <w:sz w:val="24"/>
          <w:szCs w:val="24"/>
          <w:lang w:eastAsia="zh-CN"/>
        </w:rPr>
      </w:pPr>
      <w:r>
        <w:rPr>
          <w:rFonts w:hint="eastAsia" w:eastAsia="仿宋_GB2312"/>
          <w:b/>
          <w:kern w:val="2"/>
          <w:sz w:val="24"/>
          <w:szCs w:val="24"/>
          <w:lang w:eastAsia="zh-CN"/>
        </w:rPr>
        <w:t>（单位：</w:t>
      </w:r>
      <w:r>
        <w:rPr>
          <w:rFonts w:eastAsia="仿宋_GB2312"/>
          <w:b/>
          <w:kern w:val="2"/>
          <w:sz w:val="24"/>
          <w:szCs w:val="24"/>
          <w:lang w:eastAsia="zh-CN"/>
        </w:rPr>
        <w:t>CO</w:t>
      </w:r>
      <w:r>
        <w:rPr>
          <w:rFonts w:hint="eastAsia" w:eastAsia="仿宋_GB2312"/>
          <w:b/>
          <w:kern w:val="2"/>
          <w:sz w:val="24"/>
          <w:szCs w:val="24"/>
          <w:lang w:eastAsia="zh-CN"/>
        </w:rPr>
        <w:t>为</w:t>
      </w:r>
      <w:r>
        <w:rPr>
          <w:rFonts w:eastAsia="仿宋_GB2312"/>
          <w:b/>
          <w:kern w:val="2"/>
          <w:sz w:val="24"/>
          <w:szCs w:val="24"/>
          <w:lang w:eastAsia="zh-CN"/>
        </w:rPr>
        <w:t>mg/m³</w:t>
      </w:r>
      <w:r>
        <w:rPr>
          <w:rFonts w:hint="eastAsia" w:eastAsia="仿宋_GB2312"/>
          <w:b/>
          <w:kern w:val="2"/>
          <w:sz w:val="24"/>
          <w:szCs w:val="24"/>
          <w:lang w:eastAsia="zh-CN"/>
        </w:rPr>
        <w:t>，其它污染物为</w:t>
      </w:r>
      <w:r>
        <w:rPr>
          <w:rFonts w:eastAsia="仿宋_GB2312"/>
          <w:b/>
          <w:kern w:val="2"/>
          <w:sz w:val="24"/>
          <w:szCs w:val="24"/>
          <w:lang w:eastAsia="zh-CN"/>
        </w:rPr>
        <w:t>μg/m³</w:t>
      </w:r>
      <w:r>
        <w:rPr>
          <w:rFonts w:hint="eastAsia" w:eastAsia="仿宋_GB2312"/>
          <w:b/>
          <w:kern w:val="2"/>
          <w:sz w:val="24"/>
          <w:szCs w:val="24"/>
          <w:lang w:eastAsia="zh-CN"/>
        </w:rPr>
        <w:t>）</w:t>
      </w:r>
    </w:p>
    <w:tbl>
      <w:tblPr>
        <w:tblStyle w:val="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0"/>
        <w:gridCol w:w="2385"/>
        <w:gridCol w:w="2367"/>
        <w:gridCol w:w="236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430" w:type="dxa"/>
            <w:vMerge w:val="restart"/>
            <w:tcBorders>
              <w:top w:val="single" w:color="auto" w:sz="12" w:space="0"/>
            </w:tcBorders>
            <w:vAlign w:val="center"/>
          </w:tcPr>
          <w:p>
            <w:pPr>
              <w:spacing w:after="0" w:line="240" w:lineRule="auto"/>
              <w:jc w:val="center"/>
              <w:rPr>
                <w:rFonts w:eastAsia="仿宋_GB2312"/>
                <w:kern w:val="2"/>
                <w:sz w:val="24"/>
                <w:szCs w:val="24"/>
                <w:lang w:eastAsia="zh-CN"/>
              </w:rPr>
            </w:pPr>
            <w:r>
              <w:rPr>
                <w:rFonts w:hint="eastAsia" w:eastAsia="仿宋_GB2312"/>
                <w:kern w:val="2"/>
                <w:sz w:val="24"/>
                <w:szCs w:val="24"/>
                <w:lang w:eastAsia="zh-CN"/>
              </w:rPr>
              <w:t>污染物名称</w:t>
            </w:r>
          </w:p>
        </w:tc>
        <w:tc>
          <w:tcPr>
            <w:tcW w:w="2385" w:type="dxa"/>
            <w:vMerge w:val="restart"/>
            <w:tcBorders>
              <w:top w:val="single" w:color="auto" w:sz="12" w:space="0"/>
            </w:tcBorders>
            <w:vAlign w:val="center"/>
          </w:tcPr>
          <w:p>
            <w:pPr>
              <w:spacing w:after="0" w:line="240" w:lineRule="auto"/>
              <w:jc w:val="center"/>
              <w:rPr>
                <w:rFonts w:eastAsia="仿宋_GB2312"/>
                <w:kern w:val="2"/>
                <w:sz w:val="24"/>
                <w:szCs w:val="24"/>
                <w:lang w:eastAsia="zh-CN"/>
              </w:rPr>
            </w:pPr>
            <w:r>
              <w:rPr>
                <w:rFonts w:hint="eastAsia" w:eastAsia="仿宋_GB2312"/>
                <w:kern w:val="2"/>
                <w:sz w:val="24"/>
                <w:szCs w:val="24"/>
                <w:lang w:eastAsia="zh-CN"/>
              </w:rPr>
              <w:t>取值时间</w:t>
            </w:r>
          </w:p>
        </w:tc>
        <w:tc>
          <w:tcPr>
            <w:tcW w:w="4735" w:type="dxa"/>
            <w:gridSpan w:val="2"/>
            <w:tcBorders>
              <w:top w:val="single" w:color="auto" w:sz="12" w:space="0"/>
              <w:bottom w:val="nil"/>
            </w:tcBorders>
            <w:vAlign w:val="center"/>
          </w:tcPr>
          <w:p>
            <w:pPr>
              <w:spacing w:after="0" w:line="240" w:lineRule="auto"/>
              <w:jc w:val="center"/>
              <w:rPr>
                <w:rFonts w:eastAsia="仿宋_GB2312"/>
                <w:kern w:val="2"/>
                <w:sz w:val="24"/>
                <w:szCs w:val="24"/>
                <w:lang w:eastAsia="zh-CN"/>
              </w:rPr>
            </w:pPr>
            <w:r>
              <w:rPr>
                <w:rFonts w:hint="eastAsia" w:eastAsia="仿宋_GB2312"/>
                <w:kern w:val="2"/>
                <w:sz w:val="24"/>
                <w:szCs w:val="24"/>
                <w:lang w:eastAsia="zh-CN"/>
              </w:rPr>
              <w:t>浓度限值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430" w:type="dxa"/>
            <w:vMerge w:val="continue"/>
            <w:tcBorders>
              <w:bottom w:val="single" w:color="auto" w:sz="4" w:space="0"/>
            </w:tcBorders>
            <w:vAlign w:val="center"/>
          </w:tcPr>
          <w:p>
            <w:pPr>
              <w:spacing w:after="0" w:line="240" w:lineRule="auto"/>
              <w:jc w:val="center"/>
              <w:rPr>
                <w:rFonts w:eastAsia="仿宋_GB2312"/>
                <w:kern w:val="2"/>
                <w:sz w:val="24"/>
                <w:szCs w:val="24"/>
                <w:lang w:eastAsia="zh-CN"/>
              </w:rPr>
            </w:pPr>
          </w:p>
        </w:tc>
        <w:tc>
          <w:tcPr>
            <w:tcW w:w="2385" w:type="dxa"/>
            <w:vMerge w:val="continue"/>
            <w:tcBorders>
              <w:bottom w:val="single" w:color="auto" w:sz="4" w:space="0"/>
            </w:tcBorders>
            <w:vAlign w:val="center"/>
          </w:tcPr>
          <w:p>
            <w:pPr>
              <w:spacing w:after="0" w:line="240" w:lineRule="auto"/>
              <w:jc w:val="center"/>
              <w:rPr>
                <w:rFonts w:eastAsia="仿宋_GB2312"/>
                <w:kern w:val="2"/>
                <w:sz w:val="24"/>
                <w:szCs w:val="24"/>
                <w:lang w:eastAsia="zh-CN"/>
              </w:rPr>
            </w:pPr>
          </w:p>
        </w:tc>
        <w:tc>
          <w:tcPr>
            <w:tcW w:w="2367" w:type="dxa"/>
            <w:tcBorders>
              <w:top w:val="nil"/>
              <w:bottom w:val="single" w:color="auto" w:sz="4" w:space="0"/>
            </w:tcBorders>
            <w:vAlign w:val="center"/>
          </w:tcPr>
          <w:p>
            <w:pPr>
              <w:spacing w:after="0" w:line="240" w:lineRule="auto"/>
              <w:jc w:val="center"/>
              <w:rPr>
                <w:rFonts w:eastAsia="仿宋_GB2312"/>
                <w:kern w:val="2"/>
                <w:sz w:val="24"/>
                <w:szCs w:val="24"/>
                <w:lang w:eastAsia="zh-CN"/>
              </w:rPr>
            </w:pPr>
            <w:r>
              <w:rPr>
                <w:rFonts w:hint="eastAsia" w:eastAsia="仿宋_GB2312"/>
                <w:kern w:val="2"/>
                <w:sz w:val="24"/>
                <w:szCs w:val="24"/>
                <w:lang w:eastAsia="zh-CN"/>
              </w:rPr>
              <w:t>一级标准</w:t>
            </w:r>
          </w:p>
        </w:tc>
        <w:tc>
          <w:tcPr>
            <w:tcW w:w="2367" w:type="dxa"/>
            <w:tcBorders>
              <w:top w:val="nil"/>
              <w:bottom w:val="single" w:color="auto" w:sz="4" w:space="0"/>
            </w:tcBorders>
            <w:vAlign w:val="center"/>
          </w:tcPr>
          <w:p>
            <w:pPr>
              <w:spacing w:after="0" w:line="240" w:lineRule="auto"/>
              <w:jc w:val="center"/>
              <w:rPr>
                <w:rFonts w:eastAsia="仿宋_GB2312"/>
                <w:kern w:val="2"/>
                <w:sz w:val="24"/>
                <w:szCs w:val="24"/>
                <w:lang w:eastAsia="zh-CN"/>
              </w:rPr>
            </w:pPr>
            <w:r>
              <w:rPr>
                <w:rFonts w:hint="eastAsia" w:eastAsia="仿宋_GB2312"/>
                <w:kern w:val="2"/>
                <w:sz w:val="24"/>
                <w:szCs w:val="24"/>
                <w:lang w:eastAsia="zh-CN"/>
              </w:rPr>
              <w:t>二级标准</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430" w:type="dxa"/>
            <w:vMerge w:val="restart"/>
            <w:tcBorders>
              <w:top w:val="single" w:color="auto" w:sz="4" w:space="0"/>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PM</w:t>
            </w:r>
            <w:r>
              <w:rPr>
                <w:rFonts w:eastAsia="仿宋_GB2312"/>
                <w:kern w:val="2"/>
                <w:sz w:val="24"/>
                <w:szCs w:val="24"/>
                <w:vertAlign w:val="subscript"/>
                <w:lang w:eastAsia="zh-CN"/>
              </w:rPr>
              <w:t>10</w:t>
            </w:r>
          </w:p>
        </w:tc>
        <w:tc>
          <w:tcPr>
            <w:tcW w:w="2385" w:type="dxa"/>
            <w:tcBorders>
              <w:top w:val="single" w:color="auto" w:sz="4" w:space="0"/>
              <w:bottom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24</w:t>
            </w:r>
            <w:r>
              <w:rPr>
                <w:rFonts w:hint="eastAsia" w:eastAsia="仿宋_GB2312"/>
                <w:kern w:val="2"/>
                <w:sz w:val="24"/>
                <w:szCs w:val="24"/>
                <w:lang w:eastAsia="zh-CN"/>
              </w:rPr>
              <w:t>小时平均</w:t>
            </w:r>
          </w:p>
        </w:tc>
        <w:tc>
          <w:tcPr>
            <w:tcW w:w="2367" w:type="dxa"/>
            <w:tcBorders>
              <w:top w:val="single" w:color="auto" w:sz="4" w:space="0"/>
              <w:bottom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50</w:t>
            </w:r>
          </w:p>
        </w:tc>
        <w:tc>
          <w:tcPr>
            <w:tcW w:w="2367" w:type="dxa"/>
            <w:tcBorders>
              <w:top w:val="single" w:color="auto" w:sz="4" w:space="0"/>
              <w:bottom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150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430" w:type="dxa"/>
            <w:vMerge w:val="continue"/>
            <w:tcBorders>
              <w:bottom w:val="nil"/>
            </w:tcBorders>
            <w:vAlign w:val="center"/>
          </w:tcPr>
          <w:p>
            <w:pPr>
              <w:spacing w:after="0" w:line="240" w:lineRule="auto"/>
              <w:jc w:val="center"/>
              <w:rPr>
                <w:rFonts w:eastAsia="仿宋_GB2312"/>
                <w:kern w:val="2"/>
                <w:sz w:val="24"/>
                <w:szCs w:val="24"/>
                <w:lang w:eastAsia="zh-CN"/>
              </w:rPr>
            </w:pPr>
          </w:p>
        </w:tc>
        <w:tc>
          <w:tcPr>
            <w:tcW w:w="2385" w:type="dxa"/>
            <w:tcBorders>
              <w:top w:val="nil"/>
              <w:bottom w:val="nil"/>
            </w:tcBorders>
            <w:vAlign w:val="center"/>
          </w:tcPr>
          <w:p>
            <w:pPr>
              <w:spacing w:after="0" w:line="240" w:lineRule="auto"/>
              <w:jc w:val="center"/>
              <w:rPr>
                <w:rFonts w:eastAsia="仿宋_GB2312"/>
                <w:kern w:val="2"/>
                <w:sz w:val="24"/>
                <w:szCs w:val="24"/>
                <w:lang w:eastAsia="zh-CN"/>
              </w:rPr>
            </w:pPr>
            <w:r>
              <w:rPr>
                <w:rFonts w:hint="eastAsia" w:eastAsia="仿宋_GB2312"/>
                <w:kern w:val="2"/>
                <w:sz w:val="24"/>
                <w:szCs w:val="24"/>
                <w:lang w:eastAsia="zh-CN"/>
              </w:rPr>
              <w:t>年平均</w:t>
            </w:r>
          </w:p>
        </w:tc>
        <w:tc>
          <w:tcPr>
            <w:tcW w:w="2367" w:type="dxa"/>
            <w:tcBorders>
              <w:top w:val="nil"/>
              <w:bottom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40</w:t>
            </w:r>
          </w:p>
        </w:tc>
        <w:tc>
          <w:tcPr>
            <w:tcW w:w="2367" w:type="dxa"/>
            <w:tcBorders>
              <w:top w:val="nil"/>
              <w:bottom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70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430" w:type="dxa"/>
            <w:vMerge w:val="restart"/>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SO</w:t>
            </w:r>
            <w:r>
              <w:rPr>
                <w:rFonts w:eastAsia="仿宋_GB2312"/>
                <w:kern w:val="2"/>
                <w:sz w:val="24"/>
                <w:szCs w:val="24"/>
                <w:vertAlign w:val="subscript"/>
                <w:lang w:eastAsia="zh-CN"/>
              </w:rPr>
              <w:t>2</w:t>
            </w:r>
          </w:p>
        </w:tc>
        <w:tc>
          <w:tcPr>
            <w:tcW w:w="2385"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24</w:t>
            </w:r>
            <w:r>
              <w:rPr>
                <w:rFonts w:hint="eastAsia" w:eastAsia="仿宋_GB2312"/>
                <w:kern w:val="2"/>
                <w:sz w:val="24"/>
                <w:szCs w:val="24"/>
                <w:lang w:eastAsia="zh-CN"/>
              </w:rPr>
              <w:t>小时平均</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50</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150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430" w:type="dxa"/>
            <w:vMerge w:val="continue"/>
            <w:vAlign w:val="center"/>
          </w:tcPr>
          <w:p>
            <w:pPr>
              <w:spacing w:after="0" w:line="240" w:lineRule="auto"/>
              <w:jc w:val="center"/>
              <w:rPr>
                <w:rFonts w:eastAsia="仿宋_GB2312"/>
                <w:kern w:val="2"/>
                <w:sz w:val="24"/>
                <w:szCs w:val="24"/>
                <w:lang w:eastAsia="zh-CN"/>
              </w:rPr>
            </w:pPr>
          </w:p>
        </w:tc>
        <w:tc>
          <w:tcPr>
            <w:tcW w:w="2385" w:type="dxa"/>
            <w:tcBorders>
              <w:top w:val="nil"/>
            </w:tcBorders>
            <w:vAlign w:val="center"/>
          </w:tcPr>
          <w:p>
            <w:pPr>
              <w:spacing w:after="0" w:line="240" w:lineRule="auto"/>
              <w:jc w:val="center"/>
              <w:rPr>
                <w:rFonts w:eastAsia="仿宋_GB2312"/>
                <w:kern w:val="2"/>
                <w:sz w:val="24"/>
                <w:szCs w:val="24"/>
                <w:lang w:eastAsia="zh-CN"/>
              </w:rPr>
            </w:pPr>
            <w:r>
              <w:rPr>
                <w:rFonts w:hint="eastAsia" w:eastAsia="仿宋_GB2312"/>
                <w:kern w:val="2"/>
                <w:sz w:val="24"/>
                <w:szCs w:val="24"/>
                <w:lang w:eastAsia="zh-CN"/>
              </w:rPr>
              <w:t>年平均</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20</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60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430" w:type="dxa"/>
            <w:vMerge w:val="restart"/>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NO</w:t>
            </w:r>
            <w:r>
              <w:rPr>
                <w:rFonts w:eastAsia="仿宋_GB2312"/>
                <w:kern w:val="2"/>
                <w:sz w:val="24"/>
                <w:szCs w:val="24"/>
                <w:vertAlign w:val="subscript"/>
                <w:lang w:eastAsia="zh-CN"/>
              </w:rPr>
              <w:t>2</w:t>
            </w:r>
          </w:p>
        </w:tc>
        <w:tc>
          <w:tcPr>
            <w:tcW w:w="2385"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24</w:t>
            </w:r>
            <w:r>
              <w:rPr>
                <w:rFonts w:hint="eastAsia" w:eastAsia="仿宋_GB2312"/>
                <w:kern w:val="2"/>
                <w:sz w:val="24"/>
                <w:szCs w:val="24"/>
                <w:lang w:eastAsia="zh-CN"/>
              </w:rPr>
              <w:t>小时平均</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80</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80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430" w:type="dxa"/>
            <w:vMerge w:val="continue"/>
            <w:vAlign w:val="center"/>
          </w:tcPr>
          <w:p>
            <w:pPr>
              <w:spacing w:after="0" w:line="240" w:lineRule="auto"/>
              <w:jc w:val="center"/>
              <w:rPr>
                <w:rFonts w:eastAsia="仿宋_GB2312"/>
                <w:kern w:val="2"/>
                <w:sz w:val="24"/>
                <w:szCs w:val="24"/>
                <w:lang w:eastAsia="zh-CN"/>
              </w:rPr>
            </w:pPr>
          </w:p>
        </w:tc>
        <w:tc>
          <w:tcPr>
            <w:tcW w:w="2385" w:type="dxa"/>
            <w:tcBorders>
              <w:top w:val="nil"/>
            </w:tcBorders>
            <w:vAlign w:val="center"/>
          </w:tcPr>
          <w:p>
            <w:pPr>
              <w:spacing w:after="0" w:line="240" w:lineRule="auto"/>
              <w:jc w:val="center"/>
              <w:rPr>
                <w:rFonts w:eastAsia="仿宋_GB2312"/>
                <w:kern w:val="2"/>
                <w:sz w:val="24"/>
                <w:szCs w:val="24"/>
                <w:lang w:eastAsia="zh-CN"/>
              </w:rPr>
            </w:pPr>
            <w:r>
              <w:rPr>
                <w:rFonts w:hint="eastAsia" w:eastAsia="仿宋_GB2312"/>
                <w:kern w:val="2"/>
                <w:sz w:val="24"/>
                <w:szCs w:val="24"/>
                <w:lang w:eastAsia="zh-CN"/>
              </w:rPr>
              <w:t>年平均</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40</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40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430" w:type="dxa"/>
            <w:vMerge w:val="restart"/>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PM</w:t>
            </w:r>
            <w:r>
              <w:rPr>
                <w:rFonts w:eastAsia="仿宋_GB2312"/>
                <w:kern w:val="2"/>
                <w:sz w:val="24"/>
                <w:szCs w:val="24"/>
                <w:vertAlign w:val="subscript"/>
                <w:lang w:eastAsia="zh-CN"/>
              </w:rPr>
              <w:t>2.5</w:t>
            </w:r>
          </w:p>
        </w:tc>
        <w:tc>
          <w:tcPr>
            <w:tcW w:w="2385"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24</w:t>
            </w:r>
            <w:r>
              <w:rPr>
                <w:rFonts w:hint="eastAsia" w:eastAsia="仿宋_GB2312"/>
                <w:kern w:val="2"/>
                <w:sz w:val="24"/>
                <w:szCs w:val="24"/>
                <w:lang w:eastAsia="zh-CN"/>
              </w:rPr>
              <w:t>小时平均</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35</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75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430" w:type="dxa"/>
            <w:vMerge w:val="continue"/>
            <w:vAlign w:val="center"/>
          </w:tcPr>
          <w:p>
            <w:pPr>
              <w:spacing w:after="0" w:line="240" w:lineRule="auto"/>
              <w:jc w:val="center"/>
              <w:rPr>
                <w:rFonts w:eastAsia="仿宋_GB2312"/>
                <w:kern w:val="2"/>
                <w:sz w:val="24"/>
                <w:szCs w:val="24"/>
                <w:lang w:eastAsia="zh-CN"/>
              </w:rPr>
            </w:pPr>
          </w:p>
        </w:tc>
        <w:tc>
          <w:tcPr>
            <w:tcW w:w="2385" w:type="dxa"/>
            <w:tcBorders>
              <w:top w:val="nil"/>
            </w:tcBorders>
            <w:vAlign w:val="center"/>
          </w:tcPr>
          <w:p>
            <w:pPr>
              <w:spacing w:after="0" w:line="240" w:lineRule="auto"/>
              <w:jc w:val="center"/>
              <w:rPr>
                <w:rFonts w:eastAsia="仿宋_GB2312"/>
                <w:kern w:val="2"/>
                <w:sz w:val="24"/>
                <w:szCs w:val="24"/>
                <w:lang w:eastAsia="zh-CN"/>
              </w:rPr>
            </w:pPr>
            <w:r>
              <w:rPr>
                <w:rFonts w:hint="eastAsia" w:eastAsia="仿宋_GB2312"/>
                <w:kern w:val="2"/>
                <w:sz w:val="24"/>
                <w:szCs w:val="24"/>
                <w:lang w:eastAsia="zh-CN"/>
              </w:rPr>
              <w:t>年平均</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15</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35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430"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CO</w:t>
            </w:r>
          </w:p>
        </w:tc>
        <w:tc>
          <w:tcPr>
            <w:tcW w:w="2385"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24</w:t>
            </w:r>
            <w:r>
              <w:rPr>
                <w:rFonts w:hint="eastAsia" w:eastAsia="仿宋_GB2312"/>
                <w:kern w:val="2"/>
                <w:sz w:val="24"/>
                <w:szCs w:val="24"/>
                <w:lang w:eastAsia="zh-CN"/>
              </w:rPr>
              <w:t>小时平均</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4</w:t>
            </w:r>
          </w:p>
        </w:tc>
        <w:tc>
          <w:tcPr>
            <w:tcW w:w="2367" w:type="dxa"/>
            <w:tcBorders>
              <w:top w:val="nil"/>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430" w:type="dxa"/>
            <w:tcBorders>
              <w:top w:val="nil"/>
              <w:bottom w:val="single" w:color="auto" w:sz="12" w:space="0"/>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O</w:t>
            </w:r>
            <w:r>
              <w:rPr>
                <w:rFonts w:eastAsia="仿宋_GB2312"/>
                <w:kern w:val="2"/>
                <w:sz w:val="24"/>
                <w:szCs w:val="24"/>
                <w:vertAlign w:val="subscript"/>
                <w:lang w:eastAsia="zh-CN"/>
              </w:rPr>
              <w:t>3</w:t>
            </w:r>
          </w:p>
        </w:tc>
        <w:tc>
          <w:tcPr>
            <w:tcW w:w="2385" w:type="dxa"/>
            <w:tcBorders>
              <w:top w:val="nil"/>
              <w:bottom w:val="single" w:color="auto" w:sz="12" w:space="0"/>
            </w:tcBorders>
            <w:vAlign w:val="center"/>
          </w:tcPr>
          <w:p>
            <w:pPr>
              <w:spacing w:after="0" w:line="240" w:lineRule="auto"/>
              <w:jc w:val="center"/>
              <w:rPr>
                <w:rFonts w:eastAsia="仿宋_GB2312"/>
                <w:kern w:val="2"/>
                <w:sz w:val="24"/>
                <w:szCs w:val="24"/>
                <w:lang w:eastAsia="zh-CN"/>
              </w:rPr>
            </w:pPr>
            <w:r>
              <w:rPr>
                <w:rFonts w:hint="eastAsia" w:eastAsia="仿宋_GB2312"/>
                <w:kern w:val="2"/>
                <w:sz w:val="24"/>
                <w:szCs w:val="24"/>
                <w:lang w:eastAsia="zh-CN"/>
              </w:rPr>
              <w:t>日最大</w:t>
            </w:r>
            <w:r>
              <w:rPr>
                <w:rFonts w:eastAsia="仿宋_GB2312"/>
                <w:kern w:val="2"/>
                <w:sz w:val="24"/>
                <w:szCs w:val="24"/>
                <w:lang w:eastAsia="zh-CN"/>
              </w:rPr>
              <w:t>8</w:t>
            </w:r>
            <w:r>
              <w:rPr>
                <w:rFonts w:hint="eastAsia" w:eastAsia="仿宋_GB2312"/>
                <w:kern w:val="2"/>
                <w:sz w:val="24"/>
                <w:szCs w:val="24"/>
                <w:lang w:eastAsia="zh-CN"/>
              </w:rPr>
              <w:t>小时平均</w:t>
            </w:r>
          </w:p>
        </w:tc>
        <w:tc>
          <w:tcPr>
            <w:tcW w:w="2367" w:type="dxa"/>
            <w:tcBorders>
              <w:top w:val="nil"/>
              <w:bottom w:val="single" w:color="auto" w:sz="12" w:space="0"/>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100</w:t>
            </w:r>
          </w:p>
        </w:tc>
        <w:tc>
          <w:tcPr>
            <w:tcW w:w="2367" w:type="dxa"/>
            <w:tcBorders>
              <w:top w:val="nil"/>
              <w:bottom w:val="single" w:color="auto" w:sz="12" w:space="0"/>
            </w:tcBorders>
            <w:vAlign w:val="center"/>
          </w:tcPr>
          <w:p>
            <w:pPr>
              <w:spacing w:after="0" w:line="240" w:lineRule="auto"/>
              <w:jc w:val="center"/>
              <w:rPr>
                <w:rFonts w:eastAsia="仿宋_GB2312"/>
                <w:kern w:val="2"/>
                <w:sz w:val="24"/>
                <w:szCs w:val="24"/>
                <w:lang w:eastAsia="zh-CN"/>
              </w:rPr>
            </w:pPr>
            <w:r>
              <w:rPr>
                <w:rFonts w:eastAsia="仿宋_GB2312"/>
                <w:kern w:val="2"/>
                <w:sz w:val="24"/>
                <w:szCs w:val="24"/>
                <w:lang w:eastAsia="zh-CN"/>
              </w:rPr>
              <w:t>160</w:t>
            </w:r>
          </w:p>
        </w:tc>
      </w:tr>
    </w:tbl>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firstLine="602" w:firstLineChars="200"/>
        <w:textAlignment w:val="auto"/>
        <w:rPr>
          <w:rFonts w:ascii="仿宋_GB2312" w:hAnsi="黑体" w:eastAsia="仿宋_GB2312"/>
          <w:b/>
          <w:sz w:val="30"/>
          <w:szCs w:val="30"/>
          <w:lang w:eastAsia="zh-CN"/>
        </w:rPr>
      </w:pPr>
      <w:r>
        <w:rPr>
          <w:rFonts w:hint="eastAsia" w:ascii="仿宋_GB2312" w:hAnsi="黑体" w:eastAsia="仿宋_GB2312"/>
          <w:b/>
          <w:sz w:val="30"/>
          <w:szCs w:val="30"/>
          <w:lang w:eastAsia="zh-CN"/>
        </w:rPr>
        <w:t>环境空气</w:t>
      </w:r>
      <w:bookmarkStart w:id="0" w:name="_GoBack"/>
      <w:r>
        <w:rPr>
          <w:rFonts w:hint="eastAsia" w:ascii="仿宋_GB2312" w:hAnsi="黑体" w:eastAsia="仿宋_GB2312"/>
          <w:b/>
          <w:sz w:val="30"/>
          <w:szCs w:val="30"/>
          <w:lang w:eastAsia="zh-CN"/>
        </w:rPr>
        <w:t>质量综合指数</w:t>
      </w:r>
      <w:bookmarkEnd w:id="0"/>
    </w:p>
    <w:p>
      <w:pPr>
        <w:spacing w:after="0" w:line="360" w:lineRule="auto"/>
        <w:ind w:firstLine="560" w:firstLineChars="200"/>
        <w:jc w:val="both"/>
        <w:rPr>
          <w:rFonts w:eastAsia="仿宋_GB2312"/>
          <w:b/>
          <w:snapToGrid w:val="0"/>
          <w:kern w:val="20"/>
          <w:sz w:val="32"/>
          <w:szCs w:val="32"/>
          <w:lang w:eastAsia="zh-CN"/>
        </w:rPr>
      </w:pPr>
      <w:r>
        <w:rPr>
          <w:rFonts w:hint="eastAsia" w:eastAsia="仿宋_GB2312"/>
          <w:kern w:val="2"/>
          <w:sz w:val="28"/>
          <w:szCs w:val="28"/>
          <w:lang w:eastAsia="zh-CN"/>
        </w:rPr>
        <w:t>环境空气质量综合指数是描述城市环境空气质量综合状况的无量纲指数，它综合考虑了</w:t>
      </w:r>
      <w:r>
        <w:rPr>
          <w:rFonts w:eastAsia="仿宋_GB2312"/>
          <w:kern w:val="2"/>
          <w:sz w:val="28"/>
          <w:szCs w:val="28"/>
          <w:lang w:eastAsia="zh-CN"/>
        </w:rPr>
        <w:t>SO</w:t>
      </w:r>
      <w:r>
        <w:rPr>
          <w:rFonts w:eastAsia="仿宋_GB2312"/>
          <w:kern w:val="2"/>
          <w:sz w:val="28"/>
          <w:szCs w:val="28"/>
          <w:vertAlign w:val="subscript"/>
          <w:lang w:eastAsia="zh-CN"/>
        </w:rPr>
        <w:t>2</w:t>
      </w:r>
      <w:r>
        <w:rPr>
          <w:rFonts w:hint="eastAsia" w:eastAsia="仿宋_GB2312"/>
          <w:kern w:val="2"/>
          <w:sz w:val="28"/>
          <w:szCs w:val="28"/>
          <w:lang w:eastAsia="zh-CN"/>
        </w:rPr>
        <w:t>、</w:t>
      </w:r>
      <w:r>
        <w:rPr>
          <w:rFonts w:eastAsia="仿宋_GB2312"/>
          <w:kern w:val="2"/>
          <w:sz w:val="28"/>
          <w:szCs w:val="28"/>
          <w:lang w:eastAsia="zh-CN"/>
        </w:rPr>
        <w:t>NO</w:t>
      </w:r>
      <w:r>
        <w:rPr>
          <w:rFonts w:eastAsia="仿宋_GB2312"/>
          <w:kern w:val="2"/>
          <w:sz w:val="28"/>
          <w:szCs w:val="28"/>
          <w:vertAlign w:val="subscript"/>
          <w:lang w:eastAsia="zh-CN"/>
        </w:rPr>
        <w:t>2</w:t>
      </w:r>
      <w:r>
        <w:rPr>
          <w:rFonts w:hint="eastAsia" w:eastAsia="仿宋_GB2312"/>
          <w:kern w:val="2"/>
          <w:sz w:val="28"/>
          <w:szCs w:val="28"/>
          <w:lang w:eastAsia="zh-CN"/>
        </w:rPr>
        <w:t>、</w:t>
      </w:r>
      <w:r>
        <w:rPr>
          <w:rFonts w:eastAsia="仿宋_GB2312"/>
          <w:kern w:val="2"/>
          <w:sz w:val="28"/>
          <w:szCs w:val="28"/>
          <w:lang w:eastAsia="zh-CN"/>
        </w:rPr>
        <w:t>PM</w:t>
      </w:r>
      <w:r>
        <w:rPr>
          <w:rFonts w:eastAsia="仿宋_GB2312"/>
          <w:kern w:val="2"/>
          <w:sz w:val="28"/>
          <w:szCs w:val="28"/>
          <w:vertAlign w:val="subscript"/>
          <w:lang w:eastAsia="zh-CN"/>
        </w:rPr>
        <w:t>10</w:t>
      </w:r>
      <w:r>
        <w:rPr>
          <w:rFonts w:hint="eastAsia" w:eastAsia="仿宋_GB2312"/>
          <w:kern w:val="2"/>
          <w:sz w:val="28"/>
          <w:szCs w:val="28"/>
          <w:lang w:eastAsia="zh-CN"/>
        </w:rPr>
        <w:t>、</w:t>
      </w:r>
      <w:r>
        <w:rPr>
          <w:rFonts w:eastAsia="仿宋_GB2312"/>
          <w:kern w:val="2"/>
          <w:sz w:val="28"/>
          <w:szCs w:val="28"/>
          <w:lang w:eastAsia="zh-CN"/>
        </w:rPr>
        <w:t>PM</w:t>
      </w:r>
      <w:r>
        <w:rPr>
          <w:rFonts w:eastAsia="仿宋_GB2312"/>
          <w:kern w:val="2"/>
          <w:sz w:val="28"/>
          <w:szCs w:val="28"/>
          <w:vertAlign w:val="subscript"/>
          <w:lang w:eastAsia="zh-CN"/>
        </w:rPr>
        <w:t>2.5</w:t>
      </w:r>
      <w:r>
        <w:rPr>
          <w:rFonts w:hint="eastAsia" w:eastAsia="仿宋_GB2312"/>
          <w:kern w:val="2"/>
          <w:sz w:val="28"/>
          <w:szCs w:val="28"/>
          <w:lang w:eastAsia="zh-CN"/>
        </w:rPr>
        <w:t>、</w:t>
      </w:r>
      <w:r>
        <w:rPr>
          <w:rFonts w:eastAsia="仿宋_GB2312"/>
          <w:kern w:val="2"/>
          <w:sz w:val="28"/>
          <w:szCs w:val="28"/>
          <w:lang w:eastAsia="zh-CN"/>
        </w:rPr>
        <w:t>CO</w:t>
      </w:r>
      <w:r>
        <w:rPr>
          <w:rFonts w:hint="eastAsia" w:eastAsia="仿宋_GB2312"/>
          <w:kern w:val="2"/>
          <w:sz w:val="28"/>
          <w:szCs w:val="28"/>
          <w:lang w:eastAsia="zh-CN"/>
        </w:rPr>
        <w:t>、</w:t>
      </w:r>
      <w:r>
        <w:rPr>
          <w:rFonts w:eastAsia="仿宋_GB2312"/>
          <w:kern w:val="2"/>
          <w:sz w:val="28"/>
          <w:szCs w:val="28"/>
          <w:lang w:eastAsia="zh-CN"/>
        </w:rPr>
        <w:t>O</w:t>
      </w:r>
      <w:r>
        <w:rPr>
          <w:rFonts w:eastAsia="仿宋_GB2312"/>
          <w:kern w:val="2"/>
          <w:sz w:val="28"/>
          <w:szCs w:val="28"/>
          <w:vertAlign w:val="subscript"/>
          <w:lang w:eastAsia="zh-CN"/>
        </w:rPr>
        <w:t>3</w:t>
      </w:r>
      <w:r>
        <w:rPr>
          <w:rFonts w:eastAsia="仿宋_GB2312"/>
          <w:kern w:val="2"/>
          <w:sz w:val="28"/>
          <w:szCs w:val="28"/>
          <w:lang w:eastAsia="zh-CN"/>
        </w:rPr>
        <w:t xml:space="preserve"> </w:t>
      </w:r>
      <w:r>
        <w:rPr>
          <w:rFonts w:hint="eastAsia" w:eastAsia="仿宋_GB2312"/>
          <w:kern w:val="2"/>
          <w:sz w:val="28"/>
          <w:szCs w:val="28"/>
          <w:lang w:eastAsia="zh-CN"/>
        </w:rPr>
        <w:t>等六项污染物的污染程度，环境空气质量综合指数数值越大表明综合污染程度越重，其计算过程为：首先计算每项污染物的单项指数，然后将六项污染物的单项指数相加，即得到环境空气质量综合指数。</w:t>
      </w:r>
    </w:p>
    <w:p>
      <w:pPr>
        <w:rPr>
          <w:rFonts w:eastAsia="仿宋_GB2312"/>
          <w:szCs w:val="21"/>
          <w:lang w:eastAsia="zh-CN"/>
        </w:rPr>
      </w:pPr>
    </w:p>
    <w:sectPr>
      <w:headerReference r:id="rId5" w:type="default"/>
      <w:type w:val="continuous"/>
      <w:pgSz w:w="11920" w:h="16840"/>
      <w:pgMar w:top="850" w:right="1134" w:bottom="850" w:left="1134" w:header="851" w:footer="992" w:gutter="0"/>
      <w:cols w:space="720" w:num="1"/>
      <w:docGrid w:type="lines"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95905"/>
    <w:multiLevelType w:val="singleLevel"/>
    <w:tmpl w:val="53195905"/>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61"/>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ZDgwN2M0OWRiNzE1ZTg2NmJmNzJmMDZkYzEwZWQifQ=="/>
    <w:docVar w:name="KSO_WPS_MARK_KEY" w:val="1ff5551c-6cec-41de-a4b4-fc873ea40f13"/>
  </w:docVars>
  <w:rsids>
    <w:rsidRoot w:val="00172A27"/>
    <w:rsid w:val="00002636"/>
    <w:rsid w:val="0001641B"/>
    <w:rsid w:val="00022CC5"/>
    <w:rsid w:val="000233DC"/>
    <w:rsid w:val="00023513"/>
    <w:rsid w:val="00023AEF"/>
    <w:rsid w:val="000260F2"/>
    <w:rsid w:val="0002627D"/>
    <w:rsid w:val="000265AC"/>
    <w:rsid w:val="0002785B"/>
    <w:rsid w:val="000311BC"/>
    <w:rsid w:val="00031B31"/>
    <w:rsid w:val="000321BB"/>
    <w:rsid w:val="00035091"/>
    <w:rsid w:val="00045CCF"/>
    <w:rsid w:val="0004713B"/>
    <w:rsid w:val="000513F5"/>
    <w:rsid w:val="00051D0E"/>
    <w:rsid w:val="00051D7A"/>
    <w:rsid w:val="00054868"/>
    <w:rsid w:val="00054CEE"/>
    <w:rsid w:val="000579D9"/>
    <w:rsid w:val="000641E9"/>
    <w:rsid w:val="00070745"/>
    <w:rsid w:val="000722A7"/>
    <w:rsid w:val="00075BCC"/>
    <w:rsid w:val="0007720F"/>
    <w:rsid w:val="000842DD"/>
    <w:rsid w:val="00085B60"/>
    <w:rsid w:val="000915EA"/>
    <w:rsid w:val="00091ABC"/>
    <w:rsid w:val="00093C71"/>
    <w:rsid w:val="0009555C"/>
    <w:rsid w:val="00095B54"/>
    <w:rsid w:val="00096C67"/>
    <w:rsid w:val="000A25FA"/>
    <w:rsid w:val="000A64DF"/>
    <w:rsid w:val="000B5003"/>
    <w:rsid w:val="000B6535"/>
    <w:rsid w:val="000B7B66"/>
    <w:rsid w:val="000C7154"/>
    <w:rsid w:val="000D1887"/>
    <w:rsid w:val="000D22EB"/>
    <w:rsid w:val="000D6148"/>
    <w:rsid w:val="000E000B"/>
    <w:rsid w:val="000E0674"/>
    <w:rsid w:val="000E11B3"/>
    <w:rsid w:val="000F31F8"/>
    <w:rsid w:val="000F7629"/>
    <w:rsid w:val="00100C9B"/>
    <w:rsid w:val="00107AE6"/>
    <w:rsid w:val="00113EFA"/>
    <w:rsid w:val="00116991"/>
    <w:rsid w:val="0011717D"/>
    <w:rsid w:val="00117421"/>
    <w:rsid w:val="00121574"/>
    <w:rsid w:val="00122D45"/>
    <w:rsid w:val="00124AEC"/>
    <w:rsid w:val="00136558"/>
    <w:rsid w:val="00143540"/>
    <w:rsid w:val="00144AEE"/>
    <w:rsid w:val="00151C99"/>
    <w:rsid w:val="001533D8"/>
    <w:rsid w:val="00155399"/>
    <w:rsid w:val="00156BD7"/>
    <w:rsid w:val="00162AE4"/>
    <w:rsid w:val="00163D0D"/>
    <w:rsid w:val="00164E52"/>
    <w:rsid w:val="001653E6"/>
    <w:rsid w:val="00167A23"/>
    <w:rsid w:val="001710E8"/>
    <w:rsid w:val="00172A27"/>
    <w:rsid w:val="001738ED"/>
    <w:rsid w:val="001748ED"/>
    <w:rsid w:val="001777CB"/>
    <w:rsid w:val="001777F2"/>
    <w:rsid w:val="00181494"/>
    <w:rsid w:val="00186479"/>
    <w:rsid w:val="00190AF9"/>
    <w:rsid w:val="00191B96"/>
    <w:rsid w:val="0019608A"/>
    <w:rsid w:val="001A2A22"/>
    <w:rsid w:val="001B0098"/>
    <w:rsid w:val="001B1052"/>
    <w:rsid w:val="001B2405"/>
    <w:rsid w:val="001B3225"/>
    <w:rsid w:val="001B668D"/>
    <w:rsid w:val="001C3428"/>
    <w:rsid w:val="001C596B"/>
    <w:rsid w:val="001D6D82"/>
    <w:rsid w:val="001E0CCB"/>
    <w:rsid w:val="001E7291"/>
    <w:rsid w:val="001E7B5E"/>
    <w:rsid w:val="001F0183"/>
    <w:rsid w:val="001F3A75"/>
    <w:rsid w:val="001F4AAF"/>
    <w:rsid w:val="001F5A44"/>
    <w:rsid w:val="00205659"/>
    <w:rsid w:val="00206086"/>
    <w:rsid w:val="00207B08"/>
    <w:rsid w:val="00210E2D"/>
    <w:rsid w:val="00211563"/>
    <w:rsid w:val="002119F2"/>
    <w:rsid w:val="002148A2"/>
    <w:rsid w:val="00216212"/>
    <w:rsid w:val="00217828"/>
    <w:rsid w:val="00220A59"/>
    <w:rsid w:val="00224FB7"/>
    <w:rsid w:val="00226AC4"/>
    <w:rsid w:val="002334D3"/>
    <w:rsid w:val="00242A5A"/>
    <w:rsid w:val="00255607"/>
    <w:rsid w:val="00260C09"/>
    <w:rsid w:val="0026284B"/>
    <w:rsid w:val="0026567A"/>
    <w:rsid w:val="00266A92"/>
    <w:rsid w:val="00271793"/>
    <w:rsid w:val="00273EB8"/>
    <w:rsid w:val="00274506"/>
    <w:rsid w:val="00274675"/>
    <w:rsid w:val="002801C5"/>
    <w:rsid w:val="00281C4A"/>
    <w:rsid w:val="00282FAD"/>
    <w:rsid w:val="002833B2"/>
    <w:rsid w:val="00283661"/>
    <w:rsid w:val="00283A28"/>
    <w:rsid w:val="00290853"/>
    <w:rsid w:val="0029114C"/>
    <w:rsid w:val="00292840"/>
    <w:rsid w:val="00294F07"/>
    <w:rsid w:val="00296F5E"/>
    <w:rsid w:val="002A093F"/>
    <w:rsid w:val="002A1F8F"/>
    <w:rsid w:val="002A67E9"/>
    <w:rsid w:val="002B1F6D"/>
    <w:rsid w:val="002B26ED"/>
    <w:rsid w:val="002B4E42"/>
    <w:rsid w:val="002B61F7"/>
    <w:rsid w:val="002C262A"/>
    <w:rsid w:val="002C7E20"/>
    <w:rsid w:val="002D071C"/>
    <w:rsid w:val="002D40F1"/>
    <w:rsid w:val="002E0D66"/>
    <w:rsid w:val="002E450E"/>
    <w:rsid w:val="002E5BD7"/>
    <w:rsid w:val="002E6880"/>
    <w:rsid w:val="002F37FA"/>
    <w:rsid w:val="002F51DD"/>
    <w:rsid w:val="002F7FEF"/>
    <w:rsid w:val="003002FD"/>
    <w:rsid w:val="00302519"/>
    <w:rsid w:val="00303661"/>
    <w:rsid w:val="003045A3"/>
    <w:rsid w:val="0031162D"/>
    <w:rsid w:val="003166B7"/>
    <w:rsid w:val="00320B3F"/>
    <w:rsid w:val="003324FE"/>
    <w:rsid w:val="00342938"/>
    <w:rsid w:val="003432BC"/>
    <w:rsid w:val="00345EA4"/>
    <w:rsid w:val="0035501D"/>
    <w:rsid w:val="00360AB8"/>
    <w:rsid w:val="003627CA"/>
    <w:rsid w:val="00365787"/>
    <w:rsid w:val="00366AD4"/>
    <w:rsid w:val="00366CB9"/>
    <w:rsid w:val="00374ED8"/>
    <w:rsid w:val="00380258"/>
    <w:rsid w:val="00381160"/>
    <w:rsid w:val="00382D90"/>
    <w:rsid w:val="00385D5F"/>
    <w:rsid w:val="00390BEB"/>
    <w:rsid w:val="003930FB"/>
    <w:rsid w:val="00395096"/>
    <w:rsid w:val="00395225"/>
    <w:rsid w:val="00395762"/>
    <w:rsid w:val="00395A76"/>
    <w:rsid w:val="00395A7D"/>
    <w:rsid w:val="003B0E76"/>
    <w:rsid w:val="003B45F9"/>
    <w:rsid w:val="003B6DB6"/>
    <w:rsid w:val="003B7195"/>
    <w:rsid w:val="003B7EBD"/>
    <w:rsid w:val="003C2193"/>
    <w:rsid w:val="003C22C4"/>
    <w:rsid w:val="003C407D"/>
    <w:rsid w:val="003C5DDF"/>
    <w:rsid w:val="003C641B"/>
    <w:rsid w:val="003D1B67"/>
    <w:rsid w:val="003D2116"/>
    <w:rsid w:val="003D5BDB"/>
    <w:rsid w:val="003D616D"/>
    <w:rsid w:val="003D71F0"/>
    <w:rsid w:val="003E0CBC"/>
    <w:rsid w:val="003E2BA4"/>
    <w:rsid w:val="004011A9"/>
    <w:rsid w:val="00401637"/>
    <w:rsid w:val="0040191B"/>
    <w:rsid w:val="00403D48"/>
    <w:rsid w:val="00407AC0"/>
    <w:rsid w:val="00423472"/>
    <w:rsid w:val="00437C7B"/>
    <w:rsid w:val="0044329F"/>
    <w:rsid w:val="004432C4"/>
    <w:rsid w:val="004450ED"/>
    <w:rsid w:val="00446C0F"/>
    <w:rsid w:val="00455B61"/>
    <w:rsid w:val="00455D88"/>
    <w:rsid w:val="00456539"/>
    <w:rsid w:val="00462CD3"/>
    <w:rsid w:val="00467473"/>
    <w:rsid w:val="00467FBF"/>
    <w:rsid w:val="0047018D"/>
    <w:rsid w:val="00471DD2"/>
    <w:rsid w:val="004767D6"/>
    <w:rsid w:val="0047713B"/>
    <w:rsid w:val="00480568"/>
    <w:rsid w:val="004856A4"/>
    <w:rsid w:val="004860F6"/>
    <w:rsid w:val="004962E7"/>
    <w:rsid w:val="004A4C7A"/>
    <w:rsid w:val="004B0000"/>
    <w:rsid w:val="004B0968"/>
    <w:rsid w:val="004B2F8B"/>
    <w:rsid w:val="004C49E8"/>
    <w:rsid w:val="004D0D8F"/>
    <w:rsid w:val="004D2A28"/>
    <w:rsid w:val="004D67A8"/>
    <w:rsid w:val="004E29A6"/>
    <w:rsid w:val="004E526B"/>
    <w:rsid w:val="004F2E68"/>
    <w:rsid w:val="004F3E87"/>
    <w:rsid w:val="004F48AF"/>
    <w:rsid w:val="004F6120"/>
    <w:rsid w:val="0050169F"/>
    <w:rsid w:val="005019B4"/>
    <w:rsid w:val="00502611"/>
    <w:rsid w:val="00504F37"/>
    <w:rsid w:val="005050BA"/>
    <w:rsid w:val="00505F17"/>
    <w:rsid w:val="00506780"/>
    <w:rsid w:val="00513705"/>
    <w:rsid w:val="00513AB3"/>
    <w:rsid w:val="00513FDC"/>
    <w:rsid w:val="00515C14"/>
    <w:rsid w:val="00516261"/>
    <w:rsid w:val="00520CED"/>
    <w:rsid w:val="005225CB"/>
    <w:rsid w:val="00524D54"/>
    <w:rsid w:val="00524E4B"/>
    <w:rsid w:val="00531789"/>
    <w:rsid w:val="00531BC8"/>
    <w:rsid w:val="005342C1"/>
    <w:rsid w:val="0053639C"/>
    <w:rsid w:val="00541771"/>
    <w:rsid w:val="00544A24"/>
    <w:rsid w:val="00551B1F"/>
    <w:rsid w:val="00552BFB"/>
    <w:rsid w:val="005539A1"/>
    <w:rsid w:val="00554C2C"/>
    <w:rsid w:val="00561B22"/>
    <w:rsid w:val="005626AC"/>
    <w:rsid w:val="00564DD2"/>
    <w:rsid w:val="005678CA"/>
    <w:rsid w:val="0057630F"/>
    <w:rsid w:val="00577560"/>
    <w:rsid w:val="00583A01"/>
    <w:rsid w:val="00585D28"/>
    <w:rsid w:val="00586093"/>
    <w:rsid w:val="00590020"/>
    <w:rsid w:val="0059262E"/>
    <w:rsid w:val="00592FAF"/>
    <w:rsid w:val="005961A4"/>
    <w:rsid w:val="005A1EEA"/>
    <w:rsid w:val="005A24F4"/>
    <w:rsid w:val="005A7771"/>
    <w:rsid w:val="005B5A94"/>
    <w:rsid w:val="005C2538"/>
    <w:rsid w:val="005C3E87"/>
    <w:rsid w:val="005C5999"/>
    <w:rsid w:val="005C5CC8"/>
    <w:rsid w:val="005C78DB"/>
    <w:rsid w:val="005D0409"/>
    <w:rsid w:val="005D0AD0"/>
    <w:rsid w:val="005D2E0E"/>
    <w:rsid w:val="005D6497"/>
    <w:rsid w:val="005D668A"/>
    <w:rsid w:val="005E1E0C"/>
    <w:rsid w:val="005E2915"/>
    <w:rsid w:val="005E4DA7"/>
    <w:rsid w:val="005E5738"/>
    <w:rsid w:val="005F2CD7"/>
    <w:rsid w:val="00600C72"/>
    <w:rsid w:val="00601B08"/>
    <w:rsid w:val="00602EA7"/>
    <w:rsid w:val="00606C39"/>
    <w:rsid w:val="00611892"/>
    <w:rsid w:val="00614BFF"/>
    <w:rsid w:val="00615C3D"/>
    <w:rsid w:val="00620DED"/>
    <w:rsid w:val="00621C2D"/>
    <w:rsid w:val="00621C63"/>
    <w:rsid w:val="0062572E"/>
    <w:rsid w:val="00626C4B"/>
    <w:rsid w:val="006279A9"/>
    <w:rsid w:val="00640A2D"/>
    <w:rsid w:val="0064228F"/>
    <w:rsid w:val="00643F25"/>
    <w:rsid w:val="00644D34"/>
    <w:rsid w:val="006461A8"/>
    <w:rsid w:val="00647220"/>
    <w:rsid w:val="00647260"/>
    <w:rsid w:val="00650CBB"/>
    <w:rsid w:val="00656CEA"/>
    <w:rsid w:val="006622C5"/>
    <w:rsid w:val="006638BC"/>
    <w:rsid w:val="0066497A"/>
    <w:rsid w:val="00664DEB"/>
    <w:rsid w:val="006669C8"/>
    <w:rsid w:val="0067059C"/>
    <w:rsid w:val="006776A5"/>
    <w:rsid w:val="0068718C"/>
    <w:rsid w:val="0068721D"/>
    <w:rsid w:val="00692313"/>
    <w:rsid w:val="00693120"/>
    <w:rsid w:val="00693ED8"/>
    <w:rsid w:val="006A09CB"/>
    <w:rsid w:val="006A1B7D"/>
    <w:rsid w:val="006A462D"/>
    <w:rsid w:val="006A52C7"/>
    <w:rsid w:val="006A5B77"/>
    <w:rsid w:val="006A5EE7"/>
    <w:rsid w:val="006B33FD"/>
    <w:rsid w:val="006B473F"/>
    <w:rsid w:val="006D0BBC"/>
    <w:rsid w:val="006D115F"/>
    <w:rsid w:val="006D19B4"/>
    <w:rsid w:val="006D4C1C"/>
    <w:rsid w:val="006D6368"/>
    <w:rsid w:val="006D727C"/>
    <w:rsid w:val="006E07E9"/>
    <w:rsid w:val="006E1651"/>
    <w:rsid w:val="006E64EB"/>
    <w:rsid w:val="006E762B"/>
    <w:rsid w:val="006F1547"/>
    <w:rsid w:val="006F40A3"/>
    <w:rsid w:val="006F57EF"/>
    <w:rsid w:val="006F66F2"/>
    <w:rsid w:val="00704D9E"/>
    <w:rsid w:val="00706EC6"/>
    <w:rsid w:val="00711932"/>
    <w:rsid w:val="00711E9C"/>
    <w:rsid w:val="00715861"/>
    <w:rsid w:val="007208DC"/>
    <w:rsid w:val="00730CED"/>
    <w:rsid w:val="00733BDE"/>
    <w:rsid w:val="00740200"/>
    <w:rsid w:val="0074104C"/>
    <w:rsid w:val="007411DC"/>
    <w:rsid w:val="00742315"/>
    <w:rsid w:val="007427A8"/>
    <w:rsid w:val="007427B5"/>
    <w:rsid w:val="00742811"/>
    <w:rsid w:val="007500BE"/>
    <w:rsid w:val="00752A97"/>
    <w:rsid w:val="00753F1A"/>
    <w:rsid w:val="0076539A"/>
    <w:rsid w:val="00766CA4"/>
    <w:rsid w:val="00766E2E"/>
    <w:rsid w:val="007746ED"/>
    <w:rsid w:val="00774D0A"/>
    <w:rsid w:val="00781B47"/>
    <w:rsid w:val="0078308F"/>
    <w:rsid w:val="0078310F"/>
    <w:rsid w:val="007A41EC"/>
    <w:rsid w:val="007B1CFA"/>
    <w:rsid w:val="007B1EB1"/>
    <w:rsid w:val="007B35A3"/>
    <w:rsid w:val="007B4CCF"/>
    <w:rsid w:val="007B6C22"/>
    <w:rsid w:val="007B76BD"/>
    <w:rsid w:val="007C0BCE"/>
    <w:rsid w:val="007C63C4"/>
    <w:rsid w:val="007D31B4"/>
    <w:rsid w:val="007E4F11"/>
    <w:rsid w:val="007E4FDA"/>
    <w:rsid w:val="007E61FA"/>
    <w:rsid w:val="007E7450"/>
    <w:rsid w:val="007F2EE3"/>
    <w:rsid w:val="007F3AA5"/>
    <w:rsid w:val="007F4DA2"/>
    <w:rsid w:val="007F6F79"/>
    <w:rsid w:val="007F7BB4"/>
    <w:rsid w:val="00800275"/>
    <w:rsid w:val="00800566"/>
    <w:rsid w:val="0080174C"/>
    <w:rsid w:val="00801807"/>
    <w:rsid w:val="00801EEF"/>
    <w:rsid w:val="0080554D"/>
    <w:rsid w:val="008065BC"/>
    <w:rsid w:val="008068A0"/>
    <w:rsid w:val="00810CBA"/>
    <w:rsid w:val="00812A46"/>
    <w:rsid w:val="008133FE"/>
    <w:rsid w:val="008211DC"/>
    <w:rsid w:val="0082189C"/>
    <w:rsid w:val="0082452D"/>
    <w:rsid w:val="00836E90"/>
    <w:rsid w:val="0083774E"/>
    <w:rsid w:val="008413E4"/>
    <w:rsid w:val="00843BC7"/>
    <w:rsid w:val="00847B47"/>
    <w:rsid w:val="00852723"/>
    <w:rsid w:val="00853F9D"/>
    <w:rsid w:val="00855C60"/>
    <w:rsid w:val="008604E6"/>
    <w:rsid w:val="0086285D"/>
    <w:rsid w:val="00862AAC"/>
    <w:rsid w:val="00864D5F"/>
    <w:rsid w:val="00867FE6"/>
    <w:rsid w:val="00870112"/>
    <w:rsid w:val="00870C24"/>
    <w:rsid w:val="00872AA8"/>
    <w:rsid w:val="00872C39"/>
    <w:rsid w:val="00877273"/>
    <w:rsid w:val="008841F9"/>
    <w:rsid w:val="00886282"/>
    <w:rsid w:val="00893D13"/>
    <w:rsid w:val="00895D57"/>
    <w:rsid w:val="00896C9B"/>
    <w:rsid w:val="00896E97"/>
    <w:rsid w:val="008A05E0"/>
    <w:rsid w:val="008A1C11"/>
    <w:rsid w:val="008B24F3"/>
    <w:rsid w:val="008B4F54"/>
    <w:rsid w:val="008C250B"/>
    <w:rsid w:val="008C2C6D"/>
    <w:rsid w:val="008C3922"/>
    <w:rsid w:val="008C597B"/>
    <w:rsid w:val="008C6292"/>
    <w:rsid w:val="008C6530"/>
    <w:rsid w:val="008D41BF"/>
    <w:rsid w:val="008D4BC3"/>
    <w:rsid w:val="008F42AB"/>
    <w:rsid w:val="009017DB"/>
    <w:rsid w:val="00901D42"/>
    <w:rsid w:val="00903C94"/>
    <w:rsid w:val="00906A51"/>
    <w:rsid w:val="009177E4"/>
    <w:rsid w:val="00921EE8"/>
    <w:rsid w:val="00922535"/>
    <w:rsid w:val="009307F8"/>
    <w:rsid w:val="00933A4E"/>
    <w:rsid w:val="00933E02"/>
    <w:rsid w:val="00935EB1"/>
    <w:rsid w:val="009458F2"/>
    <w:rsid w:val="0095276E"/>
    <w:rsid w:val="00952810"/>
    <w:rsid w:val="0095771C"/>
    <w:rsid w:val="00957EBD"/>
    <w:rsid w:val="00961ADA"/>
    <w:rsid w:val="00964D54"/>
    <w:rsid w:val="009743AD"/>
    <w:rsid w:val="00977E66"/>
    <w:rsid w:val="00980EF0"/>
    <w:rsid w:val="009816B2"/>
    <w:rsid w:val="00982846"/>
    <w:rsid w:val="00983EC7"/>
    <w:rsid w:val="00985224"/>
    <w:rsid w:val="00987A1B"/>
    <w:rsid w:val="009946CE"/>
    <w:rsid w:val="0099606F"/>
    <w:rsid w:val="009A3256"/>
    <w:rsid w:val="009A34F9"/>
    <w:rsid w:val="009A3750"/>
    <w:rsid w:val="009A4BFF"/>
    <w:rsid w:val="009A6C8B"/>
    <w:rsid w:val="009B027C"/>
    <w:rsid w:val="009B1ED1"/>
    <w:rsid w:val="009B37E0"/>
    <w:rsid w:val="009B6656"/>
    <w:rsid w:val="009C08A2"/>
    <w:rsid w:val="009C261B"/>
    <w:rsid w:val="009C5E1F"/>
    <w:rsid w:val="009D2FD9"/>
    <w:rsid w:val="009D3EAE"/>
    <w:rsid w:val="009D4235"/>
    <w:rsid w:val="009E104F"/>
    <w:rsid w:val="009E158D"/>
    <w:rsid w:val="009E4FB6"/>
    <w:rsid w:val="009E7922"/>
    <w:rsid w:val="009F1074"/>
    <w:rsid w:val="009F6F8D"/>
    <w:rsid w:val="00A00D54"/>
    <w:rsid w:val="00A05DB3"/>
    <w:rsid w:val="00A0720D"/>
    <w:rsid w:val="00A073B6"/>
    <w:rsid w:val="00A1533A"/>
    <w:rsid w:val="00A15D3C"/>
    <w:rsid w:val="00A23001"/>
    <w:rsid w:val="00A26642"/>
    <w:rsid w:val="00A3015D"/>
    <w:rsid w:val="00A3451B"/>
    <w:rsid w:val="00A36ECB"/>
    <w:rsid w:val="00A41219"/>
    <w:rsid w:val="00A41AF3"/>
    <w:rsid w:val="00A42838"/>
    <w:rsid w:val="00A47E97"/>
    <w:rsid w:val="00A50937"/>
    <w:rsid w:val="00A546F2"/>
    <w:rsid w:val="00A574F3"/>
    <w:rsid w:val="00A62FE9"/>
    <w:rsid w:val="00A630B4"/>
    <w:rsid w:val="00A631B4"/>
    <w:rsid w:val="00A6388B"/>
    <w:rsid w:val="00A647E4"/>
    <w:rsid w:val="00A80414"/>
    <w:rsid w:val="00A91E60"/>
    <w:rsid w:val="00A932B9"/>
    <w:rsid w:val="00A93398"/>
    <w:rsid w:val="00A9628D"/>
    <w:rsid w:val="00A97B7F"/>
    <w:rsid w:val="00AA1275"/>
    <w:rsid w:val="00AA1FFF"/>
    <w:rsid w:val="00AA3214"/>
    <w:rsid w:val="00AA3F99"/>
    <w:rsid w:val="00AA7240"/>
    <w:rsid w:val="00AB058E"/>
    <w:rsid w:val="00AB4EA4"/>
    <w:rsid w:val="00AB70DD"/>
    <w:rsid w:val="00AC252A"/>
    <w:rsid w:val="00AC6757"/>
    <w:rsid w:val="00AC7B7E"/>
    <w:rsid w:val="00AD1BEB"/>
    <w:rsid w:val="00AD4F25"/>
    <w:rsid w:val="00AD5603"/>
    <w:rsid w:val="00AE0E27"/>
    <w:rsid w:val="00AE5742"/>
    <w:rsid w:val="00AF191E"/>
    <w:rsid w:val="00AF218C"/>
    <w:rsid w:val="00AF29CC"/>
    <w:rsid w:val="00AF59FC"/>
    <w:rsid w:val="00AF6BDF"/>
    <w:rsid w:val="00AF7B96"/>
    <w:rsid w:val="00B07CB1"/>
    <w:rsid w:val="00B1066C"/>
    <w:rsid w:val="00B20452"/>
    <w:rsid w:val="00B2569F"/>
    <w:rsid w:val="00B2779B"/>
    <w:rsid w:val="00B30DF1"/>
    <w:rsid w:val="00B3337F"/>
    <w:rsid w:val="00B34CA2"/>
    <w:rsid w:val="00B452EF"/>
    <w:rsid w:val="00B471C0"/>
    <w:rsid w:val="00B51526"/>
    <w:rsid w:val="00B5253B"/>
    <w:rsid w:val="00B63D1E"/>
    <w:rsid w:val="00B67C7A"/>
    <w:rsid w:val="00B7075F"/>
    <w:rsid w:val="00B7100B"/>
    <w:rsid w:val="00B72A99"/>
    <w:rsid w:val="00B840CF"/>
    <w:rsid w:val="00B90791"/>
    <w:rsid w:val="00B922FB"/>
    <w:rsid w:val="00B92CC1"/>
    <w:rsid w:val="00B93578"/>
    <w:rsid w:val="00B97AE8"/>
    <w:rsid w:val="00BA4900"/>
    <w:rsid w:val="00BB13C6"/>
    <w:rsid w:val="00BB2682"/>
    <w:rsid w:val="00BB5F5F"/>
    <w:rsid w:val="00BC1FFE"/>
    <w:rsid w:val="00BC2943"/>
    <w:rsid w:val="00BC5396"/>
    <w:rsid w:val="00BD3145"/>
    <w:rsid w:val="00BD38CC"/>
    <w:rsid w:val="00BD3CFE"/>
    <w:rsid w:val="00BE2A16"/>
    <w:rsid w:val="00BE2D82"/>
    <w:rsid w:val="00BE3D69"/>
    <w:rsid w:val="00BE4F8C"/>
    <w:rsid w:val="00BE6643"/>
    <w:rsid w:val="00BE7E6D"/>
    <w:rsid w:val="00BF0EB8"/>
    <w:rsid w:val="00BF6206"/>
    <w:rsid w:val="00C00867"/>
    <w:rsid w:val="00C01C5E"/>
    <w:rsid w:val="00C11A2F"/>
    <w:rsid w:val="00C14528"/>
    <w:rsid w:val="00C2448A"/>
    <w:rsid w:val="00C24DF0"/>
    <w:rsid w:val="00C26E18"/>
    <w:rsid w:val="00C27412"/>
    <w:rsid w:val="00C3130E"/>
    <w:rsid w:val="00C356A7"/>
    <w:rsid w:val="00C3786A"/>
    <w:rsid w:val="00C37A84"/>
    <w:rsid w:val="00C73FFB"/>
    <w:rsid w:val="00C77692"/>
    <w:rsid w:val="00C776CC"/>
    <w:rsid w:val="00C80725"/>
    <w:rsid w:val="00C826FB"/>
    <w:rsid w:val="00C84723"/>
    <w:rsid w:val="00C87987"/>
    <w:rsid w:val="00C90DAE"/>
    <w:rsid w:val="00C92585"/>
    <w:rsid w:val="00C9310E"/>
    <w:rsid w:val="00CA164B"/>
    <w:rsid w:val="00CB2BDF"/>
    <w:rsid w:val="00CB2F62"/>
    <w:rsid w:val="00CB4353"/>
    <w:rsid w:val="00CB5B3F"/>
    <w:rsid w:val="00CB5C39"/>
    <w:rsid w:val="00CC1498"/>
    <w:rsid w:val="00CC4568"/>
    <w:rsid w:val="00CC65F7"/>
    <w:rsid w:val="00CD51CF"/>
    <w:rsid w:val="00CD5CFC"/>
    <w:rsid w:val="00CD5F26"/>
    <w:rsid w:val="00CD61FE"/>
    <w:rsid w:val="00CD699E"/>
    <w:rsid w:val="00CE00F6"/>
    <w:rsid w:val="00CE1FBE"/>
    <w:rsid w:val="00CE2A5F"/>
    <w:rsid w:val="00CE44FF"/>
    <w:rsid w:val="00CE7D73"/>
    <w:rsid w:val="00CE7F69"/>
    <w:rsid w:val="00CF017E"/>
    <w:rsid w:val="00CF0614"/>
    <w:rsid w:val="00CF1B15"/>
    <w:rsid w:val="00D04D34"/>
    <w:rsid w:val="00D04DD6"/>
    <w:rsid w:val="00D06439"/>
    <w:rsid w:val="00D10015"/>
    <w:rsid w:val="00D14FED"/>
    <w:rsid w:val="00D15580"/>
    <w:rsid w:val="00D17771"/>
    <w:rsid w:val="00D17C9C"/>
    <w:rsid w:val="00D23FF2"/>
    <w:rsid w:val="00D32EEB"/>
    <w:rsid w:val="00D35E86"/>
    <w:rsid w:val="00D365DD"/>
    <w:rsid w:val="00D37A2C"/>
    <w:rsid w:val="00D41D0F"/>
    <w:rsid w:val="00D42514"/>
    <w:rsid w:val="00D4346E"/>
    <w:rsid w:val="00D43AC1"/>
    <w:rsid w:val="00D45693"/>
    <w:rsid w:val="00D45996"/>
    <w:rsid w:val="00D51F90"/>
    <w:rsid w:val="00D52371"/>
    <w:rsid w:val="00D52C0F"/>
    <w:rsid w:val="00D539A4"/>
    <w:rsid w:val="00D54CFA"/>
    <w:rsid w:val="00D57EBE"/>
    <w:rsid w:val="00D70A30"/>
    <w:rsid w:val="00D72465"/>
    <w:rsid w:val="00D7251C"/>
    <w:rsid w:val="00D726F3"/>
    <w:rsid w:val="00D73818"/>
    <w:rsid w:val="00D74B02"/>
    <w:rsid w:val="00D74D84"/>
    <w:rsid w:val="00D75B19"/>
    <w:rsid w:val="00D7680C"/>
    <w:rsid w:val="00D76C7D"/>
    <w:rsid w:val="00D77860"/>
    <w:rsid w:val="00D841C8"/>
    <w:rsid w:val="00D84CF4"/>
    <w:rsid w:val="00D87BD0"/>
    <w:rsid w:val="00D90682"/>
    <w:rsid w:val="00D90954"/>
    <w:rsid w:val="00D9152C"/>
    <w:rsid w:val="00D97129"/>
    <w:rsid w:val="00DA213D"/>
    <w:rsid w:val="00DA3CCF"/>
    <w:rsid w:val="00DA42C9"/>
    <w:rsid w:val="00DA5F81"/>
    <w:rsid w:val="00DA7F77"/>
    <w:rsid w:val="00DB05F0"/>
    <w:rsid w:val="00DB2971"/>
    <w:rsid w:val="00DB3153"/>
    <w:rsid w:val="00DB6B4B"/>
    <w:rsid w:val="00DC235B"/>
    <w:rsid w:val="00DC3C0E"/>
    <w:rsid w:val="00DC78F6"/>
    <w:rsid w:val="00DC79C8"/>
    <w:rsid w:val="00DD3296"/>
    <w:rsid w:val="00DE26E8"/>
    <w:rsid w:val="00DF1D90"/>
    <w:rsid w:val="00DF548B"/>
    <w:rsid w:val="00DF5C18"/>
    <w:rsid w:val="00E03116"/>
    <w:rsid w:val="00E076B9"/>
    <w:rsid w:val="00E1639D"/>
    <w:rsid w:val="00E1669D"/>
    <w:rsid w:val="00E16F5C"/>
    <w:rsid w:val="00E179D9"/>
    <w:rsid w:val="00E20903"/>
    <w:rsid w:val="00E225DF"/>
    <w:rsid w:val="00E23C8E"/>
    <w:rsid w:val="00E30E78"/>
    <w:rsid w:val="00E31F47"/>
    <w:rsid w:val="00E35BFA"/>
    <w:rsid w:val="00E370EE"/>
    <w:rsid w:val="00E37BBE"/>
    <w:rsid w:val="00E40556"/>
    <w:rsid w:val="00E40E0A"/>
    <w:rsid w:val="00E43C22"/>
    <w:rsid w:val="00E43E00"/>
    <w:rsid w:val="00E44A46"/>
    <w:rsid w:val="00E45141"/>
    <w:rsid w:val="00E46C76"/>
    <w:rsid w:val="00E51410"/>
    <w:rsid w:val="00E521DB"/>
    <w:rsid w:val="00E6240B"/>
    <w:rsid w:val="00E62F4B"/>
    <w:rsid w:val="00E73D74"/>
    <w:rsid w:val="00E75A26"/>
    <w:rsid w:val="00E8022C"/>
    <w:rsid w:val="00E823DD"/>
    <w:rsid w:val="00E93FB4"/>
    <w:rsid w:val="00E969B3"/>
    <w:rsid w:val="00EA296B"/>
    <w:rsid w:val="00EA61EC"/>
    <w:rsid w:val="00EB1E3B"/>
    <w:rsid w:val="00EB4167"/>
    <w:rsid w:val="00EB67C2"/>
    <w:rsid w:val="00EC0CF9"/>
    <w:rsid w:val="00EC11FE"/>
    <w:rsid w:val="00EC2314"/>
    <w:rsid w:val="00EC356A"/>
    <w:rsid w:val="00ED00A0"/>
    <w:rsid w:val="00ED26C8"/>
    <w:rsid w:val="00ED34C3"/>
    <w:rsid w:val="00ED38DB"/>
    <w:rsid w:val="00EE39A4"/>
    <w:rsid w:val="00EF0F14"/>
    <w:rsid w:val="00EF121B"/>
    <w:rsid w:val="00EF1C74"/>
    <w:rsid w:val="00EF5DD8"/>
    <w:rsid w:val="00F07C79"/>
    <w:rsid w:val="00F1020D"/>
    <w:rsid w:val="00F10FD7"/>
    <w:rsid w:val="00F15A47"/>
    <w:rsid w:val="00F169C9"/>
    <w:rsid w:val="00F21D99"/>
    <w:rsid w:val="00F238AC"/>
    <w:rsid w:val="00F2568C"/>
    <w:rsid w:val="00F263D2"/>
    <w:rsid w:val="00F32244"/>
    <w:rsid w:val="00F3469D"/>
    <w:rsid w:val="00F34835"/>
    <w:rsid w:val="00F34DEA"/>
    <w:rsid w:val="00F36543"/>
    <w:rsid w:val="00F43B6D"/>
    <w:rsid w:val="00F43E92"/>
    <w:rsid w:val="00F45495"/>
    <w:rsid w:val="00F4573A"/>
    <w:rsid w:val="00F46B8B"/>
    <w:rsid w:val="00F50598"/>
    <w:rsid w:val="00F51AAA"/>
    <w:rsid w:val="00F54CD4"/>
    <w:rsid w:val="00F562D6"/>
    <w:rsid w:val="00F567AE"/>
    <w:rsid w:val="00F6167E"/>
    <w:rsid w:val="00F67C14"/>
    <w:rsid w:val="00F67D4D"/>
    <w:rsid w:val="00F705F8"/>
    <w:rsid w:val="00F74637"/>
    <w:rsid w:val="00F75D85"/>
    <w:rsid w:val="00F80880"/>
    <w:rsid w:val="00F818E0"/>
    <w:rsid w:val="00F82878"/>
    <w:rsid w:val="00F83A89"/>
    <w:rsid w:val="00F85142"/>
    <w:rsid w:val="00F856FE"/>
    <w:rsid w:val="00F930AC"/>
    <w:rsid w:val="00F944C3"/>
    <w:rsid w:val="00FA1010"/>
    <w:rsid w:val="00FA1C8F"/>
    <w:rsid w:val="00FA5C25"/>
    <w:rsid w:val="00FA750C"/>
    <w:rsid w:val="00FB00C4"/>
    <w:rsid w:val="00FB0E73"/>
    <w:rsid w:val="00FB3DE0"/>
    <w:rsid w:val="00FB4EAD"/>
    <w:rsid w:val="00FC09D3"/>
    <w:rsid w:val="00FC1874"/>
    <w:rsid w:val="00FC4D62"/>
    <w:rsid w:val="00FC51E9"/>
    <w:rsid w:val="00FD0D1A"/>
    <w:rsid w:val="00FD12BF"/>
    <w:rsid w:val="00FD48C6"/>
    <w:rsid w:val="00FE3162"/>
    <w:rsid w:val="00FE530C"/>
    <w:rsid w:val="00FF3D2C"/>
    <w:rsid w:val="00FF4E36"/>
    <w:rsid w:val="00FF6A41"/>
    <w:rsid w:val="07BF4B8A"/>
    <w:rsid w:val="0BFD3185"/>
    <w:rsid w:val="0DF135B0"/>
    <w:rsid w:val="0E1764AF"/>
    <w:rsid w:val="0EBC559C"/>
    <w:rsid w:val="13F45B93"/>
    <w:rsid w:val="150050D1"/>
    <w:rsid w:val="15472A89"/>
    <w:rsid w:val="1F8E5880"/>
    <w:rsid w:val="236F4989"/>
    <w:rsid w:val="23A73395"/>
    <w:rsid w:val="241E5CD3"/>
    <w:rsid w:val="24AD3254"/>
    <w:rsid w:val="2AB74363"/>
    <w:rsid w:val="32C03F69"/>
    <w:rsid w:val="33FE7343"/>
    <w:rsid w:val="3A664717"/>
    <w:rsid w:val="3B256145"/>
    <w:rsid w:val="3B935F1E"/>
    <w:rsid w:val="3C8163F3"/>
    <w:rsid w:val="41D56CB4"/>
    <w:rsid w:val="42075BA1"/>
    <w:rsid w:val="457C11D4"/>
    <w:rsid w:val="47AE5072"/>
    <w:rsid w:val="49D508C2"/>
    <w:rsid w:val="4FDC2E7D"/>
    <w:rsid w:val="5B747B25"/>
    <w:rsid w:val="5D0E3E47"/>
    <w:rsid w:val="618B4A0D"/>
    <w:rsid w:val="67016824"/>
    <w:rsid w:val="69931F9A"/>
    <w:rsid w:val="6A1A66AB"/>
    <w:rsid w:val="6D7C56C3"/>
    <w:rsid w:val="71A469E3"/>
    <w:rsid w:val="728A468B"/>
    <w:rsid w:val="72DA341A"/>
    <w:rsid w:val="73EE5FD1"/>
    <w:rsid w:val="74C85615"/>
    <w:rsid w:val="76BE7BDF"/>
    <w:rsid w:val="784256A8"/>
    <w:rsid w:val="7A724A9E"/>
    <w:rsid w:val="7DDA6FD5"/>
    <w:rsid w:val="F5FDDE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imes New Roman" w:hAnsi="Times New Roman" w:eastAsia="宋体" w:cs="Times New Roman"/>
      <w:kern w:val="0"/>
      <w:sz w:val="22"/>
      <w:szCs w:val="22"/>
      <w:lang w:val="en-US" w:eastAsia="en-US"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Times New Roman" w:hAnsi="Times New Roman" w:eastAsia="宋体" w:cs="Times New Roman"/>
      <w:szCs w:val="20"/>
    </w:rPr>
  </w:style>
  <w:style w:type="paragraph" w:styleId="3">
    <w:name w:val="Balloon Text"/>
    <w:basedOn w:val="1"/>
    <w:link w:val="13"/>
    <w:qFormat/>
    <w:uiPriority w:val="99"/>
    <w:pPr>
      <w:spacing w:after="0" w:line="240" w:lineRule="auto"/>
    </w:pPr>
    <w:rPr>
      <w:sz w:val="18"/>
      <w:szCs w:val="18"/>
    </w:rPr>
  </w:style>
  <w:style w:type="paragraph" w:styleId="4">
    <w:name w:val="footer"/>
    <w:basedOn w:val="1"/>
    <w:link w:val="12"/>
    <w:qFormat/>
    <w:uiPriority w:val="99"/>
    <w:pPr>
      <w:tabs>
        <w:tab w:val="center" w:pos="4153"/>
        <w:tab w:val="right" w:pos="8306"/>
      </w:tabs>
      <w:snapToGrid w:val="0"/>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7">
    <w:name w:val="Table Grid"/>
    <w:basedOn w:val="6"/>
    <w:qFormat/>
    <w:locked/>
    <w:uiPriority w:val="99"/>
    <w:pPr>
      <w:widowControl w:val="0"/>
      <w:spacing w:after="200" w:line="276" w:lineRule="auto"/>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Hyperlink"/>
    <w:basedOn w:val="8"/>
    <w:qFormat/>
    <w:uiPriority w:val="99"/>
    <w:rPr>
      <w:rFonts w:cs="Times New Roman"/>
      <w:color w:val="0000FF"/>
      <w:u w:val="single"/>
    </w:rPr>
  </w:style>
  <w:style w:type="character" w:customStyle="1" w:styleId="11">
    <w:name w:val="Header Char"/>
    <w:basedOn w:val="8"/>
    <w:link w:val="5"/>
    <w:semiHidden/>
    <w:qFormat/>
    <w:locked/>
    <w:uiPriority w:val="99"/>
    <w:rPr>
      <w:rFonts w:cs="Times New Roman"/>
      <w:kern w:val="0"/>
      <w:sz w:val="18"/>
      <w:szCs w:val="18"/>
      <w:lang w:eastAsia="en-US"/>
    </w:rPr>
  </w:style>
  <w:style w:type="character" w:customStyle="1" w:styleId="12">
    <w:name w:val="Footer Char"/>
    <w:basedOn w:val="8"/>
    <w:link w:val="4"/>
    <w:semiHidden/>
    <w:qFormat/>
    <w:locked/>
    <w:uiPriority w:val="99"/>
    <w:rPr>
      <w:rFonts w:cs="Times New Roman"/>
      <w:kern w:val="0"/>
      <w:sz w:val="18"/>
      <w:szCs w:val="18"/>
      <w:lang w:eastAsia="en-US"/>
    </w:rPr>
  </w:style>
  <w:style w:type="character" w:customStyle="1" w:styleId="13">
    <w:name w:val="Balloon Text Char"/>
    <w:basedOn w:val="8"/>
    <w:link w:val="3"/>
    <w:qFormat/>
    <w:locked/>
    <w:uiPriority w:val="99"/>
    <w:rPr>
      <w:rFonts w:ascii="Calibri" w:hAnsi="Calibri" w:cs="Times New Roman"/>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775</Words>
  <Characters>1057</Characters>
  <Lines>0</Lines>
  <Paragraphs>0</Paragraphs>
  <TotalTime>3</TotalTime>
  <ScaleCrop>false</ScaleCrop>
  <LinksUpToDate>false</LinksUpToDate>
  <CharactersWithSpaces>1080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2014-11-10T10:41:00Z</dcterms:created>
  <dc:creator>lijingwei</dc:creator>
  <cp:lastModifiedBy>ht-706</cp:lastModifiedBy>
  <cp:lastPrinted>2015-12-25T13:20:00Z</cp:lastPrinted>
  <dcterms:modified xsi:type="dcterms:W3CDTF">2024-11-06T11:10:47Z</dcterms:modified>
  <dc:title>2014 年 2 月黑龙江省 空气质量报告</dc:title>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6C3D0F4215F544789A3B8526B9D27D3D_13</vt:lpwstr>
  </property>
</Properties>
</file>