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D311592">
      <w:pPr>
        <w:spacing w:after="0" w:line="360" w:lineRule="auto"/>
        <w:jc w:val="both"/>
        <w:rPr>
          <w:rFonts w:ascii="黑体" w:hAnsi="黑体" w:eastAsia="黑体"/>
          <w:b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kern w:val="2"/>
          <w:sz w:val="32"/>
          <w:szCs w:val="32"/>
          <w:lang w:eastAsia="zh-CN"/>
        </w:rPr>
        <w:t>附件</w:t>
      </w:r>
    </w:p>
    <w:p w14:paraId="386CB0A7">
      <w:pPr>
        <w:numPr>
          <w:ilvl w:val="0"/>
          <w:numId w:val="1"/>
        </w:numPr>
        <w:spacing w:after="0" w:line="360" w:lineRule="auto"/>
        <w:ind w:firstLine="602" w:firstLineChars="200"/>
        <w:jc w:val="left"/>
        <w:rPr>
          <w:rFonts w:hint="eastAsia" w:ascii="仿宋_GB2312" w:hAnsi="黑体" w:eastAsia="仿宋_GB2312"/>
          <w:b/>
          <w:sz w:val="30"/>
          <w:szCs w:val="30"/>
          <w:lang w:eastAsia="zh-CN"/>
        </w:rPr>
      </w:pPr>
      <w:bookmarkStart w:id="0" w:name="_GoBack"/>
      <w:r>
        <w:rPr>
          <w:rFonts w:hint="eastAsia" w:ascii="仿宋_GB2312" w:hAnsi="黑体" w:eastAsia="仿宋_GB2312"/>
          <w:b/>
          <w:sz w:val="30"/>
          <w:szCs w:val="30"/>
          <w:lang w:eastAsia="zh-CN"/>
        </w:rPr>
        <w:t>环境空气标准浓度限值</w:t>
      </w:r>
      <w:bookmarkEnd w:id="0"/>
    </w:p>
    <w:p w14:paraId="6F472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firstLine="544" w:firstLineChars="200"/>
        <w:jc w:val="left"/>
        <w:textAlignment w:val="auto"/>
        <w:rPr>
          <w:rFonts w:ascii="FangSong_GB2312" w:hAnsi="FangSong_GB2312" w:eastAsia="FangSong_GB2312" w:cs="FangSong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>城市环境空气质量评价项目包括</w:t>
      </w:r>
      <w:r>
        <w:rPr>
          <w:rFonts w:hint="default" w:ascii="Times New Roman" w:hAnsi="Times New Roman" w:eastAsia="仿宋_GB2312" w:cs="Times New Roman"/>
          <w:spacing w:val="-4"/>
          <w:sz w:val="28"/>
          <w:szCs w:val="28"/>
        </w:rPr>
        <w:t>SO</w:t>
      </w:r>
      <w:r>
        <w:rPr>
          <w:rFonts w:hint="default" w:ascii="Times New Roman" w:hAnsi="Times New Roman" w:eastAsia="仿宋_GB2312" w:cs="Times New Roman"/>
          <w:spacing w:val="-4"/>
          <w:position w:val="-2"/>
          <w:sz w:val="28"/>
          <w:szCs w:val="28"/>
        </w:rPr>
        <w:t>2</w:t>
      </w:r>
      <w:r>
        <w:rPr>
          <w:rFonts w:hint="default" w:ascii="Times New Roman" w:hAnsi="Times New Roman" w:eastAsia="仿宋_GB2312" w:cs="Times New Roman"/>
          <w:spacing w:val="-12"/>
          <w:position w:val="-2"/>
          <w:sz w:val="28"/>
          <w:szCs w:val="28"/>
        </w:rPr>
        <w:t xml:space="preserve"> </w:t>
      </w:r>
      <w:r>
        <w:rPr>
          <w:rFonts w:hint="default" w:ascii="Times New Roman" w:hAnsi="Times New Roman" w:eastAsia="仿宋_GB2312" w:cs="Times New Roman"/>
          <w:spacing w:val="-4"/>
          <w:sz w:val="28"/>
          <w:szCs w:val="28"/>
        </w:rPr>
        <w:t>、NO</w:t>
      </w:r>
      <w:r>
        <w:rPr>
          <w:rFonts w:hint="default" w:ascii="Times New Roman" w:hAnsi="Times New Roman" w:eastAsia="仿宋_GB2312" w:cs="Times New Roman"/>
          <w:spacing w:val="-4"/>
          <w:position w:val="-2"/>
          <w:sz w:val="28"/>
          <w:szCs w:val="28"/>
          <w:vertAlign w:val="subscript"/>
        </w:rPr>
        <w:t>2</w:t>
      </w:r>
      <w:r>
        <w:rPr>
          <w:rFonts w:hint="default" w:ascii="Times New Roman" w:hAnsi="Times New Roman" w:eastAsia="仿宋_GB2312" w:cs="Times New Roman"/>
          <w:spacing w:val="-10"/>
          <w:position w:val="-2"/>
          <w:sz w:val="28"/>
          <w:szCs w:val="28"/>
        </w:rPr>
        <w:t xml:space="preserve"> </w:t>
      </w:r>
      <w:r>
        <w:rPr>
          <w:rFonts w:hint="default" w:ascii="Times New Roman" w:hAnsi="Times New Roman" w:eastAsia="仿宋_GB2312" w:cs="Times New Roman"/>
          <w:spacing w:val="-4"/>
          <w:sz w:val="28"/>
          <w:szCs w:val="28"/>
        </w:rPr>
        <w:t>、C</w:t>
      </w:r>
      <w:r>
        <w:rPr>
          <w:rFonts w:hint="default" w:ascii="Times New Roman" w:hAnsi="Times New Roman" w:eastAsia="仿宋_GB2312" w:cs="Times New Roman"/>
          <w:spacing w:val="-5"/>
          <w:sz w:val="28"/>
          <w:szCs w:val="28"/>
        </w:rPr>
        <w:t>O</w:t>
      </w:r>
      <w:r>
        <w:rPr>
          <w:rFonts w:hint="default" w:ascii="Times New Roman" w:hAnsi="Times New Roman" w:eastAsia="仿宋_GB2312" w:cs="Times New Roman"/>
          <w:spacing w:val="-37"/>
          <w:sz w:val="28"/>
          <w:szCs w:val="28"/>
        </w:rPr>
        <w:t xml:space="preserve"> </w:t>
      </w:r>
      <w:r>
        <w:rPr>
          <w:rFonts w:hint="default" w:ascii="Times New Roman" w:hAnsi="Times New Roman" w:eastAsia="仿宋_GB2312" w:cs="Times New Roman"/>
          <w:spacing w:val="-5"/>
          <w:sz w:val="28"/>
          <w:szCs w:val="28"/>
        </w:rPr>
        <w:t>、O</w:t>
      </w:r>
      <w:r>
        <w:rPr>
          <w:rFonts w:hint="default" w:ascii="Times New Roman" w:hAnsi="Times New Roman" w:eastAsia="仿宋_GB2312" w:cs="Times New Roman"/>
          <w:spacing w:val="-5"/>
          <w:position w:val="-2"/>
          <w:sz w:val="28"/>
          <w:szCs w:val="28"/>
          <w:vertAlign w:val="subscript"/>
        </w:rPr>
        <w:t>3</w:t>
      </w:r>
      <w:r>
        <w:rPr>
          <w:rFonts w:hint="default" w:ascii="Times New Roman" w:hAnsi="Times New Roman" w:eastAsia="仿宋_GB2312" w:cs="Times New Roman"/>
          <w:spacing w:val="-10"/>
          <w:position w:val="-2"/>
          <w:sz w:val="28"/>
          <w:szCs w:val="28"/>
        </w:rPr>
        <w:t xml:space="preserve"> </w:t>
      </w:r>
      <w:r>
        <w:rPr>
          <w:rFonts w:hint="default" w:ascii="Times New Roman" w:hAnsi="Times New Roman" w:eastAsia="仿宋_GB2312" w:cs="Times New Roman"/>
          <w:spacing w:val="-5"/>
          <w:sz w:val="28"/>
          <w:szCs w:val="28"/>
        </w:rPr>
        <w:t>、PM</w:t>
      </w:r>
      <w:r>
        <w:rPr>
          <w:rFonts w:hint="default" w:ascii="Times New Roman" w:hAnsi="Times New Roman" w:eastAsia="仿宋_GB2312" w:cs="Times New Roman"/>
          <w:spacing w:val="-5"/>
          <w:position w:val="-2"/>
          <w:sz w:val="28"/>
          <w:szCs w:val="28"/>
        </w:rPr>
        <w:t xml:space="preserve">10 </w:t>
      </w:r>
      <w:r>
        <w:rPr>
          <w:rFonts w:hint="default" w:ascii="Times New Roman" w:hAnsi="Times New Roman" w:eastAsia="仿宋_GB2312" w:cs="Times New Roman"/>
          <w:spacing w:val="-5"/>
          <w:sz w:val="28"/>
          <w:szCs w:val="28"/>
        </w:rPr>
        <w:t>和PM</w:t>
      </w:r>
      <w:r>
        <w:rPr>
          <w:rFonts w:hint="default" w:ascii="Times New Roman" w:hAnsi="Times New Roman" w:eastAsia="仿宋_GB2312" w:cs="Times New Roman"/>
          <w:spacing w:val="-5"/>
          <w:position w:val="-3"/>
          <w:sz w:val="28"/>
          <w:szCs w:val="28"/>
          <w:vertAlign w:val="subscript"/>
        </w:rPr>
        <w:t>2.5</w:t>
      </w:r>
      <w:r>
        <w:rPr>
          <w:rFonts w:hint="eastAsia" w:ascii="仿宋_GB2312" w:hAnsi="仿宋_GB2312" w:eastAsia="仿宋_GB2312" w:cs="仿宋_GB2312"/>
          <w:spacing w:val="-5"/>
          <w:position w:val="-3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pacing w:val="-5"/>
          <w:position w:val="-3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5"/>
          <w:sz w:val="28"/>
          <w:szCs w:val="28"/>
        </w:rPr>
        <w:t>评价标准按照《环境空气质量标准》（GB 3095-2026）执行，</w:t>
      </w:r>
      <w:r>
        <w:rPr>
          <w:rFonts w:hint="eastAsia" w:ascii="仿宋_GB2312" w:hAnsi="仿宋_GB2312" w:eastAsia="仿宋_GB2312" w:cs="仿宋_GB2312"/>
          <w:spacing w:val="-7"/>
          <w:sz w:val="28"/>
          <w:szCs w:val="28"/>
        </w:rPr>
        <w:t>详见表</w:t>
      </w:r>
      <w:r>
        <w:rPr>
          <w:rFonts w:hint="eastAsia" w:ascii="仿宋_GB2312" w:hAnsi="仿宋_GB2312" w:eastAsia="仿宋_GB2312" w:cs="仿宋_GB2312"/>
          <w:spacing w:val="-38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pacing w:val="-7"/>
          <w:sz w:val="28"/>
          <w:szCs w:val="28"/>
        </w:rPr>
        <w:t>1。</w:t>
      </w:r>
    </w:p>
    <w:p w14:paraId="2B9A51EF">
      <w:pPr>
        <w:spacing w:before="1" w:line="231" w:lineRule="auto"/>
        <w:ind w:left="2461"/>
      </w:pPr>
      <w:r>
        <w:rPr>
          <w:rFonts w:hint="eastAsia" w:ascii="仿宋_GB2312" w:hAnsi="仿宋_GB2312" w:eastAsia="仿宋_GB2312" w:cs="仿宋_GB2312"/>
          <w:b/>
          <w:bCs/>
          <w:spacing w:val="-4"/>
          <w:sz w:val="24"/>
          <w:szCs w:val="24"/>
        </w:rPr>
        <w:t>表</w:t>
      </w:r>
      <w:r>
        <w:rPr>
          <w:rFonts w:hint="eastAsia" w:ascii="仿宋_GB2312" w:hAnsi="仿宋_GB2312" w:eastAsia="仿宋_GB2312" w:cs="仿宋_GB2312"/>
          <w:spacing w:val="-32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pacing w:val="-4"/>
          <w:sz w:val="24"/>
          <w:szCs w:val="24"/>
        </w:rPr>
        <w:t>1  环境空气质量评价项目浓度限值</w:t>
      </w:r>
    </w:p>
    <w:tbl>
      <w:tblPr>
        <w:tblStyle w:val="14"/>
        <w:tblW w:w="8697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6"/>
        <w:gridCol w:w="1259"/>
        <w:gridCol w:w="1403"/>
        <w:gridCol w:w="1120"/>
        <w:gridCol w:w="1122"/>
        <w:gridCol w:w="1120"/>
        <w:gridCol w:w="1123"/>
        <w:gridCol w:w="884"/>
      </w:tblGrid>
      <w:tr w14:paraId="1A2B3D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666" w:type="dxa"/>
            <w:vMerge w:val="restart"/>
            <w:tcBorders>
              <w:top w:val="single" w:color="000000" w:sz="10" w:space="0"/>
              <w:left w:val="nil"/>
              <w:bottom w:val="nil"/>
            </w:tcBorders>
            <w:vAlign w:val="top"/>
          </w:tcPr>
          <w:p w14:paraId="76D03E87">
            <w:pPr>
              <w:spacing w:line="275" w:lineRule="auto"/>
              <w:rPr>
                <w:rFonts w:ascii="Arial"/>
                <w:sz w:val="21"/>
              </w:rPr>
            </w:pPr>
          </w:p>
          <w:p w14:paraId="1FDB455C">
            <w:pPr>
              <w:spacing w:before="69" w:line="219" w:lineRule="auto"/>
              <w:ind w:left="13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1"/>
                <w:szCs w:val="21"/>
              </w:rPr>
              <w:t>序号</w:t>
            </w:r>
          </w:p>
        </w:tc>
        <w:tc>
          <w:tcPr>
            <w:tcW w:w="1259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32A323BD">
            <w:pPr>
              <w:spacing w:line="275" w:lineRule="auto"/>
              <w:rPr>
                <w:rFonts w:ascii="Arial"/>
                <w:sz w:val="21"/>
              </w:rPr>
            </w:pPr>
          </w:p>
          <w:p w14:paraId="26BD5523">
            <w:pPr>
              <w:spacing w:before="68" w:line="218" w:lineRule="auto"/>
              <w:ind w:left="12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1"/>
                <w:szCs w:val="21"/>
              </w:rPr>
              <w:t>污染物项目</w:t>
            </w:r>
          </w:p>
        </w:tc>
        <w:tc>
          <w:tcPr>
            <w:tcW w:w="1403" w:type="dxa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018597D5">
            <w:pPr>
              <w:spacing w:line="275" w:lineRule="auto"/>
              <w:rPr>
                <w:rFonts w:ascii="Arial"/>
                <w:sz w:val="21"/>
              </w:rPr>
            </w:pPr>
          </w:p>
          <w:p w14:paraId="01183DFE">
            <w:pPr>
              <w:spacing w:before="68" w:line="220" w:lineRule="auto"/>
              <w:ind w:left="30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1"/>
                <w:szCs w:val="21"/>
              </w:rPr>
              <w:t>平均时间</w:t>
            </w:r>
          </w:p>
        </w:tc>
        <w:tc>
          <w:tcPr>
            <w:tcW w:w="2242" w:type="dxa"/>
            <w:gridSpan w:val="2"/>
            <w:tcBorders>
              <w:top w:val="single" w:color="000000" w:sz="10" w:space="0"/>
            </w:tcBorders>
            <w:vAlign w:val="top"/>
          </w:tcPr>
          <w:p w14:paraId="5CFC2D20">
            <w:pPr>
              <w:pStyle w:val="15"/>
              <w:spacing w:before="120" w:line="218" w:lineRule="auto"/>
              <w:ind w:left="242"/>
              <w:rPr>
                <w:sz w:val="13"/>
                <w:szCs w:val="13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</w:rPr>
              <w:t>过渡阶段浓度限值</w:t>
            </w:r>
            <w:r>
              <w:rPr>
                <w:rFonts w:ascii="仿宋" w:hAnsi="仿宋" w:eastAsia="仿宋" w:cs="仿宋"/>
                <w:spacing w:val="-45"/>
              </w:rPr>
              <w:t xml:space="preserve"> </w:t>
            </w:r>
            <w:r>
              <w:rPr>
                <w:b/>
                <w:bCs/>
                <w:spacing w:val="-3"/>
                <w:position w:val="6"/>
                <w:sz w:val="13"/>
                <w:szCs w:val="13"/>
              </w:rPr>
              <w:t>a</w:t>
            </w:r>
          </w:p>
        </w:tc>
        <w:tc>
          <w:tcPr>
            <w:tcW w:w="2243" w:type="dxa"/>
            <w:gridSpan w:val="2"/>
            <w:tcBorders>
              <w:top w:val="single" w:color="000000" w:sz="10" w:space="0"/>
            </w:tcBorders>
            <w:vAlign w:val="top"/>
          </w:tcPr>
          <w:p w14:paraId="67C7AE68">
            <w:pPr>
              <w:pStyle w:val="15"/>
              <w:spacing w:before="120" w:line="219" w:lineRule="auto"/>
              <w:ind w:left="662"/>
              <w:rPr>
                <w:sz w:val="13"/>
                <w:szCs w:val="13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</w:rPr>
              <w:t>浓度限值</w:t>
            </w:r>
            <w:r>
              <w:rPr>
                <w:rFonts w:ascii="仿宋" w:hAnsi="仿宋" w:eastAsia="仿宋" w:cs="仿宋"/>
                <w:spacing w:val="-43"/>
              </w:rPr>
              <w:t xml:space="preserve"> </w:t>
            </w:r>
            <w:r>
              <w:rPr>
                <w:b/>
                <w:bCs/>
                <w:spacing w:val="-5"/>
                <w:position w:val="6"/>
                <w:sz w:val="13"/>
                <w:szCs w:val="13"/>
              </w:rPr>
              <w:t>b</w:t>
            </w:r>
          </w:p>
        </w:tc>
        <w:tc>
          <w:tcPr>
            <w:tcW w:w="884" w:type="dxa"/>
            <w:vMerge w:val="restart"/>
            <w:tcBorders>
              <w:top w:val="single" w:color="000000" w:sz="10" w:space="0"/>
              <w:bottom w:val="nil"/>
              <w:right w:val="nil"/>
            </w:tcBorders>
            <w:vAlign w:val="top"/>
          </w:tcPr>
          <w:p w14:paraId="612CFDB5">
            <w:pPr>
              <w:spacing w:line="275" w:lineRule="auto"/>
              <w:rPr>
                <w:rFonts w:ascii="Arial"/>
                <w:sz w:val="21"/>
              </w:rPr>
            </w:pPr>
          </w:p>
          <w:p w14:paraId="1845094F">
            <w:pPr>
              <w:spacing w:before="68" w:line="218" w:lineRule="auto"/>
              <w:ind w:left="253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1"/>
                <w:szCs w:val="21"/>
              </w:rPr>
              <w:t>单位</w:t>
            </w:r>
          </w:p>
        </w:tc>
      </w:tr>
      <w:tr w14:paraId="4FF372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666" w:type="dxa"/>
            <w:vMerge w:val="continue"/>
            <w:tcBorders>
              <w:top w:val="nil"/>
              <w:left w:val="nil"/>
              <w:bottom w:val="single" w:color="000000" w:sz="10" w:space="0"/>
            </w:tcBorders>
            <w:vAlign w:val="top"/>
          </w:tcPr>
          <w:p w14:paraId="2CB4A294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Merge w:val="continue"/>
            <w:tcBorders>
              <w:top w:val="nil"/>
              <w:bottom w:val="single" w:color="000000" w:sz="10" w:space="0"/>
            </w:tcBorders>
            <w:vAlign w:val="top"/>
          </w:tcPr>
          <w:p w14:paraId="2DFC8F7B"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vMerge w:val="continue"/>
            <w:tcBorders>
              <w:top w:val="nil"/>
              <w:bottom w:val="single" w:color="000000" w:sz="10" w:space="0"/>
            </w:tcBorders>
            <w:vAlign w:val="top"/>
          </w:tcPr>
          <w:p w14:paraId="7B77D555">
            <w:pPr>
              <w:rPr>
                <w:rFonts w:ascii="Arial"/>
                <w:sz w:val="21"/>
              </w:rPr>
            </w:pPr>
          </w:p>
        </w:tc>
        <w:tc>
          <w:tcPr>
            <w:tcW w:w="1120" w:type="dxa"/>
            <w:tcBorders>
              <w:bottom w:val="single" w:color="000000" w:sz="10" w:space="0"/>
            </w:tcBorders>
            <w:vAlign w:val="top"/>
          </w:tcPr>
          <w:p w14:paraId="67120DD2">
            <w:pPr>
              <w:spacing w:before="114" w:line="221" w:lineRule="auto"/>
              <w:ind w:left="37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b/>
                <w:bCs/>
                <w:spacing w:val="-10"/>
                <w:sz w:val="21"/>
                <w:szCs w:val="21"/>
              </w:rPr>
              <w:t>一级</w:t>
            </w:r>
          </w:p>
        </w:tc>
        <w:tc>
          <w:tcPr>
            <w:tcW w:w="1122" w:type="dxa"/>
            <w:tcBorders>
              <w:bottom w:val="single" w:color="000000" w:sz="10" w:space="0"/>
            </w:tcBorders>
            <w:vAlign w:val="top"/>
          </w:tcPr>
          <w:p w14:paraId="2B46233D">
            <w:pPr>
              <w:spacing w:before="114" w:line="221" w:lineRule="auto"/>
              <w:ind w:left="37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1120" w:type="dxa"/>
            <w:tcBorders>
              <w:bottom w:val="single" w:color="000000" w:sz="10" w:space="0"/>
            </w:tcBorders>
            <w:vAlign w:val="top"/>
          </w:tcPr>
          <w:p w14:paraId="187A94C4">
            <w:pPr>
              <w:spacing w:before="114" w:line="221" w:lineRule="auto"/>
              <w:ind w:left="371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b/>
                <w:bCs/>
                <w:spacing w:val="-10"/>
                <w:sz w:val="21"/>
                <w:szCs w:val="21"/>
              </w:rPr>
              <w:t>一级</w:t>
            </w:r>
          </w:p>
        </w:tc>
        <w:tc>
          <w:tcPr>
            <w:tcW w:w="1123" w:type="dxa"/>
            <w:tcBorders>
              <w:bottom w:val="single" w:color="000000" w:sz="10" w:space="0"/>
            </w:tcBorders>
            <w:vAlign w:val="top"/>
          </w:tcPr>
          <w:p w14:paraId="66A3B970">
            <w:pPr>
              <w:spacing w:before="114" w:line="221" w:lineRule="auto"/>
              <w:ind w:left="374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1"/>
                <w:szCs w:val="21"/>
              </w:rPr>
              <w:t>二级</w:t>
            </w:r>
          </w:p>
        </w:tc>
        <w:tc>
          <w:tcPr>
            <w:tcW w:w="884" w:type="dxa"/>
            <w:vMerge w:val="continue"/>
            <w:tcBorders>
              <w:top w:val="nil"/>
              <w:bottom w:val="single" w:color="000000" w:sz="10" w:space="0"/>
              <w:right w:val="nil"/>
            </w:tcBorders>
            <w:vAlign w:val="top"/>
          </w:tcPr>
          <w:p w14:paraId="478C58B8">
            <w:pPr>
              <w:rPr>
                <w:rFonts w:ascii="Arial"/>
                <w:sz w:val="21"/>
              </w:rPr>
            </w:pPr>
          </w:p>
        </w:tc>
      </w:tr>
      <w:tr w14:paraId="736AC9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666" w:type="dxa"/>
            <w:vMerge w:val="restart"/>
            <w:tcBorders>
              <w:top w:val="single" w:color="000000" w:sz="10" w:space="0"/>
              <w:left w:val="nil"/>
              <w:bottom w:val="nil"/>
            </w:tcBorders>
            <w:vAlign w:val="top"/>
          </w:tcPr>
          <w:p w14:paraId="5149D40B">
            <w:pPr>
              <w:spacing w:line="333" w:lineRule="auto"/>
              <w:rPr>
                <w:rFonts w:ascii="Arial"/>
                <w:sz w:val="21"/>
              </w:rPr>
            </w:pPr>
          </w:p>
          <w:p w14:paraId="065BAEDF">
            <w:pPr>
              <w:pStyle w:val="15"/>
              <w:spacing w:before="60" w:line="236" w:lineRule="auto"/>
              <w:ind w:left="307"/>
            </w:pPr>
            <w:r>
              <w:t>1</w:t>
            </w:r>
          </w:p>
        </w:tc>
        <w:tc>
          <w:tcPr>
            <w:tcW w:w="1259" w:type="dxa"/>
            <w:vMerge w:val="restart"/>
            <w:tcBorders>
              <w:top w:val="single" w:color="000000" w:sz="10" w:space="0"/>
              <w:bottom w:val="nil"/>
            </w:tcBorders>
            <w:vAlign w:val="center"/>
          </w:tcPr>
          <w:p w14:paraId="227DBCDE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34" w:right="0" w:hanging="34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</w:rPr>
              <w:t>二氧化硫</w:t>
            </w:r>
            <w:r>
              <w:rPr>
                <w:rFonts w:hint="default" w:ascii="Times New Roman" w:hAnsi="Times New Roman" w:eastAsia="仿宋_GB2312" w:cs="Times New Roman"/>
                <w:spacing w:val="-2"/>
              </w:rPr>
              <w:t>（SO</w:t>
            </w:r>
            <w:r>
              <w:rPr>
                <w:rFonts w:hint="default" w:ascii="Times New Roman" w:hAnsi="Times New Roman" w:eastAsia="仿宋_GB2312" w:cs="Times New Roman"/>
                <w:spacing w:val="-2"/>
                <w:sz w:val="13"/>
                <w:szCs w:val="13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pacing w:val="-2"/>
              </w:rPr>
              <w:t>）</w:t>
            </w:r>
          </w:p>
        </w:tc>
        <w:tc>
          <w:tcPr>
            <w:tcW w:w="1403" w:type="dxa"/>
            <w:tcBorders>
              <w:top w:val="single" w:color="000000" w:sz="10" w:space="0"/>
            </w:tcBorders>
            <w:vAlign w:val="top"/>
          </w:tcPr>
          <w:p w14:paraId="454EA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1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1"/>
                <w:szCs w:val="21"/>
              </w:rPr>
              <w:t>年平均</w:t>
            </w:r>
          </w:p>
        </w:tc>
        <w:tc>
          <w:tcPr>
            <w:tcW w:w="1120" w:type="dxa"/>
            <w:tcBorders>
              <w:top w:val="single" w:color="000000" w:sz="10" w:space="0"/>
            </w:tcBorders>
            <w:vAlign w:val="center"/>
          </w:tcPr>
          <w:p w14:paraId="44B517C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3"/>
              <w:jc w:val="left"/>
              <w:textAlignment w:val="auto"/>
            </w:pPr>
            <w:r>
              <w:rPr>
                <w:spacing w:val="-2"/>
              </w:rPr>
              <w:t>20</w:t>
            </w:r>
          </w:p>
        </w:tc>
        <w:tc>
          <w:tcPr>
            <w:tcW w:w="1122" w:type="dxa"/>
            <w:tcBorders>
              <w:top w:val="single" w:color="000000" w:sz="10" w:space="0"/>
            </w:tcBorders>
            <w:vAlign w:val="center"/>
          </w:tcPr>
          <w:p w14:paraId="26255E1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8"/>
              <w:jc w:val="left"/>
              <w:textAlignment w:val="auto"/>
            </w:pPr>
            <w:r>
              <w:rPr>
                <w:spacing w:val="-4"/>
              </w:rPr>
              <w:t>60</w:t>
            </w:r>
          </w:p>
        </w:tc>
        <w:tc>
          <w:tcPr>
            <w:tcW w:w="1120" w:type="dxa"/>
            <w:tcBorders>
              <w:top w:val="single" w:color="000000" w:sz="10" w:space="0"/>
            </w:tcBorders>
            <w:vAlign w:val="center"/>
          </w:tcPr>
          <w:p w14:paraId="0BC79C9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3"/>
              <w:jc w:val="left"/>
              <w:textAlignment w:val="auto"/>
            </w:pPr>
            <w:r>
              <w:rPr>
                <w:spacing w:val="-1"/>
              </w:rPr>
              <w:t>20</w:t>
            </w:r>
          </w:p>
        </w:tc>
        <w:tc>
          <w:tcPr>
            <w:tcW w:w="1123" w:type="dxa"/>
            <w:tcBorders>
              <w:top w:val="single" w:color="000000" w:sz="10" w:space="0"/>
            </w:tcBorders>
            <w:vAlign w:val="center"/>
          </w:tcPr>
          <w:p w14:paraId="3F99C06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4"/>
              <w:jc w:val="left"/>
              <w:textAlignment w:val="auto"/>
            </w:pPr>
            <w:r>
              <w:rPr>
                <w:spacing w:val="-1"/>
              </w:rPr>
              <w:t>20</w:t>
            </w:r>
          </w:p>
        </w:tc>
        <w:tc>
          <w:tcPr>
            <w:tcW w:w="884" w:type="dxa"/>
            <w:vMerge w:val="restart"/>
            <w:tcBorders>
              <w:top w:val="single" w:color="000000" w:sz="10" w:space="0"/>
              <w:bottom w:val="nil"/>
              <w:right w:val="nil"/>
            </w:tcBorders>
            <w:vAlign w:val="top"/>
          </w:tcPr>
          <w:p w14:paraId="2E63A21A">
            <w:pPr>
              <w:spacing w:line="268" w:lineRule="auto"/>
              <w:rPr>
                <w:rFonts w:ascii="Arial"/>
                <w:sz w:val="21"/>
              </w:rPr>
            </w:pPr>
          </w:p>
          <w:p w14:paraId="63DA372A">
            <w:pPr>
              <w:spacing w:line="269" w:lineRule="auto"/>
              <w:rPr>
                <w:rFonts w:ascii="Arial"/>
                <w:sz w:val="21"/>
              </w:rPr>
            </w:pPr>
          </w:p>
          <w:p w14:paraId="7F0EEA83">
            <w:pPr>
              <w:pStyle w:val="15"/>
              <w:spacing w:before="60" w:line="193" w:lineRule="auto"/>
              <w:jc w:val="center"/>
            </w:pPr>
            <w:r>
              <w:rPr>
                <w:spacing w:val="-3"/>
              </w:rPr>
              <w:t>μg/m³</w:t>
            </w:r>
          </w:p>
        </w:tc>
      </w:tr>
      <w:tr w14:paraId="2E3E29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666" w:type="dxa"/>
            <w:vMerge w:val="continue"/>
            <w:tcBorders>
              <w:top w:val="nil"/>
              <w:left w:val="nil"/>
            </w:tcBorders>
            <w:vAlign w:val="top"/>
          </w:tcPr>
          <w:p w14:paraId="68B18375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Merge w:val="continue"/>
            <w:tcBorders>
              <w:top w:val="nil"/>
            </w:tcBorders>
            <w:vAlign w:val="top"/>
          </w:tcPr>
          <w:p w14:paraId="0959B550">
            <w:pPr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1403" w:type="dxa"/>
            <w:vAlign w:val="top"/>
          </w:tcPr>
          <w:p w14:paraId="330F3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5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19"/>
                <w:sz w:val="21"/>
                <w:szCs w:val="21"/>
              </w:rPr>
              <w:t>日平均</w:t>
            </w:r>
          </w:p>
        </w:tc>
        <w:tc>
          <w:tcPr>
            <w:tcW w:w="1120" w:type="dxa"/>
            <w:vAlign w:val="center"/>
          </w:tcPr>
          <w:p w14:paraId="7F96F351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9"/>
              <w:jc w:val="left"/>
              <w:textAlignment w:val="auto"/>
            </w:pPr>
            <w:r>
              <w:rPr>
                <w:spacing w:val="-5"/>
              </w:rPr>
              <w:t>50</w:t>
            </w:r>
          </w:p>
        </w:tc>
        <w:tc>
          <w:tcPr>
            <w:tcW w:w="1122" w:type="dxa"/>
            <w:vAlign w:val="center"/>
          </w:tcPr>
          <w:p w14:paraId="5A26AFD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31"/>
              <w:jc w:val="left"/>
              <w:textAlignment w:val="auto"/>
            </w:pPr>
            <w:r>
              <w:rPr>
                <w:spacing w:val="-8"/>
              </w:rPr>
              <w:t>150</w:t>
            </w:r>
          </w:p>
        </w:tc>
        <w:tc>
          <w:tcPr>
            <w:tcW w:w="1120" w:type="dxa"/>
            <w:vAlign w:val="center"/>
          </w:tcPr>
          <w:p w14:paraId="360B459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9"/>
              <w:jc w:val="left"/>
              <w:textAlignment w:val="auto"/>
            </w:pPr>
            <w:r>
              <w:rPr>
                <w:spacing w:val="-3"/>
              </w:rPr>
              <w:t>50</w:t>
            </w:r>
          </w:p>
        </w:tc>
        <w:tc>
          <w:tcPr>
            <w:tcW w:w="1123" w:type="dxa"/>
            <w:vAlign w:val="center"/>
          </w:tcPr>
          <w:p w14:paraId="24C43FB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9"/>
              <w:jc w:val="left"/>
              <w:textAlignment w:val="auto"/>
            </w:pPr>
            <w:r>
              <w:rPr>
                <w:spacing w:val="-3"/>
              </w:rPr>
              <w:t>50</w:t>
            </w:r>
          </w:p>
        </w:tc>
        <w:tc>
          <w:tcPr>
            <w:tcW w:w="884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6B719DA">
            <w:pPr>
              <w:rPr>
                <w:rFonts w:ascii="Arial"/>
                <w:sz w:val="21"/>
              </w:rPr>
            </w:pPr>
          </w:p>
        </w:tc>
      </w:tr>
      <w:tr w14:paraId="79248E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666" w:type="dxa"/>
            <w:vMerge w:val="restart"/>
            <w:tcBorders>
              <w:left w:val="nil"/>
              <w:bottom w:val="nil"/>
            </w:tcBorders>
            <w:vAlign w:val="top"/>
          </w:tcPr>
          <w:p w14:paraId="7FC63210">
            <w:pPr>
              <w:spacing w:line="345" w:lineRule="auto"/>
              <w:rPr>
                <w:rFonts w:ascii="Arial"/>
                <w:sz w:val="21"/>
              </w:rPr>
            </w:pPr>
          </w:p>
          <w:p w14:paraId="218D0FA4">
            <w:pPr>
              <w:pStyle w:val="15"/>
              <w:spacing w:before="61" w:line="236" w:lineRule="auto"/>
              <w:ind w:left="287"/>
            </w:pPr>
            <w:r>
              <w:t>2</w:t>
            </w:r>
          </w:p>
        </w:tc>
        <w:tc>
          <w:tcPr>
            <w:tcW w:w="1259" w:type="dxa"/>
            <w:vMerge w:val="restart"/>
            <w:tcBorders>
              <w:bottom w:val="nil"/>
            </w:tcBorders>
            <w:vAlign w:val="top"/>
          </w:tcPr>
          <w:p w14:paraId="6BED0939">
            <w:pPr>
              <w:pStyle w:val="15"/>
              <w:spacing w:before="227" w:line="312" w:lineRule="auto"/>
              <w:ind w:left="249" w:right="215" w:hanging="17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</w:rPr>
              <w:t>二氧化氮</w:t>
            </w:r>
            <w:r>
              <w:rPr>
                <w:rFonts w:hint="default" w:ascii="Times New Roman" w:hAnsi="Times New Roman" w:eastAsia="仿宋_GB2312" w:cs="Times New Roman"/>
                <w:spacing w:val="-2"/>
              </w:rPr>
              <w:t>（NO</w:t>
            </w:r>
            <w:r>
              <w:rPr>
                <w:rFonts w:hint="default" w:ascii="Times New Roman" w:hAnsi="Times New Roman" w:eastAsia="仿宋_GB2312" w:cs="Times New Roman"/>
                <w:spacing w:val="-2"/>
                <w:sz w:val="13"/>
                <w:szCs w:val="13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pacing w:val="-2"/>
              </w:rPr>
              <w:t>）</w:t>
            </w:r>
          </w:p>
        </w:tc>
        <w:tc>
          <w:tcPr>
            <w:tcW w:w="1403" w:type="dxa"/>
            <w:vAlign w:val="top"/>
          </w:tcPr>
          <w:p w14:paraId="22F2B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1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1"/>
                <w:szCs w:val="21"/>
              </w:rPr>
              <w:t>年平均</w:t>
            </w:r>
          </w:p>
        </w:tc>
        <w:tc>
          <w:tcPr>
            <w:tcW w:w="1120" w:type="dxa"/>
            <w:vAlign w:val="center"/>
          </w:tcPr>
          <w:p w14:paraId="44635F94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2"/>
              <w:jc w:val="left"/>
              <w:textAlignment w:val="auto"/>
            </w:pPr>
            <w:r>
              <w:rPr>
                <w:spacing w:val="-2"/>
              </w:rPr>
              <w:t>40</w:t>
            </w:r>
          </w:p>
        </w:tc>
        <w:tc>
          <w:tcPr>
            <w:tcW w:w="1122" w:type="dxa"/>
            <w:vAlign w:val="center"/>
          </w:tcPr>
          <w:p w14:paraId="25AA66E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2"/>
              <w:jc w:val="left"/>
              <w:textAlignment w:val="auto"/>
            </w:pPr>
            <w:r>
              <w:rPr>
                <w:spacing w:val="-2"/>
              </w:rPr>
              <w:t>40</w:t>
            </w:r>
          </w:p>
        </w:tc>
        <w:tc>
          <w:tcPr>
            <w:tcW w:w="1120" w:type="dxa"/>
            <w:vAlign w:val="center"/>
          </w:tcPr>
          <w:p w14:paraId="183FCCA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8"/>
              <w:jc w:val="left"/>
              <w:textAlignment w:val="auto"/>
            </w:pPr>
            <w:r>
              <w:rPr>
                <w:spacing w:val="-2"/>
              </w:rPr>
              <w:t>30</w:t>
            </w:r>
          </w:p>
        </w:tc>
        <w:tc>
          <w:tcPr>
            <w:tcW w:w="1123" w:type="dxa"/>
            <w:vAlign w:val="center"/>
          </w:tcPr>
          <w:p w14:paraId="51074B96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8"/>
              <w:jc w:val="left"/>
              <w:textAlignment w:val="auto"/>
            </w:pPr>
            <w:r>
              <w:rPr>
                <w:spacing w:val="-2"/>
              </w:rPr>
              <w:t>30</w:t>
            </w:r>
          </w:p>
        </w:tc>
        <w:tc>
          <w:tcPr>
            <w:tcW w:w="884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E59FFC2">
            <w:pPr>
              <w:rPr>
                <w:rFonts w:ascii="Arial"/>
                <w:sz w:val="21"/>
              </w:rPr>
            </w:pPr>
          </w:p>
        </w:tc>
      </w:tr>
      <w:tr w14:paraId="475C10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666" w:type="dxa"/>
            <w:vMerge w:val="continue"/>
            <w:tcBorders>
              <w:top w:val="nil"/>
              <w:left w:val="nil"/>
            </w:tcBorders>
            <w:vAlign w:val="top"/>
          </w:tcPr>
          <w:p w14:paraId="67620841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Merge w:val="continue"/>
            <w:tcBorders>
              <w:top w:val="nil"/>
            </w:tcBorders>
            <w:vAlign w:val="top"/>
          </w:tcPr>
          <w:p w14:paraId="1CA7D264">
            <w:pPr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1403" w:type="dxa"/>
            <w:vAlign w:val="top"/>
          </w:tcPr>
          <w:p w14:paraId="7C790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5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19"/>
                <w:sz w:val="21"/>
                <w:szCs w:val="21"/>
              </w:rPr>
              <w:t>日平均</w:t>
            </w:r>
          </w:p>
        </w:tc>
        <w:tc>
          <w:tcPr>
            <w:tcW w:w="1120" w:type="dxa"/>
            <w:vAlign w:val="center"/>
          </w:tcPr>
          <w:p w14:paraId="5DB3024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71"/>
              <w:jc w:val="left"/>
              <w:textAlignment w:val="auto"/>
            </w:pPr>
            <w:r>
              <w:rPr>
                <w:spacing w:val="-6"/>
              </w:rPr>
              <w:t>80</w:t>
            </w:r>
          </w:p>
        </w:tc>
        <w:tc>
          <w:tcPr>
            <w:tcW w:w="1122" w:type="dxa"/>
            <w:vAlign w:val="center"/>
          </w:tcPr>
          <w:p w14:paraId="63EADD97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72"/>
              <w:jc w:val="left"/>
              <w:textAlignment w:val="auto"/>
            </w:pPr>
            <w:r>
              <w:rPr>
                <w:spacing w:val="-6"/>
              </w:rPr>
              <w:t>80</w:t>
            </w:r>
          </w:p>
        </w:tc>
        <w:tc>
          <w:tcPr>
            <w:tcW w:w="1120" w:type="dxa"/>
            <w:vAlign w:val="center"/>
          </w:tcPr>
          <w:p w14:paraId="3E9C1C21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9"/>
              <w:jc w:val="left"/>
              <w:textAlignment w:val="auto"/>
            </w:pPr>
            <w:r>
              <w:rPr>
                <w:spacing w:val="-3"/>
              </w:rPr>
              <w:t>50</w:t>
            </w:r>
          </w:p>
        </w:tc>
        <w:tc>
          <w:tcPr>
            <w:tcW w:w="1123" w:type="dxa"/>
            <w:vAlign w:val="center"/>
          </w:tcPr>
          <w:p w14:paraId="394338B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9"/>
              <w:jc w:val="left"/>
              <w:textAlignment w:val="auto"/>
            </w:pPr>
            <w:r>
              <w:rPr>
                <w:spacing w:val="-3"/>
              </w:rPr>
              <w:t>50</w:t>
            </w:r>
          </w:p>
        </w:tc>
        <w:tc>
          <w:tcPr>
            <w:tcW w:w="884" w:type="dxa"/>
            <w:vMerge w:val="continue"/>
            <w:tcBorders>
              <w:top w:val="nil"/>
              <w:right w:val="nil"/>
            </w:tcBorders>
            <w:vAlign w:val="top"/>
          </w:tcPr>
          <w:p w14:paraId="5EC2E79C">
            <w:pPr>
              <w:rPr>
                <w:rFonts w:ascii="Arial"/>
                <w:sz w:val="21"/>
              </w:rPr>
            </w:pPr>
          </w:p>
        </w:tc>
      </w:tr>
      <w:tr w14:paraId="3157E2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66" w:type="dxa"/>
            <w:tcBorders>
              <w:left w:val="nil"/>
            </w:tcBorders>
            <w:vAlign w:val="top"/>
          </w:tcPr>
          <w:p w14:paraId="7BAD7412">
            <w:pPr>
              <w:pStyle w:val="15"/>
              <w:spacing w:before="300" w:line="234" w:lineRule="auto"/>
              <w:ind w:left="291"/>
            </w:pPr>
            <w:r>
              <w:t>3</w:t>
            </w:r>
          </w:p>
        </w:tc>
        <w:tc>
          <w:tcPr>
            <w:tcW w:w="1259" w:type="dxa"/>
            <w:vAlign w:val="center"/>
          </w:tcPr>
          <w:p w14:paraId="3CD0C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1"/>
                <w:szCs w:val="21"/>
              </w:rPr>
              <w:t>一氧化碳</w:t>
            </w:r>
          </w:p>
          <w:p w14:paraId="30FE5E5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</w:rPr>
              <w:t>（CO）</w:t>
            </w:r>
          </w:p>
        </w:tc>
        <w:tc>
          <w:tcPr>
            <w:tcW w:w="1403" w:type="dxa"/>
            <w:vAlign w:val="top"/>
          </w:tcPr>
          <w:p w14:paraId="7B7EB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5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19"/>
                <w:sz w:val="21"/>
                <w:szCs w:val="21"/>
              </w:rPr>
              <w:t>日平均</w:t>
            </w:r>
          </w:p>
        </w:tc>
        <w:tc>
          <w:tcPr>
            <w:tcW w:w="1120" w:type="dxa"/>
            <w:vAlign w:val="center"/>
          </w:tcPr>
          <w:p w14:paraId="16C5F2B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515"/>
              <w:jc w:val="left"/>
              <w:textAlignment w:val="auto"/>
            </w:pPr>
            <w:r>
              <w:t>4</w:t>
            </w:r>
          </w:p>
        </w:tc>
        <w:tc>
          <w:tcPr>
            <w:tcW w:w="1122" w:type="dxa"/>
            <w:vAlign w:val="center"/>
          </w:tcPr>
          <w:p w14:paraId="29983098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515"/>
              <w:jc w:val="left"/>
              <w:textAlignment w:val="auto"/>
            </w:pPr>
            <w:r>
              <w:t>4</w:t>
            </w:r>
          </w:p>
        </w:tc>
        <w:tc>
          <w:tcPr>
            <w:tcW w:w="1120" w:type="dxa"/>
            <w:vAlign w:val="center"/>
          </w:tcPr>
          <w:p w14:paraId="5ECF548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515"/>
              <w:jc w:val="left"/>
              <w:textAlignment w:val="auto"/>
            </w:pPr>
            <w:r>
              <w:t>4</w:t>
            </w:r>
          </w:p>
        </w:tc>
        <w:tc>
          <w:tcPr>
            <w:tcW w:w="1123" w:type="dxa"/>
            <w:vAlign w:val="center"/>
          </w:tcPr>
          <w:p w14:paraId="1EA0127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515"/>
              <w:jc w:val="left"/>
              <w:textAlignment w:val="auto"/>
            </w:pPr>
            <w:r>
              <w:t>4</w:t>
            </w:r>
          </w:p>
        </w:tc>
        <w:tc>
          <w:tcPr>
            <w:tcW w:w="884" w:type="dxa"/>
            <w:tcBorders>
              <w:right w:val="nil"/>
            </w:tcBorders>
            <w:vAlign w:val="top"/>
          </w:tcPr>
          <w:p w14:paraId="3CD08E86">
            <w:pPr>
              <w:pStyle w:val="15"/>
              <w:spacing w:before="296" w:line="193" w:lineRule="auto"/>
              <w:ind w:left="172" w:leftChars="0"/>
            </w:pPr>
            <w:r>
              <w:rPr>
                <w:spacing w:val="-1"/>
              </w:rPr>
              <w:t>mg/m³</w:t>
            </w:r>
          </w:p>
        </w:tc>
      </w:tr>
      <w:tr w14:paraId="4FD1C9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6" w:hRule="atLeast"/>
        </w:trPr>
        <w:tc>
          <w:tcPr>
            <w:tcW w:w="666" w:type="dxa"/>
            <w:tcBorders>
              <w:left w:val="nil"/>
            </w:tcBorders>
            <w:vAlign w:val="top"/>
          </w:tcPr>
          <w:p w14:paraId="21CAE47A">
            <w:pPr>
              <w:spacing w:line="242" w:lineRule="auto"/>
              <w:rPr>
                <w:rFonts w:ascii="Arial"/>
                <w:sz w:val="21"/>
              </w:rPr>
            </w:pPr>
          </w:p>
          <w:p w14:paraId="3C333469">
            <w:pPr>
              <w:pStyle w:val="15"/>
              <w:spacing w:before="60" w:line="236" w:lineRule="auto"/>
              <w:ind w:left="286"/>
            </w:pPr>
            <w:r>
              <w:t>4</w:t>
            </w:r>
          </w:p>
        </w:tc>
        <w:tc>
          <w:tcPr>
            <w:tcW w:w="1259" w:type="dxa"/>
            <w:vAlign w:val="top"/>
          </w:tcPr>
          <w:p w14:paraId="29C5EB48">
            <w:pPr>
              <w:pStyle w:val="15"/>
              <w:spacing w:before="299" w:line="233" w:lineRule="auto"/>
              <w:ind w:left="12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</w:rPr>
              <w:t>臭氧（O</w:t>
            </w:r>
            <w:r>
              <w:rPr>
                <w:rFonts w:hint="default" w:ascii="Times New Roman" w:hAnsi="Times New Roman" w:eastAsia="仿宋_GB2312" w:cs="Times New Roman"/>
                <w:spacing w:val="-2"/>
                <w:sz w:val="13"/>
                <w:szCs w:val="13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pacing w:val="-2"/>
              </w:rPr>
              <w:t>）</w:t>
            </w:r>
          </w:p>
        </w:tc>
        <w:tc>
          <w:tcPr>
            <w:tcW w:w="1403" w:type="dxa"/>
            <w:vAlign w:val="top"/>
          </w:tcPr>
          <w:p w14:paraId="23547BC8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220" w:right="205" w:firstLine="230"/>
              <w:jc w:val="left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spacing w:val="-19"/>
              </w:rPr>
              <w:t>日最大</w:t>
            </w:r>
            <w:r>
              <w:rPr>
                <w:rFonts w:hint="default" w:ascii="Times New Roman" w:hAnsi="Times New Roman" w:eastAsia="仿宋_GB2312" w:cs="Times New Roma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5"/>
              </w:rPr>
              <w:t>8</w:t>
            </w:r>
            <w:r>
              <w:rPr>
                <w:rFonts w:hint="default" w:ascii="Times New Roman" w:hAnsi="Times New Roman" w:eastAsia="仿宋_GB2312" w:cs="Times New Roman"/>
                <w:spacing w:val="1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5"/>
              </w:rPr>
              <w:t>小时平均</w:t>
            </w:r>
          </w:p>
        </w:tc>
        <w:tc>
          <w:tcPr>
            <w:tcW w:w="1120" w:type="dxa"/>
            <w:vAlign w:val="center"/>
          </w:tcPr>
          <w:p w14:paraId="0D4CFE51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jc w:val="center"/>
              <w:textAlignment w:val="auto"/>
            </w:pPr>
            <w:r>
              <w:rPr>
                <w:spacing w:val="-8"/>
              </w:rPr>
              <w:t>100</w:t>
            </w:r>
          </w:p>
        </w:tc>
        <w:tc>
          <w:tcPr>
            <w:tcW w:w="1122" w:type="dxa"/>
            <w:vAlign w:val="center"/>
          </w:tcPr>
          <w:p w14:paraId="030D1BA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jc w:val="center"/>
              <w:textAlignment w:val="auto"/>
            </w:pPr>
            <w:r>
              <w:rPr>
                <w:spacing w:val="-8"/>
              </w:rPr>
              <w:t>160</w:t>
            </w:r>
          </w:p>
        </w:tc>
        <w:tc>
          <w:tcPr>
            <w:tcW w:w="1120" w:type="dxa"/>
            <w:vAlign w:val="center"/>
          </w:tcPr>
          <w:p w14:paraId="73C6DB8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jc w:val="center"/>
              <w:textAlignment w:val="auto"/>
            </w:pPr>
            <w:r>
              <w:rPr>
                <w:spacing w:val="-6"/>
              </w:rPr>
              <w:t>100</w:t>
            </w:r>
          </w:p>
        </w:tc>
        <w:tc>
          <w:tcPr>
            <w:tcW w:w="1123" w:type="dxa"/>
            <w:vAlign w:val="center"/>
          </w:tcPr>
          <w:p w14:paraId="41920948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jc w:val="center"/>
              <w:textAlignment w:val="auto"/>
            </w:pPr>
            <w:r>
              <w:rPr>
                <w:spacing w:val="-6"/>
              </w:rPr>
              <w:t>160</w:t>
            </w:r>
          </w:p>
        </w:tc>
        <w:tc>
          <w:tcPr>
            <w:tcW w:w="884" w:type="dxa"/>
            <w:vMerge w:val="restart"/>
            <w:tcBorders>
              <w:bottom w:val="nil"/>
              <w:right w:val="nil"/>
            </w:tcBorders>
            <w:vAlign w:val="top"/>
          </w:tcPr>
          <w:p w14:paraId="7B638F54">
            <w:pPr>
              <w:spacing w:line="297" w:lineRule="auto"/>
              <w:rPr>
                <w:rFonts w:ascii="Arial"/>
                <w:sz w:val="21"/>
              </w:rPr>
            </w:pPr>
          </w:p>
          <w:p w14:paraId="5600D8D1">
            <w:pPr>
              <w:spacing w:line="297" w:lineRule="auto"/>
              <w:rPr>
                <w:rFonts w:ascii="Arial"/>
                <w:sz w:val="21"/>
              </w:rPr>
            </w:pPr>
          </w:p>
          <w:p w14:paraId="132EEFF6">
            <w:pPr>
              <w:spacing w:line="297" w:lineRule="auto"/>
              <w:jc w:val="center"/>
              <w:rPr>
                <w:rFonts w:ascii="Arial"/>
                <w:sz w:val="21"/>
              </w:rPr>
            </w:pPr>
          </w:p>
          <w:p w14:paraId="55717836">
            <w:pPr>
              <w:pStyle w:val="15"/>
              <w:spacing w:before="60" w:line="193" w:lineRule="auto"/>
              <w:jc w:val="center"/>
            </w:pPr>
            <w:r>
              <w:rPr>
                <w:spacing w:val="-3"/>
              </w:rPr>
              <w:t>μg/m³</w:t>
            </w:r>
          </w:p>
        </w:tc>
      </w:tr>
      <w:tr w14:paraId="7E366E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666" w:type="dxa"/>
            <w:vMerge w:val="restart"/>
            <w:tcBorders>
              <w:left w:val="nil"/>
              <w:bottom w:val="nil"/>
            </w:tcBorders>
            <w:vAlign w:val="top"/>
          </w:tcPr>
          <w:p w14:paraId="5832D97B">
            <w:pPr>
              <w:spacing w:line="357" w:lineRule="auto"/>
              <w:rPr>
                <w:rFonts w:ascii="Arial"/>
                <w:sz w:val="21"/>
              </w:rPr>
            </w:pPr>
          </w:p>
          <w:p w14:paraId="18C429D5">
            <w:pPr>
              <w:pStyle w:val="15"/>
              <w:spacing w:before="60" w:line="234" w:lineRule="auto"/>
              <w:ind w:left="293"/>
            </w:pPr>
            <w:r>
              <w:t>5</w:t>
            </w:r>
          </w:p>
        </w:tc>
        <w:tc>
          <w:tcPr>
            <w:tcW w:w="1259" w:type="dxa"/>
            <w:vMerge w:val="restart"/>
            <w:tcBorders>
              <w:bottom w:val="nil"/>
            </w:tcBorders>
            <w:vAlign w:val="top"/>
          </w:tcPr>
          <w:p w14:paraId="1D4EDAB5">
            <w:pPr>
              <w:pStyle w:val="15"/>
              <w:spacing w:before="238" w:line="308" w:lineRule="auto"/>
              <w:ind w:left="213" w:right="217" w:firstLine="117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</w:rPr>
              <w:t>颗粒物</w:t>
            </w:r>
            <w:r>
              <w:rPr>
                <w:rFonts w:hint="default" w:ascii="Times New Roman" w:hAnsi="Times New Roman" w:eastAsia="仿宋_GB2312" w:cs="Times New Roman"/>
                <w:spacing w:val="-3"/>
              </w:rPr>
              <w:t>（PM</w:t>
            </w:r>
            <w:r>
              <w:rPr>
                <w:rFonts w:hint="default" w:ascii="Times New Roman" w:hAnsi="Times New Roman" w:eastAsia="仿宋_GB2312" w:cs="Times New Roman"/>
                <w:spacing w:val="-3"/>
                <w:sz w:val="13"/>
                <w:szCs w:val="13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pacing w:val="-3"/>
              </w:rPr>
              <w:t>）</w:t>
            </w:r>
          </w:p>
        </w:tc>
        <w:tc>
          <w:tcPr>
            <w:tcW w:w="1403" w:type="dxa"/>
            <w:vAlign w:val="top"/>
          </w:tcPr>
          <w:p w14:paraId="7490F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1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1"/>
                <w:szCs w:val="21"/>
              </w:rPr>
              <w:t>年平均</w:t>
            </w:r>
          </w:p>
        </w:tc>
        <w:tc>
          <w:tcPr>
            <w:tcW w:w="1120" w:type="dxa"/>
            <w:vAlign w:val="center"/>
          </w:tcPr>
          <w:p w14:paraId="39EE6BA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2"/>
              <w:jc w:val="left"/>
              <w:textAlignment w:val="auto"/>
            </w:pPr>
            <w:r>
              <w:rPr>
                <w:spacing w:val="-2"/>
              </w:rPr>
              <w:t>40</w:t>
            </w:r>
          </w:p>
        </w:tc>
        <w:tc>
          <w:tcPr>
            <w:tcW w:w="1122" w:type="dxa"/>
            <w:vAlign w:val="center"/>
          </w:tcPr>
          <w:p w14:paraId="41CD9DF8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8"/>
              <w:jc w:val="left"/>
              <w:textAlignment w:val="auto"/>
            </w:pPr>
            <w:r>
              <w:rPr>
                <w:spacing w:val="-4"/>
              </w:rPr>
              <w:t>60</w:t>
            </w:r>
          </w:p>
        </w:tc>
        <w:tc>
          <w:tcPr>
            <w:tcW w:w="1120" w:type="dxa"/>
            <w:vAlign w:val="center"/>
          </w:tcPr>
          <w:p w14:paraId="20FD2F56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3"/>
              <w:jc w:val="left"/>
              <w:textAlignment w:val="auto"/>
            </w:pPr>
            <w:r>
              <w:rPr>
                <w:spacing w:val="-1"/>
              </w:rPr>
              <w:t>20</w:t>
            </w:r>
          </w:p>
        </w:tc>
        <w:tc>
          <w:tcPr>
            <w:tcW w:w="1123" w:type="dxa"/>
            <w:vAlign w:val="center"/>
          </w:tcPr>
          <w:p w14:paraId="1019871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9"/>
              <w:jc w:val="left"/>
              <w:textAlignment w:val="auto"/>
            </w:pPr>
            <w:r>
              <w:rPr>
                <w:spacing w:val="-3"/>
              </w:rPr>
              <w:t>50</w:t>
            </w:r>
          </w:p>
        </w:tc>
        <w:tc>
          <w:tcPr>
            <w:tcW w:w="884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63EB103">
            <w:pPr>
              <w:rPr>
                <w:rFonts w:ascii="Arial"/>
                <w:sz w:val="21"/>
              </w:rPr>
            </w:pPr>
          </w:p>
        </w:tc>
      </w:tr>
      <w:tr w14:paraId="18EC63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666" w:type="dxa"/>
            <w:vMerge w:val="continue"/>
            <w:tcBorders>
              <w:top w:val="nil"/>
              <w:left w:val="nil"/>
            </w:tcBorders>
            <w:vAlign w:val="top"/>
          </w:tcPr>
          <w:p w14:paraId="0589A993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Merge w:val="continue"/>
            <w:tcBorders>
              <w:top w:val="nil"/>
            </w:tcBorders>
            <w:vAlign w:val="top"/>
          </w:tcPr>
          <w:p w14:paraId="599E0BC7">
            <w:pPr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1403" w:type="dxa"/>
            <w:vAlign w:val="top"/>
          </w:tcPr>
          <w:p w14:paraId="5889A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5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19"/>
                <w:sz w:val="21"/>
                <w:szCs w:val="21"/>
              </w:rPr>
              <w:t>日平均</w:t>
            </w:r>
          </w:p>
        </w:tc>
        <w:tc>
          <w:tcPr>
            <w:tcW w:w="1120" w:type="dxa"/>
            <w:vAlign w:val="center"/>
          </w:tcPr>
          <w:p w14:paraId="072BB95C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9"/>
              <w:jc w:val="left"/>
              <w:textAlignment w:val="auto"/>
            </w:pPr>
            <w:r>
              <w:rPr>
                <w:spacing w:val="-5"/>
              </w:rPr>
              <w:t>50</w:t>
            </w:r>
          </w:p>
        </w:tc>
        <w:tc>
          <w:tcPr>
            <w:tcW w:w="1122" w:type="dxa"/>
            <w:vAlign w:val="center"/>
          </w:tcPr>
          <w:p w14:paraId="2A118CF5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31"/>
              <w:jc w:val="left"/>
              <w:textAlignment w:val="auto"/>
            </w:pPr>
            <w:r>
              <w:rPr>
                <w:spacing w:val="-8"/>
              </w:rPr>
              <w:t>120</w:t>
            </w:r>
          </w:p>
        </w:tc>
        <w:tc>
          <w:tcPr>
            <w:tcW w:w="1120" w:type="dxa"/>
            <w:vAlign w:val="center"/>
          </w:tcPr>
          <w:p w14:paraId="40080D01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9"/>
              <w:jc w:val="left"/>
              <w:textAlignment w:val="auto"/>
            </w:pPr>
            <w:r>
              <w:rPr>
                <w:spacing w:val="-3"/>
              </w:rPr>
              <w:t>50</w:t>
            </w:r>
          </w:p>
        </w:tc>
        <w:tc>
          <w:tcPr>
            <w:tcW w:w="1123" w:type="dxa"/>
            <w:vAlign w:val="center"/>
          </w:tcPr>
          <w:p w14:paraId="107F4ED2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31"/>
              <w:jc w:val="left"/>
              <w:textAlignment w:val="auto"/>
            </w:pPr>
            <w:r>
              <w:rPr>
                <w:spacing w:val="-6"/>
              </w:rPr>
              <w:t>100</w:t>
            </w:r>
          </w:p>
        </w:tc>
        <w:tc>
          <w:tcPr>
            <w:tcW w:w="884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62E9AF63">
            <w:pPr>
              <w:rPr>
                <w:rFonts w:ascii="Arial"/>
                <w:sz w:val="21"/>
              </w:rPr>
            </w:pPr>
          </w:p>
        </w:tc>
      </w:tr>
      <w:tr w14:paraId="3EC414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666" w:type="dxa"/>
            <w:vMerge w:val="restart"/>
            <w:tcBorders>
              <w:left w:val="nil"/>
              <w:bottom w:val="nil"/>
            </w:tcBorders>
            <w:vAlign w:val="top"/>
          </w:tcPr>
          <w:p w14:paraId="7B207834">
            <w:pPr>
              <w:spacing w:line="358" w:lineRule="auto"/>
              <w:rPr>
                <w:rFonts w:ascii="Arial"/>
                <w:sz w:val="21"/>
              </w:rPr>
            </w:pPr>
          </w:p>
          <w:p w14:paraId="34850AD7">
            <w:pPr>
              <w:pStyle w:val="15"/>
              <w:spacing w:before="60" w:line="234" w:lineRule="auto"/>
              <w:ind w:left="292"/>
            </w:pPr>
            <w:r>
              <w:t>6</w:t>
            </w:r>
          </w:p>
        </w:tc>
        <w:tc>
          <w:tcPr>
            <w:tcW w:w="1259" w:type="dxa"/>
            <w:vMerge w:val="restart"/>
            <w:tcBorders>
              <w:bottom w:val="nil"/>
            </w:tcBorders>
            <w:vAlign w:val="top"/>
          </w:tcPr>
          <w:p w14:paraId="05E8B0FC">
            <w:pPr>
              <w:pStyle w:val="15"/>
              <w:spacing w:before="241" w:line="316" w:lineRule="auto"/>
              <w:ind w:left="197" w:right="200" w:firstLine="134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</w:rPr>
              <w:t>颗粒物</w:t>
            </w:r>
            <w:r>
              <w:rPr>
                <w:rFonts w:hint="default" w:ascii="Times New Roman" w:hAnsi="Times New Roman" w:eastAsia="仿宋_GB2312" w:cs="Times New Roman"/>
                <w:spacing w:val="-3"/>
              </w:rPr>
              <w:t>（PM</w:t>
            </w:r>
            <w:r>
              <w:rPr>
                <w:rFonts w:hint="default" w:ascii="Times New Roman" w:hAnsi="Times New Roman" w:eastAsia="仿宋_GB2312" w:cs="Times New Roman"/>
                <w:spacing w:val="-3"/>
                <w:sz w:val="13"/>
                <w:szCs w:val="13"/>
              </w:rPr>
              <w:t>2.5</w:t>
            </w:r>
            <w:r>
              <w:rPr>
                <w:rFonts w:hint="default" w:ascii="Times New Roman" w:hAnsi="Times New Roman" w:eastAsia="仿宋_GB2312" w:cs="Times New Roman"/>
                <w:spacing w:val="-3"/>
              </w:rPr>
              <w:t>）</w:t>
            </w:r>
          </w:p>
        </w:tc>
        <w:tc>
          <w:tcPr>
            <w:tcW w:w="1403" w:type="dxa"/>
            <w:vAlign w:val="top"/>
          </w:tcPr>
          <w:p w14:paraId="6198E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1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1"/>
                <w:szCs w:val="21"/>
              </w:rPr>
              <w:t>年平均</w:t>
            </w:r>
          </w:p>
        </w:tc>
        <w:tc>
          <w:tcPr>
            <w:tcW w:w="1120" w:type="dxa"/>
            <w:vAlign w:val="center"/>
          </w:tcPr>
          <w:p w14:paraId="5FD757A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83"/>
              <w:jc w:val="left"/>
              <w:textAlignment w:val="auto"/>
            </w:pPr>
            <w:r>
              <w:rPr>
                <w:spacing w:val="-12"/>
              </w:rPr>
              <w:t>15</w:t>
            </w:r>
          </w:p>
        </w:tc>
        <w:tc>
          <w:tcPr>
            <w:tcW w:w="1122" w:type="dxa"/>
            <w:vAlign w:val="center"/>
          </w:tcPr>
          <w:p w14:paraId="516DF782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7"/>
              <w:jc w:val="left"/>
              <w:textAlignment w:val="auto"/>
            </w:pPr>
            <w:r>
              <w:rPr>
                <w:spacing w:val="-4"/>
              </w:rPr>
              <w:t>30</w:t>
            </w:r>
          </w:p>
        </w:tc>
        <w:tc>
          <w:tcPr>
            <w:tcW w:w="1120" w:type="dxa"/>
            <w:vAlign w:val="center"/>
          </w:tcPr>
          <w:p w14:paraId="124B8362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84"/>
              <w:jc w:val="left"/>
              <w:textAlignment w:val="auto"/>
            </w:pPr>
            <w:r>
              <w:rPr>
                <w:spacing w:val="-6"/>
              </w:rPr>
              <w:t>10</w:t>
            </w:r>
          </w:p>
        </w:tc>
        <w:tc>
          <w:tcPr>
            <w:tcW w:w="1123" w:type="dxa"/>
            <w:vAlign w:val="center"/>
          </w:tcPr>
          <w:p w14:paraId="52D7153E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4"/>
              <w:jc w:val="left"/>
              <w:textAlignment w:val="auto"/>
            </w:pPr>
            <w:r>
              <w:rPr>
                <w:spacing w:val="-1"/>
              </w:rPr>
              <w:t>25</w:t>
            </w:r>
          </w:p>
        </w:tc>
        <w:tc>
          <w:tcPr>
            <w:tcW w:w="884" w:type="dxa"/>
            <w:vMerge w:val="continue"/>
            <w:tcBorders>
              <w:top w:val="nil"/>
              <w:bottom w:val="nil"/>
              <w:right w:val="nil"/>
            </w:tcBorders>
            <w:vAlign w:val="top"/>
          </w:tcPr>
          <w:p w14:paraId="7B0F72F0">
            <w:pPr>
              <w:rPr>
                <w:rFonts w:ascii="Arial"/>
                <w:sz w:val="21"/>
              </w:rPr>
            </w:pPr>
          </w:p>
        </w:tc>
      </w:tr>
      <w:tr w14:paraId="5F6F38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666" w:type="dxa"/>
            <w:vMerge w:val="continue"/>
            <w:tcBorders>
              <w:top w:val="nil"/>
              <w:left w:val="nil"/>
              <w:bottom w:val="single" w:color="000000" w:sz="10" w:space="0"/>
            </w:tcBorders>
            <w:vAlign w:val="top"/>
          </w:tcPr>
          <w:p w14:paraId="0CCCF5D5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Merge w:val="continue"/>
            <w:tcBorders>
              <w:top w:val="nil"/>
              <w:bottom w:val="single" w:color="000000" w:sz="10" w:space="0"/>
            </w:tcBorders>
            <w:vAlign w:val="top"/>
          </w:tcPr>
          <w:p w14:paraId="66566904">
            <w:pPr>
              <w:rPr>
                <w:rFonts w:hint="default" w:ascii="Times New Roman" w:hAnsi="Times New Roman" w:eastAsia="仿宋_GB2312" w:cs="Times New Roman"/>
                <w:sz w:val="21"/>
              </w:rPr>
            </w:pPr>
          </w:p>
        </w:tc>
        <w:tc>
          <w:tcPr>
            <w:tcW w:w="1403" w:type="dxa"/>
            <w:tcBorders>
              <w:bottom w:val="single" w:color="000000" w:sz="10" w:space="0"/>
            </w:tcBorders>
            <w:vAlign w:val="top"/>
          </w:tcPr>
          <w:p w14:paraId="69A9E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5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19"/>
                <w:sz w:val="21"/>
                <w:szCs w:val="21"/>
              </w:rPr>
              <w:t>日平均</w:t>
            </w:r>
          </w:p>
        </w:tc>
        <w:tc>
          <w:tcPr>
            <w:tcW w:w="1120" w:type="dxa"/>
            <w:tcBorders>
              <w:bottom w:val="single" w:color="000000" w:sz="10" w:space="0"/>
            </w:tcBorders>
            <w:vAlign w:val="center"/>
          </w:tcPr>
          <w:p w14:paraId="442065C7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7"/>
              <w:jc w:val="left"/>
              <w:textAlignment w:val="auto"/>
            </w:pPr>
            <w:r>
              <w:rPr>
                <w:spacing w:val="-4"/>
              </w:rPr>
              <w:t>35</w:t>
            </w:r>
          </w:p>
        </w:tc>
        <w:tc>
          <w:tcPr>
            <w:tcW w:w="1122" w:type="dxa"/>
            <w:tcBorders>
              <w:bottom w:val="single" w:color="000000" w:sz="10" w:space="0"/>
            </w:tcBorders>
            <w:vAlign w:val="center"/>
          </w:tcPr>
          <w:p w14:paraId="68099A57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8"/>
              <w:jc w:val="left"/>
              <w:textAlignment w:val="auto"/>
            </w:pPr>
            <w:r>
              <w:rPr>
                <w:spacing w:val="-4"/>
              </w:rPr>
              <w:t>60</w:t>
            </w:r>
          </w:p>
        </w:tc>
        <w:tc>
          <w:tcPr>
            <w:tcW w:w="1120" w:type="dxa"/>
            <w:tcBorders>
              <w:bottom w:val="single" w:color="000000" w:sz="10" w:space="0"/>
            </w:tcBorders>
            <w:vAlign w:val="center"/>
          </w:tcPr>
          <w:p w14:paraId="49201752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3"/>
              <w:jc w:val="left"/>
              <w:textAlignment w:val="auto"/>
            </w:pPr>
            <w:r>
              <w:rPr>
                <w:spacing w:val="-1"/>
              </w:rPr>
              <w:t>25</w:t>
            </w:r>
          </w:p>
        </w:tc>
        <w:tc>
          <w:tcPr>
            <w:tcW w:w="1123" w:type="dxa"/>
            <w:tcBorders>
              <w:bottom w:val="single" w:color="000000" w:sz="10" w:space="0"/>
            </w:tcBorders>
            <w:vAlign w:val="center"/>
          </w:tcPr>
          <w:p w14:paraId="3DD8C42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40" w:lineRule="auto"/>
              <w:ind w:left="469"/>
              <w:jc w:val="left"/>
              <w:textAlignment w:val="auto"/>
            </w:pPr>
            <w:r>
              <w:rPr>
                <w:spacing w:val="-3"/>
              </w:rPr>
              <w:t>50</w:t>
            </w:r>
          </w:p>
        </w:tc>
        <w:tc>
          <w:tcPr>
            <w:tcW w:w="884" w:type="dxa"/>
            <w:vMerge w:val="continue"/>
            <w:tcBorders>
              <w:top w:val="nil"/>
              <w:bottom w:val="single" w:color="000000" w:sz="10" w:space="0"/>
              <w:right w:val="nil"/>
            </w:tcBorders>
            <w:vAlign w:val="top"/>
          </w:tcPr>
          <w:p w14:paraId="5D8E61C5">
            <w:pPr>
              <w:rPr>
                <w:rFonts w:ascii="Arial"/>
                <w:sz w:val="21"/>
              </w:rPr>
            </w:pPr>
          </w:p>
        </w:tc>
      </w:tr>
    </w:tbl>
    <w:p w14:paraId="1898893C">
      <w:pPr>
        <w:spacing w:before="51" w:line="265" w:lineRule="auto"/>
        <w:ind w:left="685" w:right="410" w:hanging="425"/>
        <w:rPr>
          <w:rFonts w:hint="default" w:ascii="Times New Roman" w:hAnsi="Times New Roman" w:eastAsia="仿宋_GB2312" w:cs="Times New Roman"/>
          <w:spacing w:val="-5"/>
          <w:sz w:val="24"/>
          <w:szCs w:val="24"/>
        </w:rPr>
      </w:pPr>
      <w:r>
        <w:rPr>
          <w:rFonts w:hint="default" w:ascii="Times New Roman" w:hAnsi="Times New Roman" w:eastAsia="仿宋_GB2312" w:cs="Times New Roman"/>
          <w:spacing w:val="-4"/>
          <w:sz w:val="24"/>
          <w:szCs w:val="24"/>
        </w:rPr>
        <w:t>注：2026 年</w:t>
      </w:r>
      <w:r>
        <w:rPr>
          <w:rFonts w:hint="default" w:ascii="Times New Roman" w:hAnsi="Times New Roman" w:eastAsia="仿宋_GB2312" w:cs="Times New Roman"/>
          <w:spacing w:val="-43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-4"/>
          <w:sz w:val="24"/>
          <w:szCs w:val="24"/>
        </w:rPr>
        <w:t>3月</w:t>
      </w:r>
      <w:r>
        <w:rPr>
          <w:rFonts w:hint="default" w:ascii="Times New Roman" w:hAnsi="Times New Roman" w:eastAsia="仿宋_GB2312" w:cs="Times New Roman"/>
          <w:spacing w:val="-28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-4"/>
          <w:sz w:val="24"/>
          <w:szCs w:val="24"/>
        </w:rPr>
        <w:t>1日起至</w:t>
      </w:r>
      <w:r>
        <w:rPr>
          <w:rFonts w:hint="default" w:ascii="Times New Roman" w:hAnsi="Times New Roman" w:eastAsia="仿宋_GB2312" w:cs="Times New Roman"/>
          <w:spacing w:val="-49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-4"/>
          <w:sz w:val="24"/>
          <w:szCs w:val="24"/>
        </w:rPr>
        <w:t>2030年12月</w:t>
      </w:r>
      <w:r>
        <w:rPr>
          <w:rFonts w:hint="default" w:ascii="Times New Roman" w:hAnsi="Times New Roman" w:eastAsia="仿宋_GB2312" w:cs="Times New Roman"/>
          <w:spacing w:val="-44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-5"/>
          <w:sz w:val="24"/>
          <w:szCs w:val="24"/>
        </w:rPr>
        <w:t>31日止，环境空气污染物评价项目实施过渡阶段浓度限值(a)；自 2031 年</w:t>
      </w:r>
      <w:r>
        <w:rPr>
          <w:rFonts w:hint="default" w:ascii="Times New Roman" w:hAnsi="Times New Roman" w:eastAsia="仿宋_GB2312" w:cs="Times New Roman"/>
          <w:spacing w:val="-24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-5"/>
          <w:sz w:val="24"/>
          <w:szCs w:val="24"/>
        </w:rPr>
        <w:t>1</w:t>
      </w:r>
      <w:r>
        <w:rPr>
          <w:rFonts w:hint="default" w:ascii="Times New Roman" w:hAnsi="Times New Roman" w:eastAsia="仿宋_GB2312" w:cs="Times New Roman"/>
          <w:spacing w:val="17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-5"/>
          <w:sz w:val="24"/>
          <w:szCs w:val="24"/>
        </w:rPr>
        <w:t>月</w:t>
      </w:r>
      <w:r>
        <w:rPr>
          <w:rFonts w:hint="default" w:ascii="Times New Roman" w:hAnsi="Times New Roman" w:eastAsia="仿宋_GB2312" w:cs="Times New Roman"/>
          <w:spacing w:val="-28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-5"/>
          <w:sz w:val="24"/>
          <w:szCs w:val="24"/>
        </w:rPr>
        <w:t>1  日起，评价项目实施浓度限值(b)。</w:t>
      </w:r>
    </w:p>
    <w:p w14:paraId="43949A35">
      <w:pPr>
        <w:spacing w:before="51" w:line="265" w:lineRule="auto"/>
        <w:ind w:left="685" w:right="410" w:hanging="425"/>
        <w:rPr>
          <w:rFonts w:hint="default" w:ascii="Times New Roman" w:hAnsi="Times New Roman" w:eastAsia="仿宋_GB2312" w:cs="Times New Roman"/>
          <w:spacing w:val="-5"/>
          <w:sz w:val="24"/>
          <w:szCs w:val="24"/>
        </w:rPr>
      </w:pPr>
    </w:p>
    <w:p w14:paraId="760B0028">
      <w:pPr>
        <w:spacing w:before="51" w:line="265" w:lineRule="auto"/>
        <w:ind w:left="685" w:right="410" w:hanging="425"/>
        <w:rPr>
          <w:rFonts w:hint="default" w:ascii="Times New Roman" w:hAnsi="Times New Roman" w:eastAsia="仿宋_GB2312" w:cs="Times New Roman"/>
          <w:spacing w:val="-5"/>
          <w:sz w:val="24"/>
          <w:szCs w:val="24"/>
        </w:rPr>
      </w:pPr>
    </w:p>
    <w:p w14:paraId="58999098">
      <w:pPr>
        <w:spacing w:before="51" w:line="265" w:lineRule="auto"/>
        <w:ind w:left="685" w:right="410" w:hanging="425"/>
        <w:rPr>
          <w:rFonts w:hint="eastAsia" w:ascii="Times New Roman" w:hAnsi="Times New Roman" w:eastAsia="仿宋_GB2312" w:cs="Times New Roman"/>
          <w:spacing w:val="-5"/>
          <w:sz w:val="24"/>
          <w:szCs w:val="24"/>
          <w:lang w:eastAsia="zh-CN"/>
        </w:rPr>
      </w:pPr>
    </w:p>
    <w:tbl>
      <w:tblPr>
        <w:tblStyle w:val="5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0"/>
        <w:gridCol w:w="2385"/>
        <w:gridCol w:w="2367"/>
        <w:gridCol w:w="2368"/>
      </w:tblGrid>
      <w:tr w14:paraId="712A17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exact"/>
          <w:jc w:val="center"/>
        </w:trPr>
        <w:tc>
          <w:tcPr>
            <w:tcW w:w="1430" w:type="dxa"/>
            <w:vMerge w:val="restart"/>
            <w:tcBorders>
              <w:top w:val="single" w:color="auto" w:sz="12" w:space="0"/>
            </w:tcBorders>
            <w:vAlign w:val="center"/>
          </w:tcPr>
          <w:p w14:paraId="7B29B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right="0"/>
              <w:jc w:val="both"/>
              <w:textAlignment w:val="auto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城市环境空气质量评价项目包括 SO</w:t>
            </w:r>
            <w:r>
              <w:rPr>
                <w:rFonts w:hint="eastAsia" w:ascii="仿宋_GB2312" w:hAnsi="仿宋_GB2312" w:eastAsia="仿宋_GB2312" w:cs="仿宋_GB2312"/>
                <w:spacing w:val="-4"/>
                <w:position w:val="-2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spacing w:val="-12"/>
                <w:position w:val="-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、NO</w:t>
            </w:r>
            <w:r>
              <w:rPr>
                <w:rFonts w:hint="eastAsia" w:ascii="仿宋_GB2312" w:hAnsi="仿宋_GB2312" w:eastAsia="仿宋_GB2312" w:cs="仿宋_GB2312"/>
                <w:spacing w:val="-4"/>
                <w:position w:val="-2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spacing w:val="-10"/>
                <w:position w:val="-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、C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O</w:t>
            </w:r>
            <w:r>
              <w:rPr>
                <w:rFonts w:hint="eastAsia" w:ascii="仿宋_GB2312" w:hAnsi="仿宋_GB2312" w:eastAsia="仿宋_GB2312" w:cs="仿宋_GB2312"/>
                <w:spacing w:val="-37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、O</w:t>
            </w:r>
            <w:r>
              <w:rPr>
                <w:rFonts w:hint="eastAsia" w:ascii="仿宋_GB2312" w:hAnsi="仿宋_GB2312" w:eastAsia="仿宋_GB2312" w:cs="仿宋_GB2312"/>
                <w:spacing w:val="-5"/>
                <w:position w:val="-2"/>
                <w:sz w:val="28"/>
                <w:szCs w:val="28"/>
              </w:rPr>
              <w:t>3</w:t>
            </w:r>
            <w:r>
              <w:rPr>
                <w:rFonts w:hint="eastAsia" w:ascii="仿宋_GB2312" w:hAnsi="仿宋_GB2312" w:eastAsia="仿宋_GB2312" w:cs="仿宋_GB2312"/>
                <w:spacing w:val="-10"/>
                <w:position w:val="-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、PM</w:t>
            </w:r>
            <w:r>
              <w:rPr>
                <w:rFonts w:hint="eastAsia" w:ascii="仿宋_GB2312" w:hAnsi="仿宋_GB2312" w:eastAsia="仿宋_GB2312" w:cs="仿宋_GB2312"/>
                <w:spacing w:val="-5"/>
                <w:position w:val="-2"/>
                <w:sz w:val="28"/>
                <w:szCs w:val="28"/>
              </w:rPr>
              <w:t xml:space="preserve">10  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和PM</w:t>
            </w:r>
            <w:r>
              <w:rPr>
                <w:rFonts w:hint="eastAsia" w:ascii="仿宋_GB2312" w:hAnsi="仿宋_GB2312" w:eastAsia="仿宋_GB2312" w:cs="仿宋_GB2312"/>
                <w:spacing w:val="-5"/>
                <w:position w:val="-3"/>
                <w:sz w:val="28"/>
                <w:szCs w:val="28"/>
              </w:rPr>
              <w:t xml:space="preserve">2.5 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，评价标准按照《环境空气质量标准》（GB  3095-2026）执行，</w:t>
            </w: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详见表</w:t>
            </w:r>
            <w:r>
              <w:rPr>
                <w:rFonts w:hint="eastAsia" w:ascii="仿宋_GB2312" w:hAnsi="仿宋_GB2312" w:eastAsia="仿宋_GB2312" w:cs="仿宋_GB2312"/>
                <w:spacing w:val="-38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1。</w:t>
            </w:r>
          </w:p>
          <w:p w14:paraId="4FCBF9D2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污染物名称</w:t>
            </w:r>
          </w:p>
        </w:tc>
        <w:tc>
          <w:tcPr>
            <w:tcW w:w="2385" w:type="dxa"/>
            <w:vMerge w:val="restart"/>
            <w:tcBorders>
              <w:top w:val="single" w:color="auto" w:sz="12" w:space="0"/>
            </w:tcBorders>
            <w:vAlign w:val="center"/>
          </w:tcPr>
          <w:p w14:paraId="653871E1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取值时间</w:t>
            </w:r>
          </w:p>
        </w:tc>
        <w:tc>
          <w:tcPr>
            <w:tcW w:w="4735" w:type="dxa"/>
            <w:gridSpan w:val="2"/>
            <w:tcBorders>
              <w:top w:val="single" w:color="auto" w:sz="12" w:space="0"/>
              <w:bottom w:val="nil"/>
            </w:tcBorders>
            <w:vAlign w:val="center"/>
          </w:tcPr>
          <w:p w14:paraId="718D31E0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浓度限值</w:t>
            </w:r>
          </w:p>
        </w:tc>
      </w:tr>
      <w:tr w14:paraId="7A0E14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exact"/>
          <w:jc w:val="center"/>
        </w:trPr>
        <w:tc>
          <w:tcPr>
            <w:tcW w:w="1430" w:type="dxa"/>
            <w:vMerge w:val="continue"/>
            <w:tcBorders>
              <w:bottom w:val="single" w:color="auto" w:sz="4" w:space="0"/>
            </w:tcBorders>
            <w:vAlign w:val="center"/>
          </w:tcPr>
          <w:p w14:paraId="0B500277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385" w:type="dxa"/>
            <w:vMerge w:val="continue"/>
            <w:tcBorders>
              <w:bottom w:val="single" w:color="auto" w:sz="4" w:space="0"/>
            </w:tcBorders>
            <w:vAlign w:val="center"/>
          </w:tcPr>
          <w:p w14:paraId="2DCEF881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367" w:type="dxa"/>
            <w:tcBorders>
              <w:top w:val="nil"/>
              <w:bottom w:val="single" w:color="auto" w:sz="4" w:space="0"/>
            </w:tcBorders>
            <w:vAlign w:val="center"/>
          </w:tcPr>
          <w:p w14:paraId="05A80E39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一级标准</w:t>
            </w:r>
          </w:p>
        </w:tc>
        <w:tc>
          <w:tcPr>
            <w:tcW w:w="2368" w:type="dxa"/>
            <w:tcBorders>
              <w:top w:val="nil"/>
              <w:bottom w:val="single" w:color="auto" w:sz="4" w:space="0"/>
            </w:tcBorders>
            <w:vAlign w:val="center"/>
          </w:tcPr>
          <w:p w14:paraId="1E9AE667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二级标准</w:t>
            </w:r>
          </w:p>
        </w:tc>
      </w:tr>
      <w:tr w14:paraId="456296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exact"/>
          <w:jc w:val="center"/>
        </w:trPr>
        <w:tc>
          <w:tcPr>
            <w:tcW w:w="1430" w:type="dxa"/>
            <w:vMerge w:val="restart"/>
            <w:tcBorders>
              <w:top w:val="single" w:color="auto" w:sz="4" w:space="0"/>
            </w:tcBorders>
            <w:vAlign w:val="center"/>
          </w:tcPr>
          <w:p w14:paraId="0DAD32AA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PM</w:t>
            </w:r>
            <w:r>
              <w:rPr>
                <w:rFonts w:eastAsia="仿宋_GB2312"/>
                <w:kern w:val="2"/>
                <w:sz w:val="24"/>
                <w:szCs w:val="24"/>
                <w:vertAlign w:val="subscript"/>
                <w:lang w:eastAsia="zh-CN"/>
              </w:rPr>
              <w:t>10</w:t>
            </w:r>
          </w:p>
        </w:tc>
        <w:tc>
          <w:tcPr>
            <w:tcW w:w="2385" w:type="dxa"/>
            <w:tcBorders>
              <w:top w:val="single" w:color="auto" w:sz="4" w:space="0"/>
              <w:bottom w:val="nil"/>
            </w:tcBorders>
            <w:vAlign w:val="center"/>
          </w:tcPr>
          <w:p w14:paraId="0C317EAC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24</w:t>
            </w: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小时平均</w:t>
            </w:r>
          </w:p>
        </w:tc>
        <w:tc>
          <w:tcPr>
            <w:tcW w:w="2367" w:type="dxa"/>
            <w:tcBorders>
              <w:top w:val="single" w:color="auto" w:sz="4" w:space="0"/>
              <w:bottom w:val="nil"/>
            </w:tcBorders>
            <w:vAlign w:val="center"/>
          </w:tcPr>
          <w:p w14:paraId="159E6EF0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2368" w:type="dxa"/>
            <w:tcBorders>
              <w:top w:val="single" w:color="auto" w:sz="4" w:space="0"/>
              <w:bottom w:val="nil"/>
            </w:tcBorders>
            <w:vAlign w:val="center"/>
          </w:tcPr>
          <w:p w14:paraId="15EB549C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150</w:t>
            </w:r>
          </w:p>
        </w:tc>
      </w:tr>
      <w:tr w14:paraId="0C6681B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exact"/>
          <w:jc w:val="center"/>
        </w:trPr>
        <w:tc>
          <w:tcPr>
            <w:tcW w:w="1430" w:type="dxa"/>
            <w:vMerge w:val="continue"/>
            <w:tcBorders>
              <w:bottom w:val="nil"/>
            </w:tcBorders>
            <w:vAlign w:val="center"/>
          </w:tcPr>
          <w:p w14:paraId="75CFBA1E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  <w:vAlign w:val="center"/>
          </w:tcPr>
          <w:p w14:paraId="333D2459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年平均</w:t>
            </w:r>
          </w:p>
        </w:tc>
        <w:tc>
          <w:tcPr>
            <w:tcW w:w="2367" w:type="dxa"/>
            <w:tcBorders>
              <w:top w:val="nil"/>
              <w:bottom w:val="nil"/>
            </w:tcBorders>
            <w:vAlign w:val="center"/>
          </w:tcPr>
          <w:p w14:paraId="502A4137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2368" w:type="dxa"/>
            <w:tcBorders>
              <w:top w:val="nil"/>
              <w:bottom w:val="nil"/>
            </w:tcBorders>
            <w:vAlign w:val="center"/>
          </w:tcPr>
          <w:p w14:paraId="39FB9C70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70</w:t>
            </w:r>
          </w:p>
        </w:tc>
      </w:tr>
      <w:tr w14:paraId="2E6F48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exact"/>
          <w:jc w:val="center"/>
        </w:trPr>
        <w:tc>
          <w:tcPr>
            <w:tcW w:w="1430" w:type="dxa"/>
            <w:vMerge w:val="restart"/>
            <w:tcBorders>
              <w:top w:val="nil"/>
            </w:tcBorders>
            <w:vAlign w:val="center"/>
          </w:tcPr>
          <w:p w14:paraId="3CCADA5D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SO</w:t>
            </w:r>
            <w:r>
              <w:rPr>
                <w:rFonts w:eastAsia="仿宋_GB2312"/>
                <w:kern w:val="2"/>
                <w:sz w:val="24"/>
                <w:szCs w:val="24"/>
                <w:vertAlign w:val="subscript"/>
                <w:lang w:eastAsia="zh-CN"/>
              </w:rPr>
              <w:t>2</w:t>
            </w:r>
          </w:p>
        </w:tc>
        <w:tc>
          <w:tcPr>
            <w:tcW w:w="2385" w:type="dxa"/>
            <w:tcBorders>
              <w:top w:val="nil"/>
            </w:tcBorders>
            <w:vAlign w:val="center"/>
          </w:tcPr>
          <w:p w14:paraId="280B4600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24</w:t>
            </w: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小时平均</w:t>
            </w:r>
          </w:p>
        </w:tc>
        <w:tc>
          <w:tcPr>
            <w:tcW w:w="2367" w:type="dxa"/>
            <w:tcBorders>
              <w:top w:val="nil"/>
            </w:tcBorders>
            <w:vAlign w:val="center"/>
          </w:tcPr>
          <w:p w14:paraId="6B219420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2368" w:type="dxa"/>
            <w:tcBorders>
              <w:top w:val="nil"/>
            </w:tcBorders>
            <w:vAlign w:val="center"/>
          </w:tcPr>
          <w:p w14:paraId="2C7B346D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150</w:t>
            </w:r>
          </w:p>
        </w:tc>
      </w:tr>
      <w:tr w14:paraId="29E5BD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exact"/>
          <w:jc w:val="center"/>
        </w:trPr>
        <w:tc>
          <w:tcPr>
            <w:tcW w:w="1430" w:type="dxa"/>
            <w:vMerge w:val="continue"/>
            <w:vAlign w:val="center"/>
          </w:tcPr>
          <w:p w14:paraId="52EFFC24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385" w:type="dxa"/>
            <w:tcBorders>
              <w:top w:val="nil"/>
            </w:tcBorders>
            <w:vAlign w:val="center"/>
          </w:tcPr>
          <w:p w14:paraId="51A04019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年平均</w:t>
            </w:r>
          </w:p>
        </w:tc>
        <w:tc>
          <w:tcPr>
            <w:tcW w:w="2367" w:type="dxa"/>
            <w:tcBorders>
              <w:top w:val="nil"/>
            </w:tcBorders>
            <w:vAlign w:val="center"/>
          </w:tcPr>
          <w:p w14:paraId="123E1016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2368" w:type="dxa"/>
            <w:tcBorders>
              <w:top w:val="nil"/>
            </w:tcBorders>
            <w:vAlign w:val="center"/>
          </w:tcPr>
          <w:p w14:paraId="07190299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60</w:t>
            </w:r>
          </w:p>
        </w:tc>
      </w:tr>
      <w:tr w14:paraId="134E35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exact"/>
          <w:jc w:val="center"/>
        </w:trPr>
        <w:tc>
          <w:tcPr>
            <w:tcW w:w="1430" w:type="dxa"/>
            <w:vMerge w:val="restart"/>
            <w:tcBorders>
              <w:top w:val="nil"/>
            </w:tcBorders>
            <w:vAlign w:val="center"/>
          </w:tcPr>
          <w:p w14:paraId="1D08E46F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NO</w:t>
            </w:r>
            <w:r>
              <w:rPr>
                <w:rFonts w:eastAsia="仿宋_GB2312"/>
                <w:kern w:val="2"/>
                <w:sz w:val="24"/>
                <w:szCs w:val="24"/>
                <w:vertAlign w:val="subscript"/>
                <w:lang w:eastAsia="zh-CN"/>
              </w:rPr>
              <w:t>2</w:t>
            </w:r>
          </w:p>
        </w:tc>
        <w:tc>
          <w:tcPr>
            <w:tcW w:w="2385" w:type="dxa"/>
            <w:tcBorders>
              <w:top w:val="nil"/>
            </w:tcBorders>
            <w:vAlign w:val="center"/>
          </w:tcPr>
          <w:p w14:paraId="5361E95C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24</w:t>
            </w: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小时平均</w:t>
            </w:r>
          </w:p>
        </w:tc>
        <w:tc>
          <w:tcPr>
            <w:tcW w:w="2367" w:type="dxa"/>
            <w:tcBorders>
              <w:top w:val="nil"/>
            </w:tcBorders>
            <w:vAlign w:val="center"/>
          </w:tcPr>
          <w:p w14:paraId="2366BFC6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2368" w:type="dxa"/>
            <w:tcBorders>
              <w:top w:val="nil"/>
            </w:tcBorders>
            <w:vAlign w:val="center"/>
          </w:tcPr>
          <w:p w14:paraId="1029BCB4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80</w:t>
            </w:r>
          </w:p>
        </w:tc>
      </w:tr>
      <w:tr w14:paraId="67ADD1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exact"/>
          <w:jc w:val="center"/>
        </w:trPr>
        <w:tc>
          <w:tcPr>
            <w:tcW w:w="1430" w:type="dxa"/>
            <w:vMerge w:val="continue"/>
            <w:vAlign w:val="center"/>
          </w:tcPr>
          <w:p w14:paraId="57755F24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385" w:type="dxa"/>
            <w:tcBorders>
              <w:top w:val="nil"/>
            </w:tcBorders>
            <w:vAlign w:val="center"/>
          </w:tcPr>
          <w:p w14:paraId="6048135E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年平均</w:t>
            </w:r>
          </w:p>
        </w:tc>
        <w:tc>
          <w:tcPr>
            <w:tcW w:w="2367" w:type="dxa"/>
            <w:tcBorders>
              <w:top w:val="nil"/>
            </w:tcBorders>
            <w:vAlign w:val="center"/>
          </w:tcPr>
          <w:p w14:paraId="51E5F36B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2368" w:type="dxa"/>
            <w:tcBorders>
              <w:top w:val="nil"/>
            </w:tcBorders>
            <w:vAlign w:val="center"/>
          </w:tcPr>
          <w:p w14:paraId="6F0EA780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40</w:t>
            </w:r>
          </w:p>
        </w:tc>
      </w:tr>
      <w:tr w14:paraId="427FF9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exact"/>
          <w:jc w:val="center"/>
        </w:trPr>
        <w:tc>
          <w:tcPr>
            <w:tcW w:w="1430" w:type="dxa"/>
            <w:vMerge w:val="restart"/>
            <w:tcBorders>
              <w:top w:val="nil"/>
            </w:tcBorders>
            <w:vAlign w:val="center"/>
          </w:tcPr>
          <w:p w14:paraId="410A3953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PM</w:t>
            </w:r>
            <w:r>
              <w:rPr>
                <w:rFonts w:eastAsia="仿宋_GB2312"/>
                <w:kern w:val="2"/>
                <w:sz w:val="24"/>
                <w:szCs w:val="24"/>
                <w:vertAlign w:val="subscript"/>
                <w:lang w:eastAsia="zh-CN"/>
              </w:rPr>
              <w:t>2.5</w:t>
            </w:r>
          </w:p>
        </w:tc>
        <w:tc>
          <w:tcPr>
            <w:tcW w:w="2385" w:type="dxa"/>
            <w:tcBorders>
              <w:top w:val="nil"/>
            </w:tcBorders>
            <w:vAlign w:val="center"/>
          </w:tcPr>
          <w:p w14:paraId="07D4E956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24</w:t>
            </w: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小时平均</w:t>
            </w:r>
          </w:p>
        </w:tc>
        <w:tc>
          <w:tcPr>
            <w:tcW w:w="2367" w:type="dxa"/>
            <w:tcBorders>
              <w:top w:val="nil"/>
            </w:tcBorders>
            <w:vAlign w:val="center"/>
          </w:tcPr>
          <w:p w14:paraId="34FDA453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2368" w:type="dxa"/>
            <w:tcBorders>
              <w:top w:val="nil"/>
            </w:tcBorders>
            <w:vAlign w:val="center"/>
          </w:tcPr>
          <w:p w14:paraId="7AD7294D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75</w:t>
            </w:r>
          </w:p>
        </w:tc>
      </w:tr>
      <w:tr w14:paraId="2B2ECA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exact"/>
          <w:jc w:val="center"/>
        </w:trPr>
        <w:tc>
          <w:tcPr>
            <w:tcW w:w="1430" w:type="dxa"/>
            <w:vMerge w:val="continue"/>
            <w:vAlign w:val="center"/>
          </w:tcPr>
          <w:p w14:paraId="5A68CE0A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385" w:type="dxa"/>
            <w:tcBorders>
              <w:top w:val="nil"/>
            </w:tcBorders>
            <w:vAlign w:val="center"/>
          </w:tcPr>
          <w:p w14:paraId="5EDFD754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年平均</w:t>
            </w:r>
          </w:p>
        </w:tc>
        <w:tc>
          <w:tcPr>
            <w:tcW w:w="2367" w:type="dxa"/>
            <w:tcBorders>
              <w:top w:val="nil"/>
            </w:tcBorders>
            <w:vAlign w:val="center"/>
          </w:tcPr>
          <w:p w14:paraId="0573AE91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2368" w:type="dxa"/>
            <w:tcBorders>
              <w:top w:val="nil"/>
            </w:tcBorders>
            <w:vAlign w:val="center"/>
          </w:tcPr>
          <w:p w14:paraId="312F289F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35</w:t>
            </w:r>
          </w:p>
        </w:tc>
      </w:tr>
      <w:tr w14:paraId="68EEAE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exact"/>
          <w:jc w:val="center"/>
        </w:trPr>
        <w:tc>
          <w:tcPr>
            <w:tcW w:w="1430" w:type="dxa"/>
            <w:tcBorders>
              <w:top w:val="nil"/>
            </w:tcBorders>
            <w:vAlign w:val="center"/>
          </w:tcPr>
          <w:p w14:paraId="59E585CE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CO</w:t>
            </w:r>
          </w:p>
        </w:tc>
        <w:tc>
          <w:tcPr>
            <w:tcW w:w="2385" w:type="dxa"/>
            <w:tcBorders>
              <w:top w:val="nil"/>
            </w:tcBorders>
            <w:vAlign w:val="center"/>
          </w:tcPr>
          <w:p w14:paraId="38874F50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24</w:t>
            </w: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小时平均</w:t>
            </w:r>
          </w:p>
        </w:tc>
        <w:tc>
          <w:tcPr>
            <w:tcW w:w="2367" w:type="dxa"/>
            <w:tcBorders>
              <w:top w:val="nil"/>
            </w:tcBorders>
            <w:vAlign w:val="center"/>
          </w:tcPr>
          <w:p w14:paraId="6EEC7605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368" w:type="dxa"/>
            <w:tcBorders>
              <w:top w:val="nil"/>
            </w:tcBorders>
            <w:vAlign w:val="center"/>
          </w:tcPr>
          <w:p w14:paraId="2B555417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4</w:t>
            </w:r>
          </w:p>
        </w:tc>
      </w:tr>
      <w:tr w14:paraId="01967E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exact"/>
          <w:jc w:val="center"/>
        </w:trPr>
        <w:tc>
          <w:tcPr>
            <w:tcW w:w="1430" w:type="dxa"/>
            <w:tcBorders>
              <w:top w:val="nil"/>
              <w:bottom w:val="single" w:color="auto" w:sz="12" w:space="0"/>
            </w:tcBorders>
            <w:vAlign w:val="center"/>
          </w:tcPr>
          <w:p w14:paraId="7D6DAACE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O</w:t>
            </w:r>
            <w:r>
              <w:rPr>
                <w:rFonts w:eastAsia="仿宋_GB2312"/>
                <w:kern w:val="2"/>
                <w:sz w:val="24"/>
                <w:szCs w:val="24"/>
                <w:vertAlign w:val="subscript"/>
                <w:lang w:eastAsia="zh-CN"/>
              </w:rPr>
              <w:t>3</w:t>
            </w:r>
          </w:p>
        </w:tc>
        <w:tc>
          <w:tcPr>
            <w:tcW w:w="2385" w:type="dxa"/>
            <w:tcBorders>
              <w:top w:val="nil"/>
              <w:bottom w:val="single" w:color="auto" w:sz="12" w:space="0"/>
            </w:tcBorders>
            <w:vAlign w:val="center"/>
          </w:tcPr>
          <w:p w14:paraId="0D0E2AE1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日最大</w:t>
            </w: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8</w:t>
            </w:r>
            <w:r>
              <w:rPr>
                <w:rFonts w:hint="eastAsia" w:eastAsia="仿宋_GB2312"/>
                <w:kern w:val="2"/>
                <w:sz w:val="24"/>
                <w:szCs w:val="24"/>
                <w:lang w:eastAsia="zh-CN"/>
              </w:rPr>
              <w:t>小时平均</w:t>
            </w:r>
          </w:p>
        </w:tc>
        <w:tc>
          <w:tcPr>
            <w:tcW w:w="2367" w:type="dxa"/>
            <w:tcBorders>
              <w:top w:val="nil"/>
              <w:bottom w:val="single" w:color="auto" w:sz="12" w:space="0"/>
            </w:tcBorders>
            <w:vAlign w:val="center"/>
          </w:tcPr>
          <w:p w14:paraId="1AFB3E8E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2368" w:type="dxa"/>
            <w:tcBorders>
              <w:top w:val="nil"/>
              <w:bottom w:val="single" w:color="auto" w:sz="12" w:space="0"/>
            </w:tcBorders>
            <w:vAlign w:val="center"/>
          </w:tcPr>
          <w:p w14:paraId="233D4B31">
            <w:pPr>
              <w:spacing w:after="0" w:line="240" w:lineRule="auto"/>
              <w:jc w:val="center"/>
              <w:rPr>
                <w:rFonts w:eastAsia="仿宋_GB2312"/>
                <w:kern w:val="2"/>
                <w:sz w:val="24"/>
                <w:szCs w:val="24"/>
                <w:lang w:eastAsia="zh-CN"/>
              </w:rPr>
            </w:pPr>
            <w:r>
              <w:rPr>
                <w:rFonts w:eastAsia="仿宋_GB2312"/>
                <w:kern w:val="2"/>
                <w:sz w:val="24"/>
                <w:szCs w:val="24"/>
                <w:lang w:eastAsia="zh-CN"/>
              </w:rPr>
              <w:t>160</w:t>
            </w:r>
          </w:p>
        </w:tc>
      </w:tr>
    </w:tbl>
    <w:p w14:paraId="15778E5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02" w:firstLineChars="200"/>
        <w:textAlignment w:val="auto"/>
        <w:rPr>
          <w:rFonts w:ascii="仿宋_GB2312" w:hAnsi="黑体" w:eastAsia="仿宋_GB2312"/>
          <w:b/>
          <w:sz w:val="30"/>
          <w:szCs w:val="30"/>
          <w:lang w:eastAsia="zh-CN"/>
        </w:rPr>
      </w:pPr>
      <w:r>
        <w:rPr>
          <w:rFonts w:hint="eastAsia" w:ascii="仿宋_GB2312" w:hAnsi="黑体" w:eastAsia="仿宋_GB2312"/>
          <w:b/>
          <w:sz w:val="30"/>
          <w:szCs w:val="30"/>
          <w:lang w:eastAsia="zh-CN"/>
        </w:rPr>
        <w:t>环境空气质量综合指数</w:t>
      </w:r>
    </w:p>
    <w:p w14:paraId="23D725D2">
      <w:pPr>
        <w:spacing w:after="0" w:line="360" w:lineRule="auto"/>
        <w:ind w:firstLine="584" w:firstLineChars="200"/>
        <w:jc w:val="both"/>
        <w:rPr>
          <w:rFonts w:eastAsia="仿宋_GB2312"/>
          <w:b/>
          <w:snapToGrid w:val="0"/>
          <w:kern w:val="2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6"/>
          <w:sz w:val="28"/>
          <w:szCs w:val="28"/>
        </w:rPr>
        <w:t>环境空气质量综合指数是描述城市环境空气质量综合状况的无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量纲指数，综合考量六项污染物的污染程度。环境空气质量综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>合指数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计算方式按照《城市环境空气质量监测数据统计及信息公开工作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>方案》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  <w:sz w:val="28"/>
          <w:szCs w:val="28"/>
        </w:rPr>
        <w:t>（环办监测〔2026〕7号）执行。</w:t>
      </w:r>
    </w:p>
    <w:p w14:paraId="5EF68624">
      <w:pPr>
        <w:rPr>
          <w:rFonts w:eastAsia="仿宋_GB2312"/>
          <w:szCs w:val="21"/>
          <w:lang w:eastAsia="zh-CN"/>
        </w:rPr>
      </w:pPr>
    </w:p>
    <w:sectPr>
      <w:headerReference r:id="rId5" w:type="default"/>
      <w:type w:val="continuous"/>
      <w:pgSz w:w="11920" w:h="16840"/>
      <w:pgMar w:top="850" w:right="1587" w:bottom="850" w:left="1134" w:header="851" w:footer="992" w:gutter="0"/>
      <w:cols w:space="720" w:num="1"/>
      <w:docGrid w:type="lines" w:linePitch="32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Noto Sans CJK SC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Noto Sans CJK SC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33162E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rPr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AC26C2"/>
    <w:multiLevelType w:val="singleLevel"/>
    <w:tmpl w:val="47AC26C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3195905"/>
    <w:multiLevelType w:val="singleLevel"/>
    <w:tmpl w:val="53195905"/>
    <w:lvl w:ilvl="0" w:tentative="0">
      <w:start w:val="2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bordersDoNotSurroundHeader w:val="1"/>
  <w:bordersDoNotSurroundFooter w:val="1"/>
  <w:documentProtection w:enforcement="0"/>
  <w:defaultTabStop w:val="420"/>
  <w:drawingGridVerticalSpacing w:val="161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2ZDgwN2M0OWRiNzE1ZTg2NmJmNzJmMDZkYzEwZWQifQ=="/>
    <w:docVar w:name="KSO_WPS_MARK_KEY" w:val="1ff5551c-6cec-41de-a4b4-fc873ea40f13"/>
  </w:docVars>
  <w:rsids>
    <w:rsidRoot w:val="00172A27"/>
    <w:rsid w:val="00002636"/>
    <w:rsid w:val="0001641B"/>
    <w:rsid w:val="00022CC5"/>
    <w:rsid w:val="000233DC"/>
    <w:rsid w:val="00023513"/>
    <w:rsid w:val="00023AEF"/>
    <w:rsid w:val="000260F2"/>
    <w:rsid w:val="0002627D"/>
    <w:rsid w:val="000265AC"/>
    <w:rsid w:val="0002785B"/>
    <w:rsid w:val="000311BC"/>
    <w:rsid w:val="00031B31"/>
    <w:rsid w:val="000321BB"/>
    <w:rsid w:val="00035091"/>
    <w:rsid w:val="00045CCF"/>
    <w:rsid w:val="0004713B"/>
    <w:rsid w:val="000513F5"/>
    <w:rsid w:val="00051D0E"/>
    <w:rsid w:val="00051D7A"/>
    <w:rsid w:val="00054868"/>
    <w:rsid w:val="00054CEE"/>
    <w:rsid w:val="000579D9"/>
    <w:rsid w:val="000641E9"/>
    <w:rsid w:val="00070745"/>
    <w:rsid w:val="000722A7"/>
    <w:rsid w:val="00075BCC"/>
    <w:rsid w:val="0007720F"/>
    <w:rsid w:val="000842DD"/>
    <w:rsid w:val="00085B60"/>
    <w:rsid w:val="000915EA"/>
    <w:rsid w:val="00091ABC"/>
    <w:rsid w:val="00093C71"/>
    <w:rsid w:val="0009555C"/>
    <w:rsid w:val="00095B54"/>
    <w:rsid w:val="00096C67"/>
    <w:rsid w:val="000A25FA"/>
    <w:rsid w:val="000A64DF"/>
    <w:rsid w:val="000B5003"/>
    <w:rsid w:val="000B6535"/>
    <w:rsid w:val="000B7B66"/>
    <w:rsid w:val="000C7154"/>
    <w:rsid w:val="000D1887"/>
    <w:rsid w:val="000D22EB"/>
    <w:rsid w:val="000D6148"/>
    <w:rsid w:val="000E000B"/>
    <w:rsid w:val="000E0674"/>
    <w:rsid w:val="000E11B3"/>
    <w:rsid w:val="000F31F8"/>
    <w:rsid w:val="000F7629"/>
    <w:rsid w:val="00100C9B"/>
    <w:rsid w:val="00107AE6"/>
    <w:rsid w:val="00113EFA"/>
    <w:rsid w:val="00116991"/>
    <w:rsid w:val="0011717D"/>
    <w:rsid w:val="00117421"/>
    <w:rsid w:val="00121574"/>
    <w:rsid w:val="00122D45"/>
    <w:rsid w:val="00124AEC"/>
    <w:rsid w:val="00136558"/>
    <w:rsid w:val="00143540"/>
    <w:rsid w:val="00144AEE"/>
    <w:rsid w:val="00151C99"/>
    <w:rsid w:val="001533D8"/>
    <w:rsid w:val="00155399"/>
    <w:rsid w:val="00156BD7"/>
    <w:rsid w:val="00162AE4"/>
    <w:rsid w:val="00163D0D"/>
    <w:rsid w:val="00164E52"/>
    <w:rsid w:val="001653E6"/>
    <w:rsid w:val="00167A23"/>
    <w:rsid w:val="001710E8"/>
    <w:rsid w:val="00172A27"/>
    <w:rsid w:val="001738ED"/>
    <w:rsid w:val="001748ED"/>
    <w:rsid w:val="001777CB"/>
    <w:rsid w:val="001777F2"/>
    <w:rsid w:val="00181494"/>
    <w:rsid w:val="00186479"/>
    <w:rsid w:val="00190AF9"/>
    <w:rsid w:val="00191B96"/>
    <w:rsid w:val="0019608A"/>
    <w:rsid w:val="001A2A22"/>
    <w:rsid w:val="001B0098"/>
    <w:rsid w:val="001B1052"/>
    <w:rsid w:val="001B2405"/>
    <w:rsid w:val="001B3225"/>
    <w:rsid w:val="001B668D"/>
    <w:rsid w:val="001C3428"/>
    <w:rsid w:val="001C596B"/>
    <w:rsid w:val="001D6D82"/>
    <w:rsid w:val="001E0CCB"/>
    <w:rsid w:val="001E7291"/>
    <w:rsid w:val="001E7B5E"/>
    <w:rsid w:val="001F0183"/>
    <w:rsid w:val="001F3A75"/>
    <w:rsid w:val="001F4AAF"/>
    <w:rsid w:val="001F5A44"/>
    <w:rsid w:val="00205659"/>
    <w:rsid w:val="00206086"/>
    <w:rsid w:val="00207B08"/>
    <w:rsid w:val="00210E2D"/>
    <w:rsid w:val="00211563"/>
    <w:rsid w:val="002119F2"/>
    <w:rsid w:val="002148A2"/>
    <w:rsid w:val="00216212"/>
    <w:rsid w:val="00217828"/>
    <w:rsid w:val="00220A59"/>
    <w:rsid w:val="00224FB7"/>
    <w:rsid w:val="00226AC4"/>
    <w:rsid w:val="002334D3"/>
    <w:rsid w:val="00242A5A"/>
    <w:rsid w:val="00255607"/>
    <w:rsid w:val="00260C09"/>
    <w:rsid w:val="0026284B"/>
    <w:rsid w:val="0026567A"/>
    <w:rsid w:val="00266A92"/>
    <w:rsid w:val="00271793"/>
    <w:rsid w:val="00273EB8"/>
    <w:rsid w:val="00274506"/>
    <w:rsid w:val="00274675"/>
    <w:rsid w:val="002801C5"/>
    <w:rsid w:val="00281C4A"/>
    <w:rsid w:val="00282FAD"/>
    <w:rsid w:val="002833B2"/>
    <w:rsid w:val="00283661"/>
    <w:rsid w:val="00283A28"/>
    <w:rsid w:val="00290853"/>
    <w:rsid w:val="0029114C"/>
    <w:rsid w:val="00292840"/>
    <w:rsid w:val="00294F07"/>
    <w:rsid w:val="00296F5E"/>
    <w:rsid w:val="002A093F"/>
    <w:rsid w:val="002A1F8F"/>
    <w:rsid w:val="002A67E9"/>
    <w:rsid w:val="002B1F6D"/>
    <w:rsid w:val="002B26ED"/>
    <w:rsid w:val="002B4E42"/>
    <w:rsid w:val="002B61F7"/>
    <w:rsid w:val="002C262A"/>
    <w:rsid w:val="002C7E20"/>
    <w:rsid w:val="002D071C"/>
    <w:rsid w:val="002D40F1"/>
    <w:rsid w:val="002E0D66"/>
    <w:rsid w:val="002E450E"/>
    <w:rsid w:val="002E5BD7"/>
    <w:rsid w:val="002E6880"/>
    <w:rsid w:val="002F37FA"/>
    <w:rsid w:val="002F51DD"/>
    <w:rsid w:val="002F7FEF"/>
    <w:rsid w:val="003002FD"/>
    <w:rsid w:val="00302519"/>
    <w:rsid w:val="00303661"/>
    <w:rsid w:val="003045A3"/>
    <w:rsid w:val="0031162D"/>
    <w:rsid w:val="003166B7"/>
    <w:rsid w:val="00320B3F"/>
    <w:rsid w:val="003324FE"/>
    <w:rsid w:val="00342938"/>
    <w:rsid w:val="003432BC"/>
    <w:rsid w:val="00345EA4"/>
    <w:rsid w:val="003462E3"/>
    <w:rsid w:val="0035501D"/>
    <w:rsid w:val="00360AB8"/>
    <w:rsid w:val="003627CA"/>
    <w:rsid w:val="00365787"/>
    <w:rsid w:val="00366AD4"/>
    <w:rsid w:val="00366CB9"/>
    <w:rsid w:val="00374ED8"/>
    <w:rsid w:val="00380258"/>
    <w:rsid w:val="00381160"/>
    <w:rsid w:val="00382D90"/>
    <w:rsid w:val="00385D5F"/>
    <w:rsid w:val="00390BEB"/>
    <w:rsid w:val="003930FB"/>
    <w:rsid w:val="00395096"/>
    <w:rsid w:val="00395225"/>
    <w:rsid w:val="00395762"/>
    <w:rsid w:val="00395A76"/>
    <w:rsid w:val="00395A7D"/>
    <w:rsid w:val="003B0E76"/>
    <w:rsid w:val="003B45F9"/>
    <w:rsid w:val="003B6DB6"/>
    <w:rsid w:val="003B7195"/>
    <w:rsid w:val="003B7EBD"/>
    <w:rsid w:val="003C2193"/>
    <w:rsid w:val="003C22C4"/>
    <w:rsid w:val="003C407D"/>
    <w:rsid w:val="003C5DDF"/>
    <w:rsid w:val="003C641B"/>
    <w:rsid w:val="003D1B67"/>
    <w:rsid w:val="003D2116"/>
    <w:rsid w:val="003D5BDB"/>
    <w:rsid w:val="003D616D"/>
    <w:rsid w:val="003D71F0"/>
    <w:rsid w:val="003E0CBC"/>
    <w:rsid w:val="003E2BA4"/>
    <w:rsid w:val="004011A9"/>
    <w:rsid w:val="00401637"/>
    <w:rsid w:val="0040191B"/>
    <w:rsid w:val="00403D48"/>
    <w:rsid w:val="00407AC0"/>
    <w:rsid w:val="00423472"/>
    <w:rsid w:val="00437C7B"/>
    <w:rsid w:val="0044329F"/>
    <w:rsid w:val="004432C4"/>
    <w:rsid w:val="004450ED"/>
    <w:rsid w:val="00446C0F"/>
    <w:rsid w:val="00455B61"/>
    <w:rsid w:val="00455D88"/>
    <w:rsid w:val="00456539"/>
    <w:rsid w:val="00462CD3"/>
    <w:rsid w:val="00467473"/>
    <w:rsid w:val="00467FBF"/>
    <w:rsid w:val="0047018D"/>
    <w:rsid w:val="00471DD2"/>
    <w:rsid w:val="004767D6"/>
    <w:rsid w:val="0047713B"/>
    <w:rsid w:val="00480568"/>
    <w:rsid w:val="004856A4"/>
    <w:rsid w:val="004860F6"/>
    <w:rsid w:val="004962E7"/>
    <w:rsid w:val="004A4C7A"/>
    <w:rsid w:val="004B0000"/>
    <w:rsid w:val="004B0968"/>
    <w:rsid w:val="004B2F8B"/>
    <w:rsid w:val="004C49E8"/>
    <w:rsid w:val="004D0D8F"/>
    <w:rsid w:val="004D2A28"/>
    <w:rsid w:val="004D67A8"/>
    <w:rsid w:val="004E29A6"/>
    <w:rsid w:val="004E526B"/>
    <w:rsid w:val="004F2E68"/>
    <w:rsid w:val="004F3E87"/>
    <w:rsid w:val="004F48AF"/>
    <w:rsid w:val="004F6120"/>
    <w:rsid w:val="0050169F"/>
    <w:rsid w:val="005019B4"/>
    <w:rsid w:val="00502611"/>
    <w:rsid w:val="00504F37"/>
    <w:rsid w:val="005050BA"/>
    <w:rsid w:val="00505F17"/>
    <w:rsid w:val="00506780"/>
    <w:rsid w:val="00513705"/>
    <w:rsid w:val="00513AB3"/>
    <w:rsid w:val="00513FDC"/>
    <w:rsid w:val="00515C14"/>
    <w:rsid w:val="00516261"/>
    <w:rsid w:val="00520CED"/>
    <w:rsid w:val="005225CB"/>
    <w:rsid w:val="00524D54"/>
    <w:rsid w:val="00524E4B"/>
    <w:rsid w:val="00531789"/>
    <w:rsid w:val="00531BC8"/>
    <w:rsid w:val="005342C1"/>
    <w:rsid w:val="0053639C"/>
    <w:rsid w:val="00541771"/>
    <w:rsid w:val="00544A24"/>
    <w:rsid w:val="00551B1F"/>
    <w:rsid w:val="00552BFB"/>
    <w:rsid w:val="005539A1"/>
    <w:rsid w:val="00554C2C"/>
    <w:rsid w:val="00561B22"/>
    <w:rsid w:val="005626AC"/>
    <w:rsid w:val="00564DD2"/>
    <w:rsid w:val="005678CA"/>
    <w:rsid w:val="0057630F"/>
    <w:rsid w:val="00577560"/>
    <w:rsid w:val="00583A01"/>
    <w:rsid w:val="00585D28"/>
    <w:rsid w:val="00586093"/>
    <w:rsid w:val="00590020"/>
    <w:rsid w:val="0059262E"/>
    <w:rsid w:val="00592FAF"/>
    <w:rsid w:val="005961A4"/>
    <w:rsid w:val="005A1EEA"/>
    <w:rsid w:val="005A24F4"/>
    <w:rsid w:val="005A7771"/>
    <w:rsid w:val="005B5A94"/>
    <w:rsid w:val="005C2538"/>
    <w:rsid w:val="005C3E87"/>
    <w:rsid w:val="005C5999"/>
    <w:rsid w:val="005C5CC8"/>
    <w:rsid w:val="005C78DB"/>
    <w:rsid w:val="005D0409"/>
    <w:rsid w:val="005D0AD0"/>
    <w:rsid w:val="005D2E0E"/>
    <w:rsid w:val="005D6497"/>
    <w:rsid w:val="005D668A"/>
    <w:rsid w:val="005E1E0C"/>
    <w:rsid w:val="005E2915"/>
    <w:rsid w:val="005E4DA7"/>
    <w:rsid w:val="005E5738"/>
    <w:rsid w:val="005F2CD7"/>
    <w:rsid w:val="00600C72"/>
    <w:rsid w:val="00601B08"/>
    <w:rsid w:val="00602EA7"/>
    <w:rsid w:val="00606C39"/>
    <w:rsid w:val="00611892"/>
    <w:rsid w:val="00614BFF"/>
    <w:rsid w:val="00615C3D"/>
    <w:rsid w:val="00620DED"/>
    <w:rsid w:val="00621C2D"/>
    <w:rsid w:val="00621C63"/>
    <w:rsid w:val="0062572E"/>
    <w:rsid w:val="00626C4B"/>
    <w:rsid w:val="006279A9"/>
    <w:rsid w:val="00640A2D"/>
    <w:rsid w:val="0064228F"/>
    <w:rsid w:val="00643F25"/>
    <w:rsid w:val="00644D34"/>
    <w:rsid w:val="006461A8"/>
    <w:rsid w:val="00647220"/>
    <w:rsid w:val="00647260"/>
    <w:rsid w:val="00650CBB"/>
    <w:rsid w:val="00656CEA"/>
    <w:rsid w:val="006622C5"/>
    <w:rsid w:val="006638BC"/>
    <w:rsid w:val="0066497A"/>
    <w:rsid w:val="00664DEB"/>
    <w:rsid w:val="006669C8"/>
    <w:rsid w:val="0067059C"/>
    <w:rsid w:val="006776A5"/>
    <w:rsid w:val="0068718C"/>
    <w:rsid w:val="0068721D"/>
    <w:rsid w:val="00692313"/>
    <w:rsid w:val="00693120"/>
    <w:rsid w:val="00693ED8"/>
    <w:rsid w:val="006A09CB"/>
    <w:rsid w:val="006A1B7D"/>
    <w:rsid w:val="006A462D"/>
    <w:rsid w:val="006A52C7"/>
    <w:rsid w:val="006A5B77"/>
    <w:rsid w:val="006A5EE7"/>
    <w:rsid w:val="006B33FD"/>
    <w:rsid w:val="006B473F"/>
    <w:rsid w:val="006D0BBC"/>
    <w:rsid w:val="006D115F"/>
    <w:rsid w:val="006D19B4"/>
    <w:rsid w:val="006D4C1C"/>
    <w:rsid w:val="006D6368"/>
    <w:rsid w:val="006D727C"/>
    <w:rsid w:val="006E07E9"/>
    <w:rsid w:val="006E1651"/>
    <w:rsid w:val="006E64EB"/>
    <w:rsid w:val="006E762B"/>
    <w:rsid w:val="006F1547"/>
    <w:rsid w:val="006F40A3"/>
    <w:rsid w:val="006F57EF"/>
    <w:rsid w:val="006F66F2"/>
    <w:rsid w:val="00704D9E"/>
    <w:rsid w:val="00706EC6"/>
    <w:rsid w:val="00711932"/>
    <w:rsid w:val="00711E9C"/>
    <w:rsid w:val="00715861"/>
    <w:rsid w:val="007208DC"/>
    <w:rsid w:val="00730CED"/>
    <w:rsid w:val="00733BDE"/>
    <w:rsid w:val="00740200"/>
    <w:rsid w:val="0074104C"/>
    <w:rsid w:val="007411DC"/>
    <w:rsid w:val="00742315"/>
    <w:rsid w:val="007427A8"/>
    <w:rsid w:val="007427B5"/>
    <w:rsid w:val="00742811"/>
    <w:rsid w:val="007500BE"/>
    <w:rsid w:val="00752A97"/>
    <w:rsid w:val="00753F1A"/>
    <w:rsid w:val="0076539A"/>
    <w:rsid w:val="00766CA4"/>
    <w:rsid w:val="00766E2E"/>
    <w:rsid w:val="007746ED"/>
    <w:rsid w:val="00774D0A"/>
    <w:rsid w:val="00781B47"/>
    <w:rsid w:val="0078308F"/>
    <w:rsid w:val="0078310F"/>
    <w:rsid w:val="007A41EC"/>
    <w:rsid w:val="007B1CFA"/>
    <w:rsid w:val="007B1EB1"/>
    <w:rsid w:val="007B35A3"/>
    <w:rsid w:val="007B4CCF"/>
    <w:rsid w:val="007B6C22"/>
    <w:rsid w:val="007B76BD"/>
    <w:rsid w:val="007C0BCE"/>
    <w:rsid w:val="007C63C4"/>
    <w:rsid w:val="007D31B4"/>
    <w:rsid w:val="007E4F11"/>
    <w:rsid w:val="007E4FDA"/>
    <w:rsid w:val="007E61FA"/>
    <w:rsid w:val="007E7450"/>
    <w:rsid w:val="007F2EE3"/>
    <w:rsid w:val="007F3AA5"/>
    <w:rsid w:val="007F4DA2"/>
    <w:rsid w:val="007F6F79"/>
    <w:rsid w:val="007F7BB4"/>
    <w:rsid w:val="00800275"/>
    <w:rsid w:val="00800566"/>
    <w:rsid w:val="0080174C"/>
    <w:rsid w:val="00801807"/>
    <w:rsid w:val="00801EEF"/>
    <w:rsid w:val="0080554D"/>
    <w:rsid w:val="008065BC"/>
    <w:rsid w:val="008068A0"/>
    <w:rsid w:val="00810CBA"/>
    <w:rsid w:val="00812A46"/>
    <w:rsid w:val="008133FE"/>
    <w:rsid w:val="008211DC"/>
    <w:rsid w:val="0082189C"/>
    <w:rsid w:val="0082452D"/>
    <w:rsid w:val="00836E90"/>
    <w:rsid w:val="0083774E"/>
    <w:rsid w:val="008413E4"/>
    <w:rsid w:val="00843BC7"/>
    <w:rsid w:val="00847B47"/>
    <w:rsid w:val="00852723"/>
    <w:rsid w:val="00853F9D"/>
    <w:rsid w:val="00855C60"/>
    <w:rsid w:val="008604E6"/>
    <w:rsid w:val="0086285D"/>
    <w:rsid w:val="00862AAC"/>
    <w:rsid w:val="00864D5F"/>
    <w:rsid w:val="00867FE6"/>
    <w:rsid w:val="00870112"/>
    <w:rsid w:val="00870C24"/>
    <w:rsid w:val="00872AA8"/>
    <w:rsid w:val="00872C39"/>
    <w:rsid w:val="00877273"/>
    <w:rsid w:val="008841F9"/>
    <w:rsid w:val="00886282"/>
    <w:rsid w:val="00893D13"/>
    <w:rsid w:val="00895D57"/>
    <w:rsid w:val="00896C9B"/>
    <w:rsid w:val="00896E97"/>
    <w:rsid w:val="008A05E0"/>
    <w:rsid w:val="008A1C11"/>
    <w:rsid w:val="008B24F3"/>
    <w:rsid w:val="008B4F54"/>
    <w:rsid w:val="008C250B"/>
    <w:rsid w:val="008C2C6D"/>
    <w:rsid w:val="008C3922"/>
    <w:rsid w:val="008C597B"/>
    <w:rsid w:val="008C6292"/>
    <w:rsid w:val="008C6530"/>
    <w:rsid w:val="008D41BF"/>
    <w:rsid w:val="008D4BC3"/>
    <w:rsid w:val="008F42AB"/>
    <w:rsid w:val="009017DB"/>
    <w:rsid w:val="00901D42"/>
    <w:rsid w:val="00903C94"/>
    <w:rsid w:val="00906A51"/>
    <w:rsid w:val="009177E4"/>
    <w:rsid w:val="00921EE8"/>
    <w:rsid w:val="00922535"/>
    <w:rsid w:val="009307F8"/>
    <w:rsid w:val="00933A4E"/>
    <w:rsid w:val="00933E02"/>
    <w:rsid w:val="00935EB1"/>
    <w:rsid w:val="009458F2"/>
    <w:rsid w:val="0095276E"/>
    <w:rsid w:val="00952810"/>
    <w:rsid w:val="0095771C"/>
    <w:rsid w:val="00957EBD"/>
    <w:rsid w:val="00961ADA"/>
    <w:rsid w:val="00964D54"/>
    <w:rsid w:val="009743AD"/>
    <w:rsid w:val="00977E66"/>
    <w:rsid w:val="00980EF0"/>
    <w:rsid w:val="009816B2"/>
    <w:rsid w:val="00982846"/>
    <w:rsid w:val="00983EC7"/>
    <w:rsid w:val="00985224"/>
    <w:rsid w:val="00987A1B"/>
    <w:rsid w:val="009946CE"/>
    <w:rsid w:val="0099606F"/>
    <w:rsid w:val="009A3256"/>
    <w:rsid w:val="009A34F9"/>
    <w:rsid w:val="009A3750"/>
    <w:rsid w:val="009A4BFF"/>
    <w:rsid w:val="009A6C8B"/>
    <w:rsid w:val="009B027C"/>
    <w:rsid w:val="009B1ED1"/>
    <w:rsid w:val="009B37E0"/>
    <w:rsid w:val="009B6656"/>
    <w:rsid w:val="009C08A2"/>
    <w:rsid w:val="009C261B"/>
    <w:rsid w:val="009C5E1F"/>
    <w:rsid w:val="009D2FD9"/>
    <w:rsid w:val="009D3EAE"/>
    <w:rsid w:val="009D4235"/>
    <w:rsid w:val="009E104F"/>
    <w:rsid w:val="009E158D"/>
    <w:rsid w:val="009E4FB6"/>
    <w:rsid w:val="009E7922"/>
    <w:rsid w:val="009F1074"/>
    <w:rsid w:val="009F6F8D"/>
    <w:rsid w:val="00A00D54"/>
    <w:rsid w:val="00A05DB3"/>
    <w:rsid w:val="00A0720D"/>
    <w:rsid w:val="00A073B6"/>
    <w:rsid w:val="00A1533A"/>
    <w:rsid w:val="00A15D3C"/>
    <w:rsid w:val="00A23001"/>
    <w:rsid w:val="00A26642"/>
    <w:rsid w:val="00A3015D"/>
    <w:rsid w:val="00A3451B"/>
    <w:rsid w:val="00A36ECB"/>
    <w:rsid w:val="00A41219"/>
    <w:rsid w:val="00A41AF3"/>
    <w:rsid w:val="00A42838"/>
    <w:rsid w:val="00A47E97"/>
    <w:rsid w:val="00A50937"/>
    <w:rsid w:val="00A546F2"/>
    <w:rsid w:val="00A574F3"/>
    <w:rsid w:val="00A62FE9"/>
    <w:rsid w:val="00A630B4"/>
    <w:rsid w:val="00A631B4"/>
    <w:rsid w:val="00A6388B"/>
    <w:rsid w:val="00A647E4"/>
    <w:rsid w:val="00A80414"/>
    <w:rsid w:val="00A91E60"/>
    <w:rsid w:val="00A932B9"/>
    <w:rsid w:val="00A93398"/>
    <w:rsid w:val="00A9628D"/>
    <w:rsid w:val="00A97B7F"/>
    <w:rsid w:val="00AA1275"/>
    <w:rsid w:val="00AA1FFF"/>
    <w:rsid w:val="00AA3214"/>
    <w:rsid w:val="00AA3F99"/>
    <w:rsid w:val="00AA7240"/>
    <w:rsid w:val="00AB058E"/>
    <w:rsid w:val="00AB4EA4"/>
    <w:rsid w:val="00AB70DD"/>
    <w:rsid w:val="00AC252A"/>
    <w:rsid w:val="00AC6757"/>
    <w:rsid w:val="00AC7B7E"/>
    <w:rsid w:val="00AD1BEB"/>
    <w:rsid w:val="00AD4F25"/>
    <w:rsid w:val="00AD5603"/>
    <w:rsid w:val="00AE0E27"/>
    <w:rsid w:val="00AE5742"/>
    <w:rsid w:val="00AF191E"/>
    <w:rsid w:val="00AF218C"/>
    <w:rsid w:val="00AF29CC"/>
    <w:rsid w:val="00AF59FC"/>
    <w:rsid w:val="00AF6BDF"/>
    <w:rsid w:val="00AF7B96"/>
    <w:rsid w:val="00B07CB1"/>
    <w:rsid w:val="00B1066C"/>
    <w:rsid w:val="00B20452"/>
    <w:rsid w:val="00B2569F"/>
    <w:rsid w:val="00B2779B"/>
    <w:rsid w:val="00B30DF1"/>
    <w:rsid w:val="00B3337F"/>
    <w:rsid w:val="00B34CA2"/>
    <w:rsid w:val="00B452EF"/>
    <w:rsid w:val="00B471C0"/>
    <w:rsid w:val="00B51526"/>
    <w:rsid w:val="00B5253B"/>
    <w:rsid w:val="00B63D1E"/>
    <w:rsid w:val="00B67C7A"/>
    <w:rsid w:val="00B7075F"/>
    <w:rsid w:val="00B7100B"/>
    <w:rsid w:val="00B72A99"/>
    <w:rsid w:val="00B840CF"/>
    <w:rsid w:val="00B90791"/>
    <w:rsid w:val="00B922FB"/>
    <w:rsid w:val="00B92CC1"/>
    <w:rsid w:val="00B93578"/>
    <w:rsid w:val="00B97AE8"/>
    <w:rsid w:val="00BA4900"/>
    <w:rsid w:val="00BB13C6"/>
    <w:rsid w:val="00BB2682"/>
    <w:rsid w:val="00BB5F5F"/>
    <w:rsid w:val="00BC1FFE"/>
    <w:rsid w:val="00BC2943"/>
    <w:rsid w:val="00BC5396"/>
    <w:rsid w:val="00BD3145"/>
    <w:rsid w:val="00BD38CC"/>
    <w:rsid w:val="00BD3CFE"/>
    <w:rsid w:val="00BE2A16"/>
    <w:rsid w:val="00BE2D82"/>
    <w:rsid w:val="00BE3D69"/>
    <w:rsid w:val="00BE4F8C"/>
    <w:rsid w:val="00BE6643"/>
    <w:rsid w:val="00BE7E6D"/>
    <w:rsid w:val="00BF0EB8"/>
    <w:rsid w:val="00BF6206"/>
    <w:rsid w:val="00C00867"/>
    <w:rsid w:val="00C01C5E"/>
    <w:rsid w:val="00C11A2F"/>
    <w:rsid w:val="00C14528"/>
    <w:rsid w:val="00C2448A"/>
    <w:rsid w:val="00C24DF0"/>
    <w:rsid w:val="00C26E18"/>
    <w:rsid w:val="00C27412"/>
    <w:rsid w:val="00C3130E"/>
    <w:rsid w:val="00C356A7"/>
    <w:rsid w:val="00C3786A"/>
    <w:rsid w:val="00C37A84"/>
    <w:rsid w:val="00C73FFB"/>
    <w:rsid w:val="00C77692"/>
    <w:rsid w:val="00C776CC"/>
    <w:rsid w:val="00C80725"/>
    <w:rsid w:val="00C826FB"/>
    <w:rsid w:val="00C84723"/>
    <w:rsid w:val="00C87987"/>
    <w:rsid w:val="00C90DAE"/>
    <w:rsid w:val="00C92585"/>
    <w:rsid w:val="00C9310E"/>
    <w:rsid w:val="00CA164B"/>
    <w:rsid w:val="00CB2BDF"/>
    <w:rsid w:val="00CB2F62"/>
    <w:rsid w:val="00CB4353"/>
    <w:rsid w:val="00CB5B3F"/>
    <w:rsid w:val="00CB5C39"/>
    <w:rsid w:val="00CC1498"/>
    <w:rsid w:val="00CC4568"/>
    <w:rsid w:val="00CC65F7"/>
    <w:rsid w:val="00CD51CF"/>
    <w:rsid w:val="00CD5CFC"/>
    <w:rsid w:val="00CD5F26"/>
    <w:rsid w:val="00CD61FE"/>
    <w:rsid w:val="00CD699E"/>
    <w:rsid w:val="00CE00F6"/>
    <w:rsid w:val="00CE1FBE"/>
    <w:rsid w:val="00CE2A5F"/>
    <w:rsid w:val="00CE44FF"/>
    <w:rsid w:val="00CE7D73"/>
    <w:rsid w:val="00CE7F69"/>
    <w:rsid w:val="00CF017E"/>
    <w:rsid w:val="00CF0614"/>
    <w:rsid w:val="00CF1B15"/>
    <w:rsid w:val="00D04D34"/>
    <w:rsid w:val="00D04DD6"/>
    <w:rsid w:val="00D06439"/>
    <w:rsid w:val="00D10015"/>
    <w:rsid w:val="00D14FED"/>
    <w:rsid w:val="00D15580"/>
    <w:rsid w:val="00D17771"/>
    <w:rsid w:val="00D17C9C"/>
    <w:rsid w:val="00D23FF2"/>
    <w:rsid w:val="00D32EEB"/>
    <w:rsid w:val="00D35E86"/>
    <w:rsid w:val="00D365DD"/>
    <w:rsid w:val="00D37A2C"/>
    <w:rsid w:val="00D41D0F"/>
    <w:rsid w:val="00D42514"/>
    <w:rsid w:val="00D4346E"/>
    <w:rsid w:val="00D43AC1"/>
    <w:rsid w:val="00D45693"/>
    <w:rsid w:val="00D45996"/>
    <w:rsid w:val="00D51F90"/>
    <w:rsid w:val="00D52371"/>
    <w:rsid w:val="00D52C0F"/>
    <w:rsid w:val="00D539A4"/>
    <w:rsid w:val="00D54CFA"/>
    <w:rsid w:val="00D57EBE"/>
    <w:rsid w:val="00D70A30"/>
    <w:rsid w:val="00D72465"/>
    <w:rsid w:val="00D7251C"/>
    <w:rsid w:val="00D726F3"/>
    <w:rsid w:val="00D73818"/>
    <w:rsid w:val="00D74B02"/>
    <w:rsid w:val="00D74D84"/>
    <w:rsid w:val="00D75B19"/>
    <w:rsid w:val="00D7680C"/>
    <w:rsid w:val="00D76C7D"/>
    <w:rsid w:val="00D77860"/>
    <w:rsid w:val="00D841C8"/>
    <w:rsid w:val="00D84CF4"/>
    <w:rsid w:val="00D87BD0"/>
    <w:rsid w:val="00D90682"/>
    <w:rsid w:val="00D90954"/>
    <w:rsid w:val="00D9152C"/>
    <w:rsid w:val="00D97129"/>
    <w:rsid w:val="00DA213D"/>
    <w:rsid w:val="00DA3CCF"/>
    <w:rsid w:val="00DA42C9"/>
    <w:rsid w:val="00DA5F81"/>
    <w:rsid w:val="00DA7F77"/>
    <w:rsid w:val="00DB05F0"/>
    <w:rsid w:val="00DB2971"/>
    <w:rsid w:val="00DB3153"/>
    <w:rsid w:val="00DB6B4B"/>
    <w:rsid w:val="00DC235B"/>
    <w:rsid w:val="00DC3C0E"/>
    <w:rsid w:val="00DC78F6"/>
    <w:rsid w:val="00DC79C8"/>
    <w:rsid w:val="00DD3296"/>
    <w:rsid w:val="00DE26E8"/>
    <w:rsid w:val="00DF1D90"/>
    <w:rsid w:val="00DF548B"/>
    <w:rsid w:val="00DF5C18"/>
    <w:rsid w:val="00E03116"/>
    <w:rsid w:val="00E076B9"/>
    <w:rsid w:val="00E1639D"/>
    <w:rsid w:val="00E1669D"/>
    <w:rsid w:val="00E16F5C"/>
    <w:rsid w:val="00E179D9"/>
    <w:rsid w:val="00E20903"/>
    <w:rsid w:val="00E225DF"/>
    <w:rsid w:val="00E23C8E"/>
    <w:rsid w:val="00E30E78"/>
    <w:rsid w:val="00E31F47"/>
    <w:rsid w:val="00E35BFA"/>
    <w:rsid w:val="00E370EE"/>
    <w:rsid w:val="00E37BBE"/>
    <w:rsid w:val="00E40556"/>
    <w:rsid w:val="00E40E0A"/>
    <w:rsid w:val="00E43C22"/>
    <w:rsid w:val="00E43E00"/>
    <w:rsid w:val="00E44A46"/>
    <w:rsid w:val="00E45141"/>
    <w:rsid w:val="00E46C76"/>
    <w:rsid w:val="00E51410"/>
    <w:rsid w:val="00E521DB"/>
    <w:rsid w:val="00E6240B"/>
    <w:rsid w:val="00E62F4B"/>
    <w:rsid w:val="00E73D74"/>
    <w:rsid w:val="00E75A26"/>
    <w:rsid w:val="00E8022C"/>
    <w:rsid w:val="00E823DD"/>
    <w:rsid w:val="00E93FB4"/>
    <w:rsid w:val="00E969B3"/>
    <w:rsid w:val="00EA296B"/>
    <w:rsid w:val="00EA61EC"/>
    <w:rsid w:val="00EB1E3B"/>
    <w:rsid w:val="00EB4167"/>
    <w:rsid w:val="00EB67C2"/>
    <w:rsid w:val="00EC0CF9"/>
    <w:rsid w:val="00EC11FE"/>
    <w:rsid w:val="00EC2314"/>
    <w:rsid w:val="00EC356A"/>
    <w:rsid w:val="00ED00A0"/>
    <w:rsid w:val="00ED26C8"/>
    <w:rsid w:val="00ED34C3"/>
    <w:rsid w:val="00ED38DB"/>
    <w:rsid w:val="00EE39A4"/>
    <w:rsid w:val="00EF0F14"/>
    <w:rsid w:val="00EF121B"/>
    <w:rsid w:val="00EF1C74"/>
    <w:rsid w:val="00EF5DD8"/>
    <w:rsid w:val="00F07C79"/>
    <w:rsid w:val="00F1020D"/>
    <w:rsid w:val="00F10FD7"/>
    <w:rsid w:val="00F15A47"/>
    <w:rsid w:val="00F169C9"/>
    <w:rsid w:val="00F21D99"/>
    <w:rsid w:val="00F238AC"/>
    <w:rsid w:val="00F2568C"/>
    <w:rsid w:val="00F263D2"/>
    <w:rsid w:val="00F32244"/>
    <w:rsid w:val="00F3469D"/>
    <w:rsid w:val="00F34835"/>
    <w:rsid w:val="00F34DEA"/>
    <w:rsid w:val="00F36543"/>
    <w:rsid w:val="00F43B6D"/>
    <w:rsid w:val="00F43E92"/>
    <w:rsid w:val="00F45495"/>
    <w:rsid w:val="00F4573A"/>
    <w:rsid w:val="00F46B8B"/>
    <w:rsid w:val="00F50598"/>
    <w:rsid w:val="00F51AAA"/>
    <w:rsid w:val="00F54CD4"/>
    <w:rsid w:val="00F562D6"/>
    <w:rsid w:val="00F567AE"/>
    <w:rsid w:val="00F6167E"/>
    <w:rsid w:val="00F67C14"/>
    <w:rsid w:val="00F67D4D"/>
    <w:rsid w:val="00F705F8"/>
    <w:rsid w:val="00F74637"/>
    <w:rsid w:val="00F75D85"/>
    <w:rsid w:val="00F80880"/>
    <w:rsid w:val="00F818E0"/>
    <w:rsid w:val="00F82878"/>
    <w:rsid w:val="00F83A89"/>
    <w:rsid w:val="00F85142"/>
    <w:rsid w:val="00F856FE"/>
    <w:rsid w:val="00F930AC"/>
    <w:rsid w:val="00F944C3"/>
    <w:rsid w:val="00FA1010"/>
    <w:rsid w:val="00FA1C8F"/>
    <w:rsid w:val="00FA5C25"/>
    <w:rsid w:val="00FA750C"/>
    <w:rsid w:val="00FB00C4"/>
    <w:rsid w:val="00FB0E73"/>
    <w:rsid w:val="00FB3DE0"/>
    <w:rsid w:val="00FB4EAD"/>
    <w:rsid w:val="00FC09D3"/>
    <w:rsid w:val="00FC1874"/>
    <w:rsid w:val="00FC4D62"/>
    <w:rsid w:val="00FC51E9"/>
    <w:rsid w:val="00FD0D1A"/>
    <w:rsid w:val="00FD12BF"/>
    <w:rsid w:val="00FD48C6"/>
    <w:rsid w:val="00FE3162"/>
    <w:rsid w:val="00FE530C"/>
    <w:rsid w:val="00FF3D2C"/>
    <w:rsid w:val="00FF4E36"/>
    <w:rsid w:val="00FF6A41"/>
    <w:rsid w:val="02B57FC3"/>
    <w:rsid w:val="07BF4B8A"/>
    <w:rsid w:val="0A1641A0"/>
    <w:rsid w:val="0BFD3185"/>
    <w:rsid w:val="0DF135B0"/>
    <w:rsid w:val="0E1764AF"/>
    <w:rsid w:val="0EBC559C"/>
    <w:rsid w:val="123B2778"/>
    <w:rsid w:val="13E76BAD"/>
    <w:rsid w:val="13F45B93"/>
    <w:rsid w:val="14F05DE7"/>
    <w:rsid w:val="150050D1"/>
    <w:rsid w:val="15472A89"/>
    <w:rsid w:val="1A644AB4"/>
    <w:rsid w:val="1B38002E"/>
    <w:rsid w:val="1BC93522"/>
    <w:rsid w:val="1F8E5880"/>
    <w:rsid w:val="21B1501B"/>
    <w:rsid w:val="23A73395"/>
    <w:rsid w:val="24AD3254"/>
    <w:rsid w:val="263D4CCB"/>
    <w:rsid w:val="2AB74363"/>
    <w:rsid w:val="320E50AB"/>
    <w:rsid w:val="32C03F69"/>
    <w:rsid w:val="33FE7343"/>
    <w:rsid w:val="34FD5626"/>
    <w:rsid w:val="365E28A7"/>
    <w:rsid w:val="3A596459"/>
    <w:rsid w:val="3A664717"/>
    <w:rsid w:val="3B256145"/>
    <w:rsid w:val="3B48454E"/>
    <w:rsid w:val="3B935F1E"/>
    <w:rsid w:val="3BF82174"/>
    <w:rsid w:val="3C5D6681"/>
    <w:rsid w:val="3C8163F3"/>
    <w:rsid w:val="3D7E1D11"/>
    <w:rsid w:val="3FCB5A9D"/>
    <w:rsid w:val="3FDE3F5F"/>
    <w:rsid w:val="413D7367"/>
    <w:rsid w:val="41C31810"/>
    <w:rsid w:val="457C11D4"/>
    <w:rsid w:val="47AE5072"/>
    <w:rsid w:val="481D1FDE"/>
    <w:rsid w:val="48A22238"/>
    <w:rsid w:val="49D508C2"/>
    <w:rsid w:val="4FDC2E7D"/>
    <w:rsid w:val="507E5F1B"/>
    <w:rsid w:val="50C963FC"/>
    <w:rsid w:val="514566E6"/>
    <w:rsid w:val="5293597F"/>
    <w:rsid w:val="53FC7156"/>
    <w:rsid w:val="55C478BE"/>
    <w:rsid w:val="55F85C97"/>
    <w:rsid w:val="580746F5"/>
    <w:rsid w:val="584D4F1C"/>
    <w:rsid w:val="58E37F2E"/>
    <w:rsid w:val="597155E1"/>
    <w:rsid w:val="5ADC1DDD"/>
    <w:rsid w:val="5B747B25"/>
    <w:rsid w:val="5BFDF0BE"/>
    <w:rsid w:val="5BFE196B"/>
    <w:rsid w:val="5D0E3E47"/>
    <w:rsid w:val="5ED33159"/>
    <w:rsid w:val="604A2AED"/>
    <w:rsid w:val="618F0BB6"/>
    <w:rsid w:val="61A13D7C"/>
    <w:rsid w:val="61B950FD"/>
    <w:rsid w:val="62604310"/>
    <w:rsid w:val="67016824"/>
    <w:rsid w:val="68115C99"/>
    <w:rsid w:val="68706867"/>
    <w:rsid w:val="69931F9A"/>
    <w:rsid w:val="6AA61344"/>
    <w:rsid w:val="6C1C72EC"/>
    <w:rsid w:val="6C2A2565"/>
    <w:rsid w:val="6D0240E7"/>
    <w:rsid w:val="70AC166A"/>
    <w:rsid w:val="72DA341A"/>
    <w:rsid w:val="73EE5FD1"/>
    <w:rsid w:val="74685DA9"/>
    <w:rsid w:val="74C85615"/>
    <w:rsid w:val="74D93943"/>
    <w:rsid w:val="77303DAC"/>
    <w:rsid w:val="784256A8"/>
    <w:rsid w:val="78D750CC"/>
    <w:rsid w:val="7932167C"/>
    <w:rsid w:val="7A724A9E"/>
    <w:rsid w:val="7C6453C2"/>
    <w:rsid w:val="7CD90809"/>
    <w:rsid w:val="7DDA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99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qFormat="1" w:unhideWhenUsed="0" w:uiPriority="9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="Times New Roman" w:hAnsi="Times New Roman" w:eastAsia="宋体" w:cs="Times New Roman"/>
      <w:kern w:val="0"/>
      <w:sz w:val="22"/>
      <w:szCs w:val="22"/>
      <w:lang w:val="en-US" w:eastAsia="en-US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99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eader"/>
    <w:basedOn w:val="1"/>
    <w:link w:val="1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table" w:styleId="6">
    <w:name w:val="Table Grid"/>
    <w:basedOn w:val="5"/>
    <w:qFormat/>
    <w:locked/>
    <w:uiPriority w:val="99"/>
    <w:pPr>
      <w:widowControl w:val="0"/>
      <w:spacing w:after="200" w:line="276" w:lineRule="auto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99"/>
    <w:rPr>
      <w:rFonts w:cs="Times New Roman"/>
      <w:b/>
      <w:bCs/>
    </w:rPr>
  </w:style>
  <w:style w:type="character" w:styleId="9">
    <w:name w:val="Hyperlink"/>
    <w:basedOn w:val="7"/>
    <w:qFormat/>
    <w:uiPriority w:val="99"/>
    <w:rPr>
      <w:rFonts w:cs="Times New Roman"/>
      <w:color w:val="0000FF"/>
      <w:u w:val="single"/>
    </w:rPr>
  </w:style>
  <w:style w:type="paragraph" w:customStyle="1" w:styleId="10">
    <w:name w:val="列出段落1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character" w:customStyle="1" w:styleId="11">
    <w:name w:val="Header Char"/>
    <w:basedOn w:val="7"/>
    <w:link w:val="4"/>
    <w:semiHidden/>
    <w:qFormat/>
    <w:locked/>
    <w:uiPriority w:val="99"/>
    <w:rPr>
      <w:rFonts w:cs="Times New Roman"/>
      <w:kern w:val="0"/>
      <w:sz w:val="18"/>
      <w:szCs w:val="18"/>
      <w:lang w:eastAsia="en-US"/>
    </w:rPr>
  </w:style>
  <w:style w:type="character" w:customStyle="1" w:styleId="12">
    <w:name w:val="Footer Char"/>
    <w:basedOn w:val="7"/>
    <w:link w:val="3"/>
    <w:semiHidden/>
    <w:qFormat/>
    <w:locked/>
    <w:uiPriority w:val="99"/>
    <w:rPr>
      <w:rFonts w:cs="Times New Roman"/>
      <w:kern w:val="0"/>
      <w:sz w:val="18"/>
      <w:szCs w:val="18"/>
      <w:lang w:eastAsia="en-US"/>
    </w:rPr>
  </w:style>
  <w:style w:type="character" w:customStyle="1" w:styleId="13">
    <w:name w:val="Balloon Text Char"/>
    <w:basedOn w:val="7"/>
    <w:link w:val="2"/>
    <w:qFormat/>
    <w:locked/>
    <w:uiPriority w:val="99"/>
    <w:rPr>
      <w:rFonts w:ascii="Calibri" w:hAnsi="Calibri" w:cs="Times New Roman"/>
      <w:sz w:val="18"/>
      <w:szCs w:val="18"/>
      <w:lang w:eastAsia="en-US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301</Words>
  <Characters>382</Characters>
  <Lines>0</Lines>
  <Paragraphs>0</Paragraphs>
  <TotalTime>7</TotalTime>
  <ScaleCrop>false</ScaleCrop>
  <LinksUpToDate>false</LinksUpToDate>
  <CharactersWithSpaces>383</CharactersWithSpaces>
  <Application>WPS Office_12.1.2.29183_F1E327BC-269C-435d-A152-05C5408002CA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2014-11-10T10:41:00Z</dcterms:created>
  <dc:creator>lijingwei</dc:creator>
  <cp:lastModifiedBy>李冠桥</cp:lastModifiedBy>
  <cp:lastPrinted>2015-12-25T13:20:00Z</cp:lastPrinted>
  <dcterms:modified xsi:type="dcterms:W3CDTF">2026-10-14T10:57:07Z</dcterms:modified>
  <dc:title>2014 年 2 月黑龙江省 空气质量报告</dc:title>
  <cp:revision>237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2052-12.1.2.29183</vt:lpwstr>
  </property>
  <property fmtid="{D5CDD505-2E9C-101B-9397-08002B2CF9AE}" pid="3" name="ICV">
    <vt:lpwstr>680DDF5EB5FD3EAD83EFCE6A1C47B776_43</vt:lpwstr>
  </property>
  <property fmtid="{D5CDD505-2E9C-101B-9397-08002B2CF9AE}" pid="4" name="KSOTemplateDocerSaveRecord">
    <vt:lpwstr>eyJoZGlkIjoiNTc1ZjA3ZTk3MDM0ZTkyNDAyMDFlMTZmOWJlYjNkZjYiLCJ1c2VySWQiOiIyNTMzMDY2NjEifQ==</vt:lpwstr>
  </property>
</Properties>
</file>