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ascii="宋体" w:hAnsi="宋体" w:eastAsia="宋体" w:cs="宋体"/>
          <w:b/>
          <w:bCs/>
          <w:kern w:val="0"/>
          <w:sz w:val="44"/>
          <w:szCs w:val="44"/>
        </w:rPr>
      </w:pPr>
      <w:bookmarkStart w:id="0" w:name="_Hlk62463445"/>
      <w:r>
        <w:rPr>
          <w:rFonts w:hint="eastAsia" w:ascii="宋体" w:hAnsi="宋体" w:eastAsia="宋体" w:cs="宋体"/>
          <w:b/>
          <w:bCs/>
          <w:kern w:val="0"/>
          <w:sz w:val="44"/>
          <w:szCs w:val="44"/>
        </w:rPr>
        <w:t>南山区2019年度退役军人事务局</w:t>
      </w:r>
    </w:p>
    <w:p>
      <w:pPr>
        <w:widowControl/>
        <w:shd w:val="clear" w:color="auto" w:fill="FFFFFF"/>
        <w:jc w:val="center"/>
        <w:outlineLvl w:val="1"/>
        <w:rPr>
          <w:rFonts w:ascii="宋体" w:hAnsi="宋体" w:eastAsia="宋体" w:cs="宋体"/>
          <w:b/>
          <w:bCs/>
          <w:kern w:val="0"/>
          <w:sz w:val="44"/>
          <w:szCs w:val="44"/>
        </w:rPr>
      </w:pPr>
      <w:r>
        <w:rPr>
          <w:rFonts w:hint="eastAsia" w:ascii="宋体" w:hAnsi="宋体" w:eastAsia="宋体" w:cs="宋体"/>
          <w:b/>
          <w:bCs/>
          <w:kern w:val="0"/>
          <w:sz w:val="44"/>
          <w:szCs w:val="44"/>
        </w:rPr>
        <w:t>政府信息公开工作年度报告</w:t>
      </w:r>
      <w:bookmarkEnd w:id="0"/>
    </w:p>
    <w:p>
      <w:pPr>
        <w:pStyle w:val="5"/>
        <w:shd w:val="clear" w:color="auto" w:fill="FFFFFF"/>
        <w:spacing w:before="0" w:beforeAutospacing="0" w:after="0" w:afterAutospacing="0" w:line="480" w:lineRule="auto"/>
        <w:ind w:firstLine="480"/>
        <w:jc w:val="both"/>
        <w:rPr>
          <w:color w:val="333333"/>
        </w:rPr>
      </w:pPr>
    </w:p>
    <w:p>
      <w:pPr>
        <w:pStyle w:val="5"/>
        <w:shd w:val="clear" w:color="auto" w:fill="FFFFFF"/>
        <w:spacing w:before="0" w:beforeAutospacing="0" w:after="0" w:afterAutospacing="0" w:line="480" w:lineRule="auto"/>
        <w:ind w:firstLine="480"/>
        <w:jc w:val="both"/>
        <w:rPr>
          <w:color w:val="333333"/>
          <w:sz w:val="32"/>
          <w:szCs w:val="32"/>
        </w:rPr>
      </w:pPr>
      <w:r>
        <w:rPr>
          <w:rFonts w:hint="eastAsia"/>
          <w:color w:val="333333"/>
          <w:sz w:val="32"/>
          <w:szCs w:val="32"/>
        </w:rPr>
        <w:t>南山区</w:t>
      </w:r>
      <w:r>
        <w:rPr>
          <w:rFonts w:hint="eastAsia"/>
          <w:color w:val="333333"/>
          <w:sz w:val="32"/>
          <w:szCs w:val="32"/>
          <w:lang w:val="en-US" w:eastAsia="zh-CN"/>
        </w:rPr>
        <w:t>退</w:t>
      </w:r>
      <w:r>
        <w:rPr>
          <w:rFonts w:hint="eastAsia"/>
          <w:color w:val="333333"/>
          <w:sz w:val="32"/>
          <w:szCs w:val="32"/>
        </w:rPr>
        <w:t>役军人事务局自成立以来，严格按照新修订的《中华人民共和国政府信息公开条例》以及国家、省、市要求，结合退役军人事务部门工作实际，进一步细化政务公开工作任务，加大政务公开力度，不断提高政务的能力和水平。现将南山区退役军人事务局2019年度政府信息公开工作报告予以公布。报告所列数据的统计期限自2019年1月1日起至2019年12月31日止。</w:t>
      </w:r>
      <w:bookmarkStart w:id="5" w:name="_GoBack"/>
      <w:bookmarkEnd w:id="5"/>
    </w:p>
    <w:p>
      <w:pPr>
        <w:pStyle w:val="5"/>
        <w:shd w:val="clear" w:color="auto" w:fill="FFFFFF"/>
        <w:spacing w:before="0" w:beforeAutospacing="0" w:after="0" w:afterAutospacing="0" w:line="480" w:lineRule="auto"/>
        <w:ind w:firstLine="480"/>
        <w:jc w:val="both"/>
        <w:rPr>
          <w:rFonts w:ascii="黑体" w:hAnsi="黑体" w:eastAsia="黑体" w:cs="Calibri"/>
          <w:color w:val="000000"/>
          <w:sz w:val="32"/>
          <w:szCs w:val="32"/>
        </w:rPr>
      </w:pPr>
      <w:bookmarkStart w:id="1" w:name="_Hlk62463486"/>
      <w:r>
        <w:rPr>
          <w:rFonts w:hint="eastAsia" w:ascii="黑体" w:hAnsi="黑体" w:eastAsia="黑体" w:cs="Calibri"/>
          <w:color w:val="000000"/>
          <w:sz w:val="32"/>
          <w:szCs w:val="32"/>
        </w:rPr>
        <w:t>一、总体情况</w:t>
      </w:r>
    </w:p>
    <w:bookmarkEnd w:id="1"/>
    <w:p>
      <w:pPr>
        <w:pStyle w:val="5"/>
        <w:shd w:val="clear" w:color="auto" w:fill="FFFFFF"/>
        <w:spacing w:before="0" w:beforeAutospacing="0" w:after="0" w:afterAutospacing="0" w:line="480" w:lineRule="auto"/>
        <w:ind w:firstLine="480"/>
        <w:jc w:val="both"/>
        <w:rPr>
          <w:color w:val="333333"/>
          <w:sz w:val="32"/>
          <w:szCs w:val="32"/>
        </w:rPr>
      </w:pPr>
      <w:r>
        <w:rPr>
          <w:rFonts w:hint="eastAsia"/>
          <w:color w:val="333333"/>
          <w:sz w:val="32"/>
          <w:szCs w:val="32"/>
        </w:rPr>
        <w:t>（一）加强领导，明确责任。我局高度重视政府信息公开工作，坚持把政府信息公开工作作为一项重要工作来抓，确保各项工作任务完成，明确一名工作人员专门负责日常公开工作。</w:t>
      </w:r>
    </w:p>
    <w:p>
      <w:pPr>
        <w:pStyle w:val="5"/>
        <w:shd w:val="clear" w:color="auto" w:fill="FFFFFF"/>
        <w:spacing w:before="0" w:beforeAutospacing="0" w:after="0" w:afterAutospacing="0" w:line="480" w:lineRule="auto"/>
        <w:ind w:firstLine="480"/>
        <w:jc w:val="both"/>
        <w:rPr>
          <w:color w:val="333333"/>
          <w:sz w:val="32"/>
          <w:szCs w:val="32"/>
        </w:rPr>
      </w:pPr>
      <w:r>
        <w:rPr>
          <w:rFonts w:hint="eastAsia"/>
          <w:color w:val="333333"/>
          <w:sz w:val="32"/>
          <w:szCs w:val="32"/>
        </w:rPr>
        <w:t>（二）积极学习，提高认识。提升业务能力，在工作中提高对政务公开重要性的认识。进一步增强了工作人员做好政务信息公开工作的责任感和紧迫感，认真开展规范政务信息公开工作。</w:t>
      </w:r>
    </w:p>
    <w:p>
      <w:pPr>
        <w:pStyle w:val="5"/>
        <w:shd w:val="clear" w:color="auto" w:fill="FFFFFF"/>
        <w:spacing w:before="0" w:beforeAutospacing="0" w:after="0" w:afterAutospacing="0" w:line="480" w:lineRule="auto"/>
        <w:ind w:firstLine="480"/>
        <w:jc w:val="both"/>
        <w:rPr>
          <w:color w:val="333333"/>
          <w:sz w:val="32"/>
          <w:szCs w:val="32"/>
        </w:rPr>
      </w:pPr>
      <w:r>
        <w:rPr>
          <w:rFonts w:hint="eastAsia"/>
          <w:color w:val="333333"/>
          <w:sz w:val="32"/>
          <w:szCs w:val="32"/>
        </w:rPr>
        <w:t>（三）完善制度，规范公开。为确保信息公开工作规范有序顺利开展，有关政务信息公开工作制度，工作人员人人遵守制度，人人按制度办事。同时认真贯彻《政府信息公开条例》和市局要求，严格遵守政府信息公开基本原则及相关规定。结合退役军人事务信息政治性和保密性强等客观因素，在允许公开的范围内，坚持以积极主动公开为原则，及时发布、更新各类工作信息，切实保障全区退役军人和重点优抚对象的知情权、参与权和监督权。</w:t>
      </w:r>
    </w:p>
    <w:p>
      <w:pPr>
        <w:widowControl/>
        <w:shd w:val="clear" w:color="auto" w:fill="FFFFFF"/>
        <w:wordWrap w:val="0"/>
        <w:ind w:firstLine="640"/>
        <w:jc w:val="left"/>
        <w:rPr>
          <w:rFonts w:ascii="Calibri" w:hAnsi="Calibri" w:eastAsia="宋体" w:cs="Calibri"/>
          <w:color w:val="000000"/>
          <w:kern w:val="0"/>
          <w:sz w:val="24"/>
          <w:szCs w:val="24"/>
        </w:rPr>
      </w:pPr>
      <w:bookmarkStart w:id="2" w:name="_Hlk62463327"/>
      <w:r>
        <w:rPr>
          <w:rFonts w:hint="eastAsia" w:ascii="黑体" w:hAnsi="黑体" w:eastAsia="黑体" w:cs="Calibri"/>
          <w:color w:val="000000"/>
          <w:kern w:val="0"/>
          <w:sz w:val="32"/>
          <w:szCs w:val="32"/>
        </w:rPr>
        <w:t>二、主动公开政府信息情况</w:t>
      </w:r>
    </w:p>
    <w:tbl>
      <w:tblPr>
        <w:tblStyle w:val="6"/>
        <w:tblW w:w="846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2622"/>
        <w:gridCol w:w="1787"/>
        <w:gridCol w:w="2147"/>
        <w:gridCol w:w="190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8456" w:type="dxa"/>
            <w:gridSpan w:val="4"/>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第二十条第（一）项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信息内容</w:t>
            </w:r>
          </w:p>
        </w:tc>
        <w:tc>
          <w:tcPr>
            <w:tcW w:w="178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4"/>
                <w:szCs w:val="24"/>
              </w:rPr>
              <w:t>本年新制作数量</w:t>
            </w:r>
          </w:p>
        </w:tc>
        <w:tc>
          <w:tcPr>
            <w:tcW w:w="214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4"/>
                <w:szCs w:val="24"/>
              </w:rPr>
              <w:t>本年新公开数量</w:t>
            </w:r>
          </w:p>
        </w:tc>
        <w:tc>
          <w:tcPr>
            <w:tcW w:w="19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4"/>
                <w:szCs w:val="24"/>
              </w:rPr>
              <w:t>对外公开总数量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规章</w:t>
            </w:r>
          </w:p>
        </w:tc>
        <w:tc>
          <w:tcPr>
            <w:tcW w:w="178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214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19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规范性文件</w:t>
            </w:r>
          </w:p>
        </w:tc>
        <w:tc>
          <w:tcPr>
            <w:tcW w:w="178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214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19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8456" w:type="dxa"/>
            <w:gridSpan w:val="4"/>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第二十条第（五）项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信息内容</w:t>
            </w:r>
          </w:p>
        </w:tc>
        <w:tc>
          <w:tcPr>
            <w:tcW w:w="178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4"/>
                <w:szCs w:val="24"/>
              </w:rPr>
              <w:t>上一年项目数量</w:t>
            </w:r>
          </w:p>
        </w:tc>
        <w:tc>
          <w:tcPr>
            <w:tcW w:w="214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本年增/减</w:t>
            </w:r>
          </w:p>
        </w:tc>
        <w:tc>
          <w:tcPr>
            <w:tcW w:w="19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4"/>
                <w:szCs w:val="24"/>
              </w:rPr>
              <w:t>处理决定数量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行政许可</w:t>
            </w:r>
          </w:p>
        </w:tc>
        <w:tc>
          <w:tcPr>
            <w:tcW w:w="178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214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19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4"/>
                <w:szCs w:val="24"/>
              </w:rPr>
              <w:t>其他对外管理服务事项</w:t>
            </w:r>
          </w:p>
        </w:tc>
        <w:tc>
          <w:tcPr>
            <w:tcW w:w="178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214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19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8456" w:type="dxa"/>
            <w:gridSpan w:val="4"/>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第二十条第（六）项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信息内容</w:t>
            </w:r>
          </w:p>
        </w:tc>
        <w:tc>
          <w:tcPr>
            <w:tcW w:w="178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4"/>
                <w:szCs w:val="24"/>
              </w:rPr>
              <w:t>上一年项目数量</w:t>
            </w:r>
          </w:p>
        </w:tc>
        <w:tc>
          <w:tcPr>
            <w:tcW w:w="214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本年增/减</w:t>
            </w:r>
          </w:p>
        </w:tc>
        <w:tc>
          <w:tcPr>
            <w:tcW w:w="19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4"/>
                <w:szCs w:val="24"/>
              </w:rPr>
              <w:t>处理决定数量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行政处罚</w:t>
            </w:r>
          </w:p>
        </w:tc>
        <w:tc>
          <w:tcPr>
            <w:tcW w:w="178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214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19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行政强制</w:t>
            </w:r>
          </w:p>
        </w:tc>
        <w:tc>
          <w:tcPr>
            <w:tcW w:w="178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214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19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8456" w:type="dxa"/>
            <w:gridSpan w:val="4"/>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第二十条第（八）项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信息内容</w:t>
            </w:r>
          </w:p>
        </w:tc>
        <w:tc>
          <w:tcPr>
            <w:tcW w:w="178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4"/>
                <w:szCs w:val="24"/>
              </w:rPr>
              <w:t>上一年项目数量</w:t>
            </w:r>
          </w:p>
        </w:tc>
        <w:tc>
          <w:tcPr>
            <w:tcW w:w="4049" w:type="dxa"/>
            <w:gridSpan w:val="2"/>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本年增/减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行政事业性收费</w:t>
            </w:r>
          </w:p>
        </w:tc>
        <w:tc>
          <w:tcPr>
            <w:tcW w:w="178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4049" w:type="dxa"/>
            <w:gridSpan w:val="2"/>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8456" w:type="dxa"/>
            <w:gridSpan w:val="4"/>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第二十条第（九）项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信息内容</w:t>
            </w:r>
          </w:p>
        </w:tc>
        <w:tc>
          <w:tcPr>
            <w:tcW w:w="178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4"/>
                <w:szCs w:val="24"/>
              </w:rPr>
              <w:t>采购项目数量</w:t>
            </w:r>
          </w:p>
        </w:tc>
        <w:tc>
          <w:tcPr>
            <w:tcW w:w="4049" w:type="dxa"/>
            <w:gridSpan w:val="2"/>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采购总金额</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4"/>
                <w:szCs w:val="24"/>
              </w:rPr>
              <w:t>政府集中采购</w:t>
            </w:r>
          </w:p>
        </w:tc>
        <w:tc>
          <w:tcPr>
            <w:tcW w:w="178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4049" w:type="dxa"/>
            <w:gridSpan w:val="2"/>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r>
    </w:tbl>
    <w:p>
      <w:pPr>
        <w:widowControl/>
        <w:shd w:val="clear" w:color="auto" w:fill="FFFFFF"/>
        <w:wordWrap w:val="0"/>
        <w:ind w:firstLine="640"/>
        <w:jc w:val="left"/>
        <w:rPr>
          <w:rFonts w:ascii="Calibri" w:hAnsi="Calibri" w:eastAsia="宋体" w:cs="Calibri"/>
          <w:color w:val="000000"/>
          <w:kern w:val="0"/>
          <w:sz w:val="24"/>
          <w:szCs w:val="24"/>
        </w:rPr>
      </w:pPr>
      <w:r>
        <w:rPr>
          <w:rFonts w:hint="eastAsia" w:ascii="黑体" w:hAnsi="黑体" w:eastAsia="黑体" w:cs="Calibri"/>
          <w:color w:val="000000"/>
          <w:kern w:val="0"/>
          <w:sz w:val="32"/>
          <w:szCs w:val="32"/>
        </w:rPr>
        <w:t>三、收到和处理政府信息公开申请情况</w:t>
      </w:r>
    </w:p>
    <w:tbl>
      <w:tblPr>
        <w:tblStyle w:val="6"/>
        <w:tblW w:w="835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489"/>
        <w:gridCol w:w="1130"/>
        <w:gridCol w:w="1856"/>
        <w:gridCol w:w="720"/>
        <w:gridCol w:w="671"/>
        <w:gridCol w:w="671"/>
        <w:gridCol w:w="720"/>
        <w:gridCol w:w="853"/>
        <w:gridCol w:w="635"/>
        <w:gridCol w:w="61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jc w:val="center"/>
        </w:trPr>
        <w:tc>
          <w:tcPr>
            <w:tcW w:w="3476" w:type="dxa"/>
            <w:gridSpan w:val="3"/>
            <w:vMerge w:val="restart"/>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（本列数据的勾稽关系为：第一项加第二项之和，等于第三项加第四项之和）</w:t>
            </w:r>
          </w:p>
        </w:tc>
        <w:tc>
          <w:tcPr>
            <w:tcW w:w="4880" w:type="dxa"/>
            <w:gridSpan w:val="7"/>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申请人情况</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720" w:type="dxa"/>
            <w:vMerge w:val="restart"/>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自然人</w:t>
            </w:r>
          </w:p>
        </w:tc>
        <w:tc>
          <w:tcPr>
            <w:tcW w:w="3550" w:type="dxa"/>
            <w:gridSpan w:val="5"/>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法人或其他组织</w:t>
            </w:r>
          </w:p>
        </w:tc>
        <w:tc>
          <w:tcPr>
            <w:tcW w:w="610" w:type="dxa"/>
            <w:vMerge w:val="restart"/>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总计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商业企业</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科研机构</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社会公益组织</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法律服务机构</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其他</w:t>
            </w: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3476" w:type="dxa"/>
            <w:gridSpan w:val="3"/>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一、本年新收政府信息公开申请数量</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3476" w:type="dxa"/>
            <w:gridSpan w:val="3"/>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二、上年结转政府信息公开申请数量</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490" w:type="dxa"/>
            <w:vMerge w:val="restart"/>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三、本年度办理结果</w:t>
            </w:r>
          </w:p>
        </w:tc>
        <w:tc>
          <w:tcPr>
            <w:tcW w:w="2986" w:type="dxa"/>
            <w:gridSpan w:val="2"/>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（一）予以公开</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2986" w:type="dxa"/>
            <w:gridSpan w:val="2"/>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（二）部分公开（区分处理的，只计这一情形，不计其他情形）</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130" w:type="dxa"/>
            <w:vMerge w:val="restart"/>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（三）不予公开</w:t>
            </w: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1.属于国家秘密</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2.其他法律行政法规禁止公开</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3.危及“三安全一稳定”</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4.保护第三方合法权益</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5.属于三类内部事务信息</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6.属于四类过程性信息</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7.属于行政执法案卷</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8.属于行政查询事项</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130" w:type="dxa"/>
            <w:vMerge w:val="restart"/>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（四）无法提供</w:t>
            </w: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1.本机关不掌握相关政府信息</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2.没有现成信息需要另行制作</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3.补正后申请内容仍不明确</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130" w:type="dxa"/>
            <w:vMerge w:val="restart"/>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（五）不予处理</w:t>
            </w: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1.信访举报投诉类申请</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2.重复申请</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3.要求提供公开出版物</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4.无正当理由大量反复申请</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185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5.要求行政机关确认或重新出具已获取信息</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2"/>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2986" w:type="dxa"/>
            <w:gridSpan w:val="2"/>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（六）其他处理</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Calibri" w:hAnsi="Calibri" w:eastAsia="仿宋" w:cs="Calibri"/>
                <w:kern w:val="0"/>
                <w:sz w:val="22"/>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2986" w:type="dxa"/>
            <w:gridSpan w:val="2"/>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（七）总计</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仿宋" w:hAnsi="仿宋" w:eastAsia="仿宋" w:cs="Calibri"/>
                <w:kern w:val="0"/>
                <w:sz w:val="24"/>
                <w:szCs w:val="24"/>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仿宋" w:hAnsi="仿宋" w:eastAsia="仿宋" w:cs="Calibri"/>
                <w:kern w:val="0"/>
                <w:sz w:val="24"/>
                <w:szCs w:val="24"/>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3476" w:type="dxa"/>
            <w:gridSpan w:val="3"/>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四、结转下年度继续办理</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7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72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85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35"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1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r>
    </w:tbl>
    <w:p>
      <w:pPr>
        <w:widowControl/>
        <w:shd w:val="clear" w:color="auto" w:fill="FFFFFF"/>
        <w:wordWrap w:val="0"/>
        <w:ind w:firstLine="640"/>
        <w:jc w:val="left"/>
        <w:rPr>
          <w:rFonts w:ascii="Calibri" w:hAnsi="Calibri" w:eastAsia="宋体" w:cs="Calibri"/>
          <w:color w:val="000000"/>
          <w:kern w:val="0"/>
          <w:sz w:val="24"/>
          <w:szCs w:val="24"/>
        </w:rPr>
      </w:pPr>
      <w:r>
        <w:rPr>
          <w:rFonts w:hint="eastAsia" w:ascii="黑体" w:hAnsi="黑体" w:eastAsia="黑体" w:cs="Calibri"/>
          <w:color w:val="000000"/>
          <w:kern w:val="0"/>
          <w:sz w:val="32"/>
          <w:szCs w:val="32"/>
        </w:rPr>
        <w:t>四、政府信息公开行政复议、行政诉讼情况</w:t>
      </w:r>
    </w:p>
    <w:tbl>
      <w:tblPr>
        <w:tblStyle w:val="6"/>
        <w:tblW w:w="90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602"/>
        <w:gridCol w:w="602"/>
        <w:gridCol w:w="602"/>
        <w:gridCol w:w="602"/>
        <w:gridCol w:w="602"/>
        <w:gridCol w:w="602"/>
        <w:gridCol w:w="603"/>
        <w:gridCol w:w="603"/>
        <w:gridCol w:w="603"/>
        <w:gridCol w:w="604"/>
        <w:gridCol w:w="604"/>
        <w:gridCol w:w="604"/>
        <w:gridCol w:w="604"/>
        <w:gridCol w:w="604"/>
        <w:gridCol w:w="60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3010" w:type="dxa"/>
            <w:gridSpan w:val="5"/>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行政复议</w:t>
            </w:r>
          </w:p>
        </w:tc>
        <w:tc>
          <w:tcPr>
            <w:tcW w:w="6029" w:type="dxa"/>
            <w:gridSpan w:val="10"/>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行政诉讼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602" w:type="dxa"/>
            <w:vMerge w:val="restart"/>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结果维持</w:t>
            </w:r>
          </w:p>
        </w:tc>
        <w:tc>
          <w:tcPr>
            <w:tcW w:w="602" w:type="dxa"/>
            <w:vMerge w:val="restart"/>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结果纠正</w:t>
            </w:r>
          </w:p>
        </w:tc>
        <w:tc>
          <w:tcPr>
            <w:tcW w:w="602" w:type="dxa"/>
            <w:vMerge w:val="restart"/>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其他结果</w:t>
            </w:r>
          </w:p>
        </w:tc>
        <w:tc>
          <w:tcPr>
            <w:tcW w:w="602" w:type="dxa"/>
            <w:vMerge w:val="restart"/>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尚未审结</w:t>
            </w:r>
          </w:p>
        </w:tc>
        <w:tc>
          <w:tcPr>
            <w:tcW w:w="602" w:type="dxa"/>
            <w:vMerge w:val="restart"/>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总计</w:t>
            </w:r>
          </w:p>
        </w:tc>
        <w:tc>
          <w:tcPr>
            <w:tcW w:w="3014" w:type="dxa"/>
            <w:gridSpan w:val="5"/>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未经复议直接起诉</w:t>
            </w:r>
          </w:p>
        </w:tc>
        <w:tc>
          <w:tcPr>
            <w:tcW w:w="3015" w:type="dxa"/>
            <w:gridSpan w:val="5"/>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ind w:firstLine="420"/>
              <w:jc w:val="center"/>
              <w:rPr>
                <w:rFonts w:ascii="Calibri" w:hAnsi="Calibri" w:eastAsia="宋体" w:cs="Calibri"/>
                <w:kern w:val="0"/>
                <w:sz w:val="24"/>
                <w:szCs w:val="24"/>
              </w:rPr>
            </w:pPr>
            <w:r>
              <w:rPr>
                <w:rFonts w:hint="eastAsia" w:ascii="仿宋" w:hAnsi="仿宋" w:eastAsia="仿宋" w:cs="Calibri"/>
                <w:kern w:val="0"/>
                <w:sz w:val="22"/>
              </w:rPr>
              <w:t>复议后起诉</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353"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wordWrap w:val="0"/>
              <w:jc w:val="left"/>
              <w:rPr>
                <w:rFonts w:ascii="Calibri" w:hAnsi="Calibri" w:eastAsia="宋体" w:cs="Calibri"/>
                <w:kern w:val="0"/>
                <w:sz w:val="24"/>
                <w:szCs w:val="24"/>
              </w:rPr>
            </w:pPr>
          </w:p>
        </w:tc>
        <w:tc>
          <w:tcPr>
            <w:tcW w:w="60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结果维持</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结果纠正</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其他结果</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尚未审结</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总计</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结果维持</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结果纠正</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其他结果</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尚未审结</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 w:val="24"/>
                <w:szCs w:val="24"/>
              </w:rPr>
            </w:pPr>
            <w:r>
              <w:rPr>
                <w:rFonts w:hint="eastAsia" w:ascii="仿宋" w:hAnsi="仿宋" w:eastAsia="仿宋" w:cs="Calibri"/>
                <w:kern w:val="0"/>
                <w:sz w:val="22"/>
              </w:rPr>
              <w:t>总计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60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0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0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0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ascii="仿宋" w:hAnsi="仿宋" w:eastAsia="仿宋" w:cs="Calibri"/>
                <w:kern w:val="0"/>
                <w:sz w:val="22"/>
              </w:rPr>
              <w:t>0</w:t>
            </w:r>
          </w:p>
        </w:tc>
        <w:tc>
          <w:tcPr>
            <w:tcW w:w="60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02"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c>
          <w:tcPr>
            <w:tcW w:w="603"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jc w:val="center"/>
              <w:rPr>
                <w:rFonts w:ascii="Calibri" w:hAnsi="Calibri" w:eastAsia="宋体" w:cs="Calibri"/>
                <w:kern w:val="0"/>
                <w:szCs w:val="21"/>
              </w:rPr>
            </w:pPr>
            <w:r>
              <w:rPr>
                <w:rFonts w:hint="eastAsia" w:ascii="仿宋" w:hAnsi="仿宋" w:eastAsia="仿宋" w:cs="Calibri"/>
                <w:kern w:val="0"/>
                <w:sz w:val="24"/>
                <w:szCs w:val="24"/>
              </w:rPr>
              <w:t>0</w:t>
            </w:r>
          </w:p>
        </w:tc>
      </w:tr>
    </w:tbl>
    <w:p>
      <w:pPr>
        <w:widowControl/>
        <w:shd w:val="clear" w:color="auto" w:fill="FFFFFF"/>
        <w:wordWrap w:val="0"/>
        <w:ind w:firstLine="640"/>
        <w:jc w:val="left"/>
        <w:rPr>
          <w:rFonts w:ascii="Calibri" w:hAnsi="Calibri" w:eastAsia="宋体" w:cs="Calibri"/>
          <w:color w:val="000000"/>
          <w:kern w:val="0"/>
          <w:sz w:val="24"/>
          <w:szCs w:val="24"/>
        </w:rPr>
      </w:pPr>
      <w:r>
        <w:rPr>
          <w:rFonts w:hint="eastAsia" w:ascii="黑体" w:hAnsi="黑体" w:eastAsia="黑体" w:cs="Calibri"/>
          <w:color w:val="000000"/>
          <w:kern w:val="0"/>
          <w:sz w:val="32"/>
          <w:szCs w:val="32"/>
        </w:rPr>
        <w:t>五、存在的主要问题及改进情况</w:t>
      </w:r>
    </w:p>
    <w:bookmarkEnd w:id="2"/>
    <w:p>
      <w:pPr>
        <w:pStyle w:val="5"/>
        <w:shd w:val="clear" w:color="auto" w:fill="FFFFFF"/>
        <w:spacing w:before="0" w:beforeAutospacing="0" w:after="0" w:afterAutospacing="0" w:line="480" w:lineRule="auto"/>
        <w:ind w:firstLine="480"/>
        <w:jc w:val="both"/>
        <w:rPr>
          <w:color w:val="333333"/>
          <w:sz w:val="32"/>
          <w:szCs w:val="32"/>
        </w:rPr>
      </w:pPr>
      <w:r>
        <w:rPr>
          <w:rFonts w:hint="eastAsia"/>
          <w:color w:val="333333"/>
          <w:sz w:val="32"/>
          <w:szCs w:val="32"/>
          <w:shd w:val="clear" w:color="auto" w:fill="FFFFFF"/>
        </w:rPr>
        <w:t>2019年是我局政府信息公开工作实施的第一年，与公众需求还存在一些差距，主要是部分信息公开不够及时，政府信息公开目录还要进一步完善。</w:t>
      </w:r>
      <w:r>
        <w:rPr>
          <w:rFonts w:hint="eastAsia"/>
          <w:color w:val="333333"/>
          <w:sz w:val="32"/>
          <w:szCs w:val="32"/>
        </w:rPr>
        <w:t>2020年，我局将认真贯彻落实中央、省、市各级关文件精神，按照上级业务部门的要求，深入做好政务公开工作。统一思想认识，规范工作流程。进一步提高人员对做好政务公开工作的认识，提高业务技能，增强政务信息公开工作能力，及时整理信息，规范工作流程，营造良好的退役军人事务工作环境。抓好平台载体，加大公开力度。充实政务公开内容，丰富政务公开形式，及时将退役军人事务工作推进完成情况等信息第一时间在政务公开系统上发布，确保把政务信息公开工作落到实处，推动退役军人政务信息公开工作再上台阶。</w:t>
      </w:r>
    </w:p>
    <w:p>
      <w:pPr>
        <w:widowControl/>
        <w:shd w:val="clear" w:color="auto" w:fill="FFFFFF"/>
        <w:wordWrap w:val="0"/>
        <w:ind w:firstLine="320"/>
        <w:jc w:val="left"/>
        <w:rPr>
          <w:rFonts w:ascii="Calibri" w:hAnsi="Calibri" w:eastAsia="宋体" w:cs="Calibri"/>
          <w:color w:val="000000"/>
          <w:kern w:val="0"/>
          <w:sz w:val="24"/>
          <w:szCs w:val="24"/>
        </w:rPr>
      </w:pPr>
      <w:bookmarkStart w:id="3" w:name="_Hlk62463392"/>
      <w:r>
        <w:rPr>
          <w:rFonts w:hint="eastAsia" w:ascii="黑体" w:hAnsi="黑体" w:eastAsia="黑体" w:cs="Calibri"/>
          <w:color w:val="000000"/>
          <w:kern w:val="0"/>
          <w:sz w:val="32"/>
          <w:szCs w:val="32"/>
        </w:rPr>
        <w:t>六、其他需要报告的事项</w:t>
      </w:r>
    </w:p>
    <w:p>
      <w:pPr>
        <w:widowControl/>
        <w:shd w:val="clear" w:color="auto" w:fill="FFFFFF"/>
        <w:wordWrap w:val="0"/>
        <w:ind w:firstLine="320"/>
        <w:jc w:val="left"/>
        <w:rPr>
          <w:rFonts w:hint="eastAsia" w:ascii="Calibri" w:hAnsi="Calibri" w:eastAsia="宋体" w:cs="Calibri"/>
          <w:color w:val="000000"/>
          <w:kern w:val="0"/>
          <w:szCs w:val="21"/>
        </w:rPr>
      </w:pPr>
      <w:r>
        <w:rPr>
          <w:rFonts w:hint="eastAsia" w:ascii="宋体" w:hAnsi="宋体" w:eastAsia="宋体" w:cs="宋体"/>
          <w:color w:val="333333"/>
          <w:kern w:val="0"/>
          <w:sz w:val="32"/>
          <w:szCs w:val="32"/>
        </w:rPr>
        <w:t>无。</w:t>
      </w:r>
      <w:r>
        <w:rPr>
          <w:rFonts w:ascii="Calibri" w:hAnsi="Calibri" w:eastAsia="仿宋" w:cs="Calibri"/>
          <w:color w:val="000000"/>
          <w:kern w:val="0"/>
          <w:sz w:val="32"/>
          <w:szCs w:val="32"/>
        </w:rPr>
        <w:t> </w:t>
      </w:r>
      <w:bookmarkEnd w:id="3"/>
    </w:p>
    <w:p>
      <w:pPr>
        <w:widowControl/>
        <w:shd w:val="clear" w:color="auto" w:fill="FFFFFF"/>
        <w:wordWrap w:val="0"/>
        <w:ind w:firstLine="4800" w:firstLineChars="1500"/>
        <w:jc w:val="left"/>
        <w:rPr>
          <w:rFonts w:ascii="宋体" w:hAnsi="宋体" w:eastAsia="宋体" w:cs="宋体"/>
          <w:color w:val="333333"/>
          <w:kern w:val="0"/>
          <w:sz w:val="32"/>
          <w:szCs w:val="32"/>
        </w:rPr>
      </w:pPr>
      <w:bookmarkStart w:id="4" w:name="_Hlk62463408"/>
      <w:r>
        <w:rPr>
          <w:rFonts w:hint="eastAsia" w:ascii="宋体" w:hAnsi="宋体" w:eastAsia="宋体" w:cs="宋体"/>
          <w:color w:val="333333"/>
          <w:kern w:val="0"/>
          <w:sz w:val="32"/>
          <w:szCs w:val="32"/>
        </w:rPr>
        <w:t>南山区退役军人事务局</w:t>
      </w:r>
    </w:p>
    <w:p>
      <w:pPr>
        <w:widowControl/>
        <w:shd w:val="clear" w:color="auto" w:fill="FFFFFF"/>
        <w:wordWrap w:val="0"/>
        <w:ind w:firstLine="320"/>
        <w:jc w:val="left"/>
        <w:rPr>
          <w:rFonts w:ascii="宋体" w:hAnsi="宋体" w:eastAsia="宋体" w:cs="宋体"/>
          <w:color w:val="333333"/>
          <w:kern w:val="0"/>
          <w:sz w:val="32"/>
          <w:szCs w:val="32"/>
        </w:rPr>
      </w:pPr>
      <w:r>
        <w:rPr>
          <w:rFonts w:ascii="宋体" w:hAnsi="宋体" w:eastAsia="宋体" w:cs="宋体"/>
          <w:color w:val="333333"/>
          <w:kern w:val="0"/>
          <w:sz w:val="32"/>
          <w:szCs w:val="32"/>
        </w:rPr>
        <w:t>               </w:t>
      </w:r>
      <w:r>
        <w:rPr>
          <w:rFonts w:hint="eastAsia" w:ascii="宋体" w:hAnsi="宋体" w:eastAsia="宋体" w:cs="宋体"/>
          <w:color w:val="333333"/>
          <w:kern w:val="0"/>
          <w:sz w:val="32"/>
          <w:szCs w:val="32"/>
        </w:rPr>
        <w:t>202</w:t>
      </w:r>
      <w:r>
        <w:rPr>
          <w:rFonts w:ascii="宋体" w:hAnsi="宋体" w:eastAsia="宋体" w:cs="宋体"/>
          <w:color w:val="333333"/>
          <w:kern w:val="0"/>
          <w:sz w:val="32"/>
          <w:szCs w:val="32"/>
        </w:rPr>
        <w:t>1</w:t>
      </w:r>
      <w:r>
        <w:rPr>
          <w:rFonts w:hint="eastAsia" w:ascii="宋体" w:hAnsi="宋体" w:eastAsia="宋体" w:cs="宋体"/>
          <w:color w:val="333333"/>
          <w:kern w:val="0"/>
          <w:sz w:val="32"/>
          <w:szCs w:val="32"/>
        </w:rPr>
        <w:t>年1月</w:t>
      </w:r>
      <w:r>
        <w:rPr>
          <w:rFonts w:ascii="宋体" w:hAnsi="宋体" w:eastAsia="宋体" w:cs="宋体"/>
          <w:color w:val="333333"/>
          <w:kern w:val="0"/>
          <w:sz w:val="32"/>
          <w:szCs w:val="32"/>
        </w:rPr>
        <w:t>25</w:t>
      </w:r>
      <w:r>
        <w:rPr>
          <w:rFonts w:hint="eastAsia" w:ascii="宋体" w:hAnsi="宋体" w:eastAsia="宋体" w:cs="宋体"/>
          <w:color w:val="333333"/>
          <w:kern w:val="0"/>
          <w:sz w:val="32"/>
          <w:szCs w:val="32"/>
        </w:rPr>
        <w:t>日</w:t>
      </w:r>
    </w:p>
    <w:bookmarkEnd w:id="4"/>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0MzM5YTUzNDMyMGNmMWIxMTdjOTA2ZWM4ZWU2ZmMifQ=="/>
  </w:docVars>
  <w:rsids>
    <w:rsidRoot w:val="00F57C58"/>
    <w:rsid w:val="00063F9E"/>
    <w:rsid w:val="001B5030"/>
    <w:rsid w:val="005632E9"/>
    <w:rsid w:val="005972F7"/>
    <w:rsid w:val="009112CC"/>
    <w:rsid w:val="00BF10A5"/>
    <w:rsid w:val="00F57C58"/>
    <w:rsid w:val="00FB7E72"/>
    <w:rsid w:val="00FD256E"/>
    <w:rsid w:val="25745F06"/>
    <w:rsid w:val="2EA72D69"/>
    <w:rsid w:val="3651640F"/>
    <w:rsid w:val="7A8D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2 字符"/>
    <w:basedOn w:val="7"/>
    <w:link w:val="2"/>
    <w:qFormat/>
    <w:uiPriority w:val="9"/>
    <w:rPr>
      <w:rFonts w:ascii="宋体" w:hAnsi="宋体" w:eastAsia="宋体" w:cs="宋体"/>
      <w:b/>
      <w:bCs/>
      <w:kern w:val="0"/>
      <w:sz w:val="36"/>
      <w:szCs w:val="36"/>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1732</Words>
  <Characters>1772</Characters>
  <Lines>15</Lines>
  <Paragraphs>4</Paragraphs>
  <TotalTime>70</TotalTime>
  <ScaleCrop>false</ScaleCrop>
  <LinksUpToDate>false</LinksUpToDate>
  <CharactersWithSpaces>1821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2021-01-25T01:47:00Z</dcterms:created>
  <dc:creator>245355562@qq.com</dc:creator>
  <cp:lastModifiedBy>Administrator</cp:lastModifiedBy>
  <dcterms:modified xsi:type="dcterms:W3CDTF">2024-07-01T06:31:05Z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F1881102CB1F465CBB11E7238468075E_12</vt:lpwstr>
  </property>
</Properties>
</file>