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ascii="Calibri" w:hAnsi="Calibri" w:cs="Calibri"/>
          <w:sz w:val="24"/>
          <w:szCs w:val="24"/>
        </w:rPr>
      </w:pPr>
      <w:r>
        <w:rPr>
          <w:rFonts w:hint="eastAsia" w:ascii="方正小标宋简体" w:hAnsi="方正小标宋简体" w:eastAsia="方正小标宋简体" w:cs="方正小标宋简体"/>
          <w:i w:val="0"/>
          <w:caps w:val="0"/>
          <w:color w:val="000000"/>
          <w:spacing w:val="0"/>
          <w:sz w:val="44"/>
          <w:szCs w:val="44"/>
          <w:lang w:eastAsia="zh-CN"/>
        </w:rPr>
        <w:t>南山区</w:t>
      </w:r>
      <w:r>
        <w:rPr>
          <w:rFonts w:ascii="方正小标宋简体" w:hAnsi="方正小标宋简体" w:eastAsia="方正小标宋简体" w:cs="方正小标宋简体"/>
          <w:i w:val="0"/>
          <w:caps w:val="0"/>
          <w:color w:val="000000"/>
          <w:spacing w:val="0"/>
          <w:sz w:val="44"/>
          <w:szCs w:val="44"/>
        </w:rPr>
        <w:t>医疗保障局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方正小标宋简体" w:hAnsi="方正小标宋简体" w:eastAsia="方正小标宋简体" w:cs="方正小标宋简体"/>
          <w:i w:val="0"/>
          <w:caps w:val="0"/>
          <w:color w:val="000000"/>
          <w:spacing w:val="0"/>
          <w:sz w:val="44"/>
          <w:szCs w:val="44"/>
        </w:rPr>
      </w:pPr>
      <w:r>
        <w:rPr>
          <w:rFonts w:hint="default" w:ascii="方正小标宋简体" w:hAnsi="方正小标宋简体" w:eastAsia="方正小标宋简体" w:cs="方正小标宋简体"/>
          <w:i w:val="0"/>
          <w:caps w:val="0"/>
          <w:color w:val="000000"/>
          <w:spacing w:val="0"/>
          <w:sz w:val="44"/>
          <w:szCs w:val="44"/>
        </w:rPr>
        <w:t>2019年政府信息公开工作年度报告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0"/>
        <w:rPr>
          <w:rFonts w:hint="eastAsia" w:ascii="仿宋" w:hAnsi="仿宋" w:eastAsia="仿宋" w:cs="仿宋"/>
          <w:b/>
          <w:i w:val="0"/>
          <w:caps w:val="0"/>
          <w:color w:val="000000"/>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0"/>
        <w:rPr>
          <w:rFonts w:hint="default" w:ascii="仿宋" w:hAnsi="仿宋" w:eastAsia="仿宋" w:cs="仿宋"/>
          <w:i w:val="0"/>
          <w:caps w:val="0"/>
          <w:color w:val="000000"/>
          <w:spacing w:val="0"/>
          <w:sz w:val="32"/>
          <w:szCs w:val="32"/>
        </w:rPr>
      </w:pPr>
      <w:r>
        <w:rPr>
          <w:rFonts w:ascii="仿宋" w:hAnsi="仿宋" w:eastAsia="仿宋" w:cs="仿宋"/>
          <w:i w:val="0"/>
          <w:caps w:val="0"/>
          <w:color w:val="000000"/>
          <w:spacing w:val="0"/>
          <w:sz w:val="32"/>
          <w:szCs w:val="32"/>
        </w:rPr>
        <w:t>2019</w:t>
      </w:r>
      <w:r>
        <w:rPr>
          <w:rFonts w:hint="eastAsia" w:ascii="仿宋" w:hAnsi="仿宋" w:eastAsia="仿宋" w:cs="仿宋"/>
          <w:i w:val="0"/>
          <w:caps w:val="0"/>
          <w:color w:val="000000"/>
          <w:spacing w:val="0"/>
          <w:sz w:val="32"/>
          <w:szCs w:val="32"/>
        </w:rPr>
        <w:t>年</w:t>
      </w:r>
      <w:r>
        <w:rPr>
          <w:rFonts w:hint="eastAsia" w:ascii="仿宋" w:hAnsi="仿宋" w:eastAsia="仿宋" w:cs="仿宋"/>
          <w:i w:val="0"/>
          <w:caps w:val="0"/>
          <w:color w:val="000000"/>
          <w:spacing w:val="0"/>
          <w:sz w:val="32"/>
          <w:szCs w:val="32"/>
          <w:lang w:eastAsia="zh-CN"/>
        </w:rPr>
        <w:t>南山区</w:t>
      </w:r>
      <w:r>
        <w:rPr>
          <w:rFonts w:hint="eastAsia" w:ascii="仿宋" w:hAnsi="仿宋" w:eastAsia="仿宋" w:cs="仿宋"/>
          <w:i w:val="0"/>
          <w:caps w:val="0"/>
          <w:color w:val="000000"/>
          <w:spacing w:val="0"/>
          <w:sz w:val="32"/>
          <w:szCs w:val="32"/>
        </w:rPr>
        <w:t>医疗保障局按照《中华人民共和国政府信息公开条例》和</w:t>
      </w:r>
      <w:r>
        <w:rPr>
          <w:rFonts w:hint="eastAsia" w:ascii="仿宋" w:hAnsi="仿宋" w:eastAsia="仿宋" w:cs="仿宋"/>
          <w:i w:val="0"/>
          <w:caps w:val="0"/>
          <w:color w:val="000000"/>
          <w:spacing w:val="0"/>
          <w:sz w:val="32"/>
          <w:szCs w:val="32"/>
          <w:lang w:eastAsia="zh-CN"/>
        </w:rPr>
        <w:t>区</w:t>
      </w:r>
      <w:r>
        <w:rPr>
          <w:rFonts w:hint="eastAsia" w:ascii="仿宋" w:hAnsi="仿宋" w:eastAsia="仿宋" w:cs="仿宋"/>
          <w:i w:val="0"/>
          <w:caps w:val="0"/>
          <w:color w:val="000000"/>
          <w:spacing w:val="0"/>
          <w:sz w:val="32"/>
          <w:szCs w:val="32"/>
        </w:rPr>
        <w:t>政府信息公开工作的统一部署和要求，结合医保工作实际，积极开展政府信息公开，促进了各项工作开展。</w:t>
      </w:r>
      <w:r>
        <w:rPr>
          <w:rFonts w:hint="eastAsia" w:ascii="仿宋" w:hAnsi="仿宋" w:eastAsia="仿宋" w:cs="仿宋"/>
          <w:i w:val="0"/>
          <w:caps w:val="0"/>
          <w:color w:val="000000"/>
          <w:spacing w:val="0"/>
          <w:sz w:val="32"/>
          <w:szCs w:val="32"/>
          <w:lang w:eastAsia="zh-CN"/>
        </w:rPr>
        <w:t>区</w:t>
      </w:r>
      <w:r>
        <w:rPr>
          <w:rFonts w:hint="eastAsia" w:ascii="仿宋" w:hAnsi="仿宋" w:eastAsia="仿宋" w:cs="仿宋"/>
          <w:i w:val="0"/>
          <w:caps w:val="0"/>
          <w:color w:val="000000"/>
          <w:spacing w:val="0"/>
          <w:sz w:val="32"/>
          <w:szCs w:val="32"/>
        </w:rPr>
        <w:t>医疗保障局认真执行信息审核发布制度和主动公开及依申请公开办事程序，坚持以公开为常态、不公开为例外，遵循公正、公平、合法、便民的原则。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0"/>
        <w:jc w:val="both"/>
        <w:rPr>
          <w:rFonts w:hint="default" w:ascii="Calibri" w:hAnsi="Calibri" w:cs="Calibri"/>
          <w:sz w:val="21"/>
          <w:szCs w:val="21"/>
        </w:rPr>
      </w:pPr>
      <w:r>
        <w:rPr>
          <w:rFonts w:hint="eastAsia" w:ascii="仿宋" w:hAnsi="仿宋" w:eastAsia="仿宋" w:cs="仿宋"/>
          <w:i w:val="0"/>
          <w:caps w:val="0"/>
          <w:color w:val="000000"/>
          <w:spacing w:val="0"/>
          <w:sz w:val="32"/>
          <w:szCs w:val="32"/>
          <w:lang w:eastAsia="zh-CN"/>
        </w:rPr>
        <w:t>区医疗保障局</w:t>
      </w:r>
      <w:r>
        <w:rPr>
          <w:rFonts w:hint="eastAsia" w:ascii="仿宋" w:hAnsi="仿宋" w:eastAsia="仿宋" w:cs="仿宋"/>
          <w:i w:val="0"/>
          <w:caps w:val="0"/>
          <w:color w:val="000000"/>
          <w:spacing w:val="0"/>
          <w:sz w:val="32"/>
          <w:szCs w:val="32"/>
        </w:rPr>
        <w:t>作为</w:t>
      </w:r>
      <w:r>
        <w:rPr>
          <w:rFonts w:hint="eastAsia" w:ascii="仿宋" w:hAnsi="仿宋" w:eastAsia="仿宋" w:cs="仿宋"/>
          <w:i w:val="0"/>
          <w:caps w:val="0"/>
          <w:color w:val="000000"/>
          <w:spacing w:val="0"/>
          <w:sz w:val="32"/>
          <w:szCs w:val="32"/>
          <w:lang w:val="en-US" w:eastAsia="zh-CN"/>
        </w:rPr>
        <w:t>2019</w:t>
      </w:r>
      <w:r>
        <w:rPr>
          <w:rFonts w:hint="eastAsia" w:ascii="仿宋" w:hAnsi="仿宋" w:eastAsia="仿宋" w:cs="仿宋"/>
          <w:i w:val="0"/>
          <w:caps w:val="0"/>
          <w:color w:val="000000"/>
          <w:spacing w:val="0"/>
          <w:sz w:val="32"/>
          <w:szCs w:val="32"/>
        </w:rPr>
        <w:t>年</w:t>
      </w:r>
      <w:r>
        <w:rPr>
          <w:rFonts w:hint="eastAsia" w:ascii="仿宋" w:hAnsi="仿宋" w:eastAsia="仿宋" w:cs="仿宋"/>
          <w:i w:val="0"/>
          <w:caps w:val="0"/>
          <w:color w:val="000000"/>
          <w:spacing w:val="0"/>
          <w:sz w:val="32"/>
          <w:szCs w:val="32"/>
          <w:lang w:val="en-US" w:eastAsia="zh-CN"/>
        </w:rPr>
        <w:t>3</w:t>
      </w:r>
      <w:r>
        <w:rPr>
          <w:rFonts w:hint="eastAsia" w:ascii="仿宋" w:hAnsi="仿宋" w:eastAsia="仿宋" w:cs="仿宋"/>
          <w:i w:val="0"/>
          <w:caps w:val="0"/>
          <w:color w:val="000000"/>
          <w:spacing w:val="0"/>
          <w:sz w:val="32"/>
          <w:szCs w:val="32"/>
        </w:rPr>
        <w:t>月新成立的政府工作部门，主要职责是贯彻落实党中央关于医疗保障工作的方针政策和决策部署，贯彻落实国家、省、</w:t>
      </w:r>
      <w:r>
        <w:rPr>
          <w:rFonts w:hint="eastAsia" w:ascii="仿宋" w:hAnsi="仿宋" w:eastAsia="仿宋" w:cs="仿宋"/>
          <w:i w:val="0"/>
          <w:caps w:val="0"/>
          <w:color w:val="000000"/>
          <w:spacing w:val="0"/>
          <w:sz w:val="32"/>
          <w:szCs w:val="32"/>
          <w:lang w:eastAsia="zh-CN"/>
        </w:rPr>
        <w:t>区医</w:t>
      </w:r>
      <w:r>
        <w:rPr>
          <w:rFonts w:hint="eastAsia" w:ascii="仿宋" w:hAnsi="仿宋" w:eastAsia="仿宋" w:cs="仿宋"/>
          <w:i w:val="0"/>
          <w:caps w:val="0"/>
          <w:color w:val="000000"/>
          <w:spacing w:val="0"/>
          <w:sz w:val="32"/>
          <w:szCs w:val="32"/>
        </w:rPr>
        <w:t>疗保障的政策、法规、规章、规划和标准等。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default" w:ascii="Calibri" w:hAnsi="Calibri" w:cs="Calibri"/>
          <w:sz w:val="24"/>
          <w:szCs w:val="24"/>
        </w:rPr>
      </w:pPr>
      <w:r>
        <w:rPr>
          <w:rFonts w:ascii="黑体" w:hAnsi="宋体" w:eastAsia="黑体" w:cs="黑体"/>
          <w:i w:val="0"/>
          <w:caps w:val="0"/>
          <w:color w:val="000000"/>
          <w:spacing w:val="0"/>
          <w:sz w:val="32"/>
          <w:szCs w:val="32"/>
        </w:rPr>
        <w:t>二、主动公开政府信息情况</w:t>
      </w:r>
    </w:p>
    <w:tbl>
      <w:tblPr>
        <w:tblStyle w:val="5"/>
        <w:tblW w:w="8460" w:type="dxa"/>
        <w:jc w:val="center"/>
        <w:shd w:val="clear" w:color="auto" w:fill="auto"/>
        <w:tblLayout w:type="autofit"/>
        <w:tblCellMar>
          <w:top w:w="0" w:type="dxa"/>
          <w:left w:w="0" w:type="dxa"/>
          <w:bottom w:w="0" w:type="dxa"/>
          <w:right w:w="0" w:type="dxa"/>
        </w:tblCellMar>
      </w:tblPr>
      <w:tblGrid>
        <w:gridCol w:w="2622"/>
        <w:gridCol w:w="1787"/>
        <w:gridCol w:w="2147"/>
        <w:gridCol w:w="1904"/>
      </w:tblGrid>
      <w:tr>
        <w:tblPrEx>
          <w:shd w:val="clear" w:color="auto" w:fill="auto"/>
          <w:tblCellMar>
            <w:top w:w="0" w:type="dxa"/>
            <w:left w:w="0" w:type="dxa"/>
            <w:bottom w:w="0" w:type="dxa"/>
            <w:right w:w="0" w:type="dxa"/>
          </w:tblCellMar>
        </w:tblPrEx>
        <w:trPr>
          <w:jc w:val="center"/>
        </w:trPr>
        <w:tc>
          <w:tcPr>
            <w:tcW w:w="8456"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第二十条第（一）项</w:t>
            </w:r>
          </w:p>
        </w:tc>
      </w:tr>
      <w:tr>
        <w:tblPrEx>
          <w:tblCellMar>
            <w:top w:w="0" w:type="dxa"/>
            <w:left w:w="0" w:type="dxa"/>
            <w:bottom w:w="0" w:type="dxa"/>
            <w:right w:w="0" w:type="dxa"/>
          </w:tblCellMar>
        </w:tblPrEx>
        <w:trPr>
          <w:jc w:val="center"/>
        </w:trPr>
        <w:tc>
          <w:tcPr>
            <w:tcW w:w="262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信息内容</w:t>
            </w:r>
          </w:p>
        </w:tc>
        <w:tc>
          <w:tcPr>
            <w:tcW w:w="178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本年新制作数量</w:t>
            </w:r>
          </w:p>
        </w:tc>
        <w:tc>
          <w:tcPr>
            <w:tcW w:w="214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本年新公开数量</w:t>
            </w:r>
          </w:p>
        </w:tc>
        <w:tc>
          <w:tcPr>
            <w:tcW w:w="19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对外公开总数量</w:t>
            </w:r>
          </w:p>
        </w:tc>
      </w:tr>
      <w:tr>
        <w:tblPrEx>
          <w:tblCellMar>
            <w:top w:w="0" w:type="dxa"/>
            <w:left w:w="0" w:type="dxa"/>
            <w:bottom w:w="0" w:type="dxa"/>
            <w:right w:w="0" w:type="dxa"/>
          </w:tblCellMar>
        </w:tblPrEx>
        <w:trPr>
          <w:jc w:val="center"/>
        </w:trPr>
        <w:tc>
          <w:tcPr>
            <w:tcW w:w="262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规章</w:t>
            </w:r>
          </w:p>
        </w:tc>
        <w:tc>
          <w:tcPr>
            <w:tcW w:w="178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214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仿宋" w:hAnsi="仿宋" w:eastAsia="仿宋" w:cs="仿宋"/>
                <w:sz w:val="24"/>
                <w:szCs w:val="24"/>
                <w:lang w:val="en-US" w:eastAsia="zh-CN"/>
              </w:rPr>
              <w:t>0</w:t>
            </w:r>
          </w:p>
        </w:tc>
        <w:tc>
          <w:tcPr>
            <w:tcW w:w="19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仿宋" w:hAnsi="仿宋" w:eastAsia="仿宋" w:cs="仿宋"/>
                <w:sz w:val="24"/>
                <w:szCs w:val="24"/>
                <w:lang w:val="en-US" w:eastAsia="zh-CN"/>
              </w:rPr>
              <w:t>0</w:t>
            </w:r>
          </w:p>
        </w:tc>
      </w:tr>
      <w:tr>
        <w:tblPrEx>
          <w:shd w:val="clear" w:color="auto" w:fill="auto"/>
          <w:tblCellMar>
            <w:top w:w="0" w:type="dxa"/>
            <w:left w:w="0" w:type="dxa"/>
            <w:bottom w:w="0" w:type="dxa"/>
            <w:right w:w="0" w:type="dxa"/>
          </w:tblCellMar>
        </w:tblPrEx>
        <w:trPr>
          <w:jc w:val="center"/>
        </w:trPr>
        <w:tc>
          <w:tcPr>
            <w:tcW w:w="262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规范性文件</w:t>
            </w:r>
          </w:p>
        </w:tc>
        <w:tc>
          <w:tcPr>
            <w:tcW w:w="178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214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仿宋" w:hAnsi="仿宋" w:eastAsia="仿宋" w:cs="仿宋"/>
                <w:sz w:val="24"/>
                <w:szCs w:val="24"/>
                <w:lang w:val="en-US" w:eastAsia="zh-CN"/>
              </w:rPr>
              <w:t>0</w:t>
            </w:r>
          </w:p>
        </w:tc>
        <w:tc>
          <w:tcPr>
            <w:tcW w:w="19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Calibri" w:hAnsi="Calibri" w:cs="Calibri" w:eastAsiaTheme="minorEastAsia"/>
                <w:sz w:val="21"/>
                <w:szCs w:val="21"/>
                <w:lang w:eastAsia="zh-CN"/>
              </w:rPr>
            </w:pPr>
            <w:r>
              <w:rPr>
                <w:rFonts w:hint="eastAsia" w:ascii="仿宋" w:hAnsi="仿宋" w:eastAsia="仿宋" w:cs="仿宋"/>
                <w:sz w:val="24"/>
                <w:szCs w:val="24"/>
                <w:lang w:val="en-US" w:eastAsia="zh-CN"/>
              </w:rPr>
              <w:t>0</w:t>
            </w:r>
          </w:p>
        </w:tc>
      </w:tr>
      <w:tr>
        <w:tblPrEx>
          <w:shd w:val="clear" w:color="auto" w:fill="auto"/>
          <w:tblCellMar>
            <w:top w:w="0" w:type="dxa"/>
            <w:left w:w="0" w:type="dxa"/>
            <w:bottom w:w="0" w:type="dxa"/>
            <w:right w:w="0" w:type="dxa"/>
          </w:tblCellMar>
        </w:tblPrEx>
        <w:trPr>
          <w:jc w:val="center"/>
        </w:trPr>
        <w:tc>
          <w:tcPr>
            <w:tcW w:w="8456" w:type="dxa"/>
            <w:gridSpan w:val="4"/>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第二十条第（五）项</w:t>
            </w:r>
          </w:p>
        </w:tc>
      </w:tr>
      <w:tr>
        <w:tblPrEx>
          <w:tblCellMar>
            <w:top w:w="0" w:type="dxa"/>
            <w:left w:w="0" w:type="dxa"/>
            <w:bottom w:w="0" w:type="dxa"/>
            <w:right w:w="0" w:type="dxa"/>
          </w:tblCellMar>
        </w:tblPrEx>
        <w:trPr>
          <w:jc w:val="center"/>
        </w:trPr>
        <w:tc>
          <w:tcPr>
            <w:tcW w:w="262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信息内容</w:t>
            </w:r>
          </w:p>
        </w:tc>
        <w:tc>
          <w:tcPr>
            <w:tcW w:w="178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上一年项目数量</w:t>
            </w:r>
          </w:p>
        </w:tc>
        <w:tc>
          <w:tcPr>
            <w:tcW w:w="214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本年增/减</w:t>
            </w:r>
          </w:p>
        </w:tc>
        <w:tc>
          <w:tcPr>
            <w:tcW w:w="19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处理决定数量</w:t>
            </w:r>
          </w:p>
        </w:tc>
      </w:tr>
      <w:tr>
        <w:tblPrEx>
          <w:shd w:val="clear" w:color="auto" w:fill="auto"/>
          <w:tblCellMar>
            <w:top w:w="0" w:type="dxa"/>
            <w:left w:w="0" w:type="dxa"/>
            <w:bottom w:w="0" w:type="dxa"/>
            <w:right w:w="0" w:type="dxa"/>
          </w:tblCellMar>
        </w:tblPrEx>
        <w:trPr>
          <w:jc w:val="center"/>
        </w:trPr>
        <w:tc>
          <w:tcPr>
            <w:tcW w:w="262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行政许可</w:t>
            </w:r>
          </w:p>
        </w:tc>
        <w:tc>
          <w:tcPr>
            <w:tcW w:w="178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214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19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262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其他对外管理服务事项</w:t>
            </w:r>
          </w:p>
        </w:tc>
        <w:tc>
          <w:tcPr>
            <w:tcW w:w="178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214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19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8456" w:type="dxa"/>
            <w:gridSpan w:val="4"/>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第二十条第（六）项</w:t>
            </w:r>
          </w:p>
        </w:tc>
      </w:tr>
      <w:tr>
        <w:tblPrEx>
          <w:shd w:val="clear" w:color="auto" w:fill="auto"/>
          <w:tblCellMar>
            <w:top w:w="0" w:type="dxa"/>
            <w:left w:w="0" w:type="dxa"/>
            <w:bottom w:w="0" w:type="dxa"/>
            <w:right w:w="0" w:type="dxa"/>
          </w:tblCellMar>
        </w:tblPrEx>
        <w:trPr>
          <w:jc w:val="center"/>
        </w:trPr>
        <w:tc>
          <w:tcPr>
            <w:tcW w:w="262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信息内容</w:t>
            </w:r>
          </w:p>
        </w:tc>
        <w:tc>
          <w:tcPr>
            <w:tcW w:w="178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上一年项目数量</w:t>
            </w:r>
          </w:p>
        </w:tc>
        <w:tc>
          <w:tcPr>
            <w:tcW w:w="214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本年增/减</w:t>
            </w:r>
          </w:p>
        </w:tc>
        <w:tc>
          <w:tcPr>
            <w:tcW w:w="19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处理决定数量</w:t>
            </w:r>
          </w:p>
        </w:tc>
      </w:tr>
      <w:tr>
        <w:tblPrEx>
          <w:shd w:val="clear" w:color="auto" w:fill="auto"/>
          <w:tblCellMar>
            <w:top w:w="0" w:type="dxa"/>
            <w:left w:w="0" w:type="dxa"/>
            <w:bottom w:w="0" w:type="dxa"/>
            <w:right w:w="0" w:type="dxa"/>
          </w:tblCellMar>
        </w:tblPrEx>
        <w:trPr>
          <w:jc w:val="center"/>
        </w:trPr>
        <w:tc>
          <w:tcPr>
            <w:tcW w:w="262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行政处罚</w:t>
            </w:r>
          </w:p>
        </w:tc>
        <w:tc>
          <w:tcPr>
            <w:tcW w:w="178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214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19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262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行政强制</w:t>
            </w:r>
          </w:p>
        </w:tc>
        <w:tc>
          <w:tcPr>
            <w:tcW w:w="178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214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19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8456" w:type="dxa"/>
            <w:gridSpan w:val="4"/>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第二十条第（八）项</w:t>
            </w:r>
          </w:p>
        </w:tc>
      </w:tr>
      <w:tr>
        <w:tblPrEx>
          <w:shd w:val="clear" w:color="auto" w:fill="auto"/>
          <w:tblCellMar>
            <w:top w:w="0" w:type="dxa"/>
            <w:left w:w="0" w:type="dxa"/>
            <w:bottom w:w="0" w:type="dxa"/>
            <w:right w:w="0" w:type="dxa"/>
          </w:tblCellMar>
        </w:tblPrEx>
        <w:trPr>
          <w:jc w:val="center"/>
        </w:trPr>
        <w:tc>
          <w:tcPr>
            <w:tcW w:w="262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信息内容</w:t>
            </w:r>
          </w:p>
        </w:tc>
        <w:tc>
          <w:tcPr>
            <w:tcW w:w="178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上一年项目数量</w:t>
            </w:r>
          </w:p>
        </w:tc>
        <w:tc>
          <w:tcPr>
            <w:tcW w:w="4049" w:type="dxa"/>
            <w:gridSpan w:val="2"/>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本年增/减</w:t>
            </w:r>
          </w:p>
        </w:tc>
      </w:tr>
      <w:tr>
        <w:tblPrEx>
          <w:shd w:val="clear" w:color="auto" w:fill="auto"/>
          <w:tblCellMar>
            <w:top w:w="0" w:type="dxa"/>
            <w:left w:w="0" w:type="dxa"/>
            <w:bottom w:w="0" w:type="dxa"/>
            <w:right w:w="0" w:type="dxa"/>
          </w:tblCellMar>
        </w:tblPrEx>
        <w:trPr>
          <w:jc w:val="center"/>
        </w:trPr>
        <w:tc>
          <w:tcPr>
            <w:tcW w:w="262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行政事业性收费</w:t>
            </w:r>
          </w:p>
        </w:tc>
        <w:tc>
          <w:tcPr>
            <w:tcW w:w="178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4049" w:type="dxa"/>
            <w:gridSpan w:val="2"/>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r>
      <w:tr>
        <w:tblPrEx>
          <w:tblCellMar>
            <w:top w:w="0" w:type="dxa"/>
            <w:left w:w="0" w:type="dxa"/>
            <w:bottom w:w="0" w:type="dxa"/>
            <w:right w:w="0" w:type="dxa"/>
          </w:tblCellMar>
        </w:tblPrEx>
        <w:trPr>
          <w:jc w:val="center"/>
        </w:trPr>
        <w:tc>
          <w:tcPr>
            <w:tcW w:w="8456" w:type="dxa"/>
            <w:gridSpan w:val="4"/>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第二十条第（九）项</w:t>
            </w:r>
          </w:p>
        </w:tc>
      </w:tr>
      <w:tr>
        <w:tblPrEx>
          <w:tblCellMar>
            <w:top w:w="0" w:type="dxa"/>
            <w:left w:w="0" w:type="dxa"/>
            <w:bottom w:w="0" w:type="dxa"/>
            <w:right w:w="0" w:type="dxa"/>
          </w:tblCellMar>
        </w:tblPrEx>
        <w:trPr>
          <w:jc w:val="center"/>
        </w:trPr>
        <w:tc>
          <w:tcPr>
            <w:tcW w:w="262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信息内容</w:t>
            </w:r>
          </w:p>
        </w:tc>
        <w:tc>
          <w:tcPr>
            <w:tcW w:w="178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采购项目数量</w:t>
            </w:r>
          </w:p>
        </w:tc>
        <w:tc>
          <w:tcPr>
            <w:tcW w:w="4049" w:type="dxa"/>
            <w:gridSpan w:val="2"/>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采购总金额</w:t>
            </w:r>
          </w:p>
        </w:tc>
      </w:tr>
      <w:tr>
        <w:tblPrEx>
          <w:shd w:val="clear" w:color="auto" w:fill="auto"/>
          <w:tblCellMar>
            <w:top w:w="0" w:type="dxa"/>
            <w:left w:w="0" w:type="dxa"/>
            <w:bottom w:w="0" w:type="dxa"/>
            <w:right w:w="0" w:type="dxa"/>
          </w:tblCellMar>
        </w:tblPrEx>
        <w:trPr>
          <w:jc w:val="center"/>
        </w:trPr>
        <w:tc>
          <w:tcPr>
            <w:tcW w:w="2621"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政府集中采购</w:t>
            </w:r>
          </w:p>
        </w:tc>
        <w:tc>
          <w:tcPr>
            <w:tcW w:w="1786"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4049" w:type="dxa"/>
            <w:gridSpan w:val="2"/>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right="0"/>
        <w:rPr>
          <w:rFonts w:hint="default" w:ascii="Calibri" w:hAnsi="Calibri" w:cs="Calibri"/>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default" w:ascii="Calibri" w:hAnsi="Calibri" w:cs="Calibri"/>
          <w:sz w:val="24"/>
          <w:szCs w:val="24"/>
        </w:rPr>
      </w:pPr>
      <w:r>
        <w:rPr>
          <w:rFonts w:hint="eastAsia" w:ascii="黑体" w:hAnsi="宋体" w:eastAsia="黑体" w:cs="黑体"/>
          <w:i w:val="0"/>
          <w:caps w:val="0"/>
          <w:color w:val="000000"/>
          <w:spacing w:val="0"/>
          <w:sz w:val="32"/>
          <w:szCs w:val="32"/>
        </w:rPr>
        <w:t>三、收到和处理政府信息公开申请情况</w:t>
      </w:r>
    </w:p>
    <w:tbl>
      <w:tblPr>
        <w:tblStyle w:val="5"/>
        <w:tblW w:w="8355" w:type="dxa"/>
        <w:jc w:val="center"/>
        <w:shd w:val="clear" w:color="auto" w:fill="auto"/>
        <w:tblLayout w:type="autofit"/>
        <w:tblCellMar>
          <w:top w:w="0" w:type="dxa"/>
          <w:left w:w="0" w:type="dxa"/>
          <w:bottom w:w="0" w:type="dxa"/>
          <w:right w:w="0" w:type="dxa"/>
        </w:tblCellMar>
      </w:tblPr>
      <w:tblGrid>
        <w:gridCol w:w="529"/>
        <w:gridCol w:w="1190"/>
        <w:gridCol w:w="2130"/>
        <w:gridCol w:w="425"/>
        <w:gridCol w:w="639"/>
        <w:gridCol w:w="662"/>
        <w:gridCol w:w="709"/>
        <w:gridCol w:w="839"/>
        <w:gridCol w:w="627"/>
        <w:gridCol w:w="605"/>
      </w:tblGrid>
      <w:tr>
        <w:tblPrEx>
          <w:shd w:val="clear" w:color="auto" w:fill="auto"/>
          <w:tblCellMar>
            <w:top w:w="0" w:type="dxa"/>
            <w:left w:w="0" w:type="dxa"/>
            <w:bottom w:w="0" w:type="dxa"/>
            <w:right w:w="0" w:type="dxa"/>
          </w:tblCellMar>
        </w:tblPrEx>
        <w:trPr>
          <w:jc w:val="center"/>
        </w:trPr>
        <w:tc>
          <w:tcPr>
            <w:tcW w:w="385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（本列数据的勾稽关系为：第一项加第二项之和，等于第三项加第四项之和）</w:t>
            </w:r>
          </w:p>
        </w:tc>
        <w:tc>
          <w:tcPr>
            <w:tcW w:w="4506" w:type="dxa"/>
            <w:gridSpan w:val="7"/>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申请人情况</w:t>
            </w:r>
          </w:p>
        </w:tc>
      </w:tr>
      <w:tr>
        <w:tblPrEx>
          <w:shd w:val="clear" w:color="auto" w:fill="auto"/>
          <w:tblCellMar>
            <w:top w:w="0" w:type="dxa"/>
            <w:left w:w="0" w:type="dxa"/>
            <w:bottom w:w="0" w:type="dxa"/>
            <w:right w:w="0" w:type="dxa"/>
          </w:tblCellMar>
        </w:tblPrEx>
        <w:trPr>
          <w:jc w:val="center"/>
        </w:trPr>
        <w:tc>
          <w:tcPr>
            <w:tcW w:w="385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425"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自然人</w:t>
            </w:r>
          </w:p>
        </w:tc>
        <w:tc>
          <w:tcPr>
            <w:tcW w:w="3476" w:type="dxa"/>
            <w:gridSpan w:val="5"/>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法人或其他组织</w:t>
            </w:r>
          </w:p>
        </w:tc>
        <w:tc>
          <w:tcPr>
            <w:tcW w:w="605"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总计</w:t>
            </w:r>
          </w:p>
        </w:tc>
      </w:tr>
      <w:tr>
        <w:tblPrEx>
          <w:shd w:val="clear" w:color="auto" w:fill="auto"/>
          <w:tblCellMar>
            <w:top w:w="0" w:type="dxa"/>
            <w:left w:w="0" w:type="dxa"/>
            <w:bottom w:w="0" w:type="dxa"/>
            <w:right w:w="0" w:type="dxa"/>
          </w:tblCellMar>
        </w:tblPrEx>
        <w:trPr>
          <w:jc w:val="center"/>
        </w:trPr>
        <w:tc>
          <w:tcPr>
            <w:tcW w:w="385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42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商业企业</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科研机构</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社会公益组织</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法律服务机构</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其他</w:t>
            </w:r>
          </w:p>
        </w:tc>
        <w:tc>
          <w:tcPr>
            <w:tcW w:w="605"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r>
      <w:tr>
        <w:tblPrEx>
          <w:shd w:val="clear" w:color="auto" w:fill="auto"/>
          <w:tblCellMar>
            <w:top w:w="0" w:type="dxa"/>
            <w:left w:w="0" w:type="dxa"/>
            <w:bottom w:w="0" w:type="dxa"/>
            <w:right w:w="0" w:type="dxa"/>
          </w:tblCellMar>
        </w:tblPrEx>
        <w:trPr>
          <w:jc w:val="center"/>
        </w:trPr>
        <w:tc>
          <w:tcPr>
            <w:tcW w:w="3850"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一、本年新收政府信息公开申请数量</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3850"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二、上年结转政府信息公开申请数量</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三、本年度办理结果</w:t>
            </w:r>
          </w:p>
        </w:tc>
        <w:tc>
          <w:tcPr>
            <w:tcW w:w="3320" w:type="dxa"/>
            <w:gridSpan w:val="2"/>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（一）予以公开</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3320" w:type="dxa"/>
            <w:gridSpan w:val="2"/>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（二）部分公开（区分处理的，只计这一情形，不计其他情形）</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（三）不予公开</w:t>
            </w: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1.属于国家秘密</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2.其他法律行政法规禁止公开</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3.危及“三安全一稳定”</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4.保护第三方合法权益</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5.属于三类内部事务信息</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6.属于四类过程性信息</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7.属于行政执法案卷</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8.属于行政查询事项</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（四）无法提供</w:t>
            </w: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1.本机关不掌握相关政府信息</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2.没有现成信息需要另行制作</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3.补正后申请内容仍不明确</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（五）不予处理</w:t>
            </w: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1.信访举报投诉类申请</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2.重复申请</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3.要求提供公开出版物</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4.无正当理由大量反复申请</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1190"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2130"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5.要求行政机关确认或重新出具已获取信息</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3320" w:type="dxa"/>
            <w:gridSpan w:val="2"/>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（六）其他处理</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r>
        <w:tblPrEx>
          <w:shd w:val="clear" w:color="auto" w:fill="auto"/>
          <w:tblCellMar>
            <w:top w:w="0" w:type="dxa"/>
            <w:left w:w="0" w:type="dxa"/>
            <w:bottom w:w="0" w:type="dxa"/>
            <w:right w:w="0" w:type="dxa"/>
          </w:tblCellMar>
        </w:tblPrEx>
        <w:trPr>
          <w:jc w:val="center"/>
        </w:trPr>
        <w:tc>
          <w:tcPr>
            <w:tcW w:w="53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3320" w:type="dxa"/>
            <w:gridSpan w:val="2"/>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（七）总计</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r>
      <w:tr>
        <w:tblPrEx>
          <w:tblCellMar>
            <w:top w:w="0" w:type="dxa"/>
            <w:left w:w="0" w:type="dxa"/>
            <w:bottom w:w="0" w:type="dxa"/>
            <w:right w:w="0" w:type="dxa"/>
          </w:tblCellMar>
        </w:tblPrEx>
        <w:trPr>
          <w:jc w:val="center"/>
        </w:trPr>
        <w:tc>
          <w:tcPr>
            <w:tcW w:w="3850" w:type="dxa"/>
            <w:gridSpan w:val="3"/>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left"/>
              <w:rPr>
                <w:rFonts w:hint="default" w:ascii="Calibri" w:hAnsi="Calibri" w:cs="Calibri"/>
                <w:sz w:val="21"/>
                <w:szCs w:val="21"/>
              </w:rPr>
            </w:pPr>
            <w:r>
              <w:rPr>
                <w:rFonts w:hint="eastAsia" w:ascii="仿宋" w:hAnsi="仿宋" w:eastAsia="仿宋" w:cs="仿宋"/>
                <w:sz w:val="24"/>
                <w:szCs w:val="24"/>
              </w:rPr>
              <w:t>四、结转下年度继续办理</w:t>
            </w:r>
          </w:p>
        </w:tc>
        <w:tc>
          <w:tcPr>
            <w:tcW w:w="42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6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70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839"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27"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c>
          <w:tcPr>
            <w:tcW w:w="605"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 w:hAnsi="仿宋" w:eastAsia="仿宋" w:cs="仿宋"/>
                <w:sz w:val="24"/>
                <w:szCs w:val="24"/>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default" w:ascii="Calibri" w:hAnsi="Calibri" w:cs="Calibri"/>
          <w:sz w:val="24"/>
          <w:szCs w:val="24"/>
        </w:rPr>
      </w:pPr>
      <w:r>
        <w:rPr>
          <w:rFonts w:hint="eastAsia" w:ascii="黑体" w:hAnsi="宋体" w:eastAsia="黑体" w:cs="黑体"/>
          <w:i w:val="0"/>
          <w:caps w:val="0"/>
          <w:color w:val="000000"/>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20"/>
        <w:rPr>
          <w:rFonts w:hint="default" w:ascii="Calibri" w:hAnsi="Calibri" w:cs="Calibri"/>
          <w:sz w:val="24"/>
          <w:szCs w:val="24"/>
        </w:rPr>
      </w:pPr>
      <w:r>
        <w:rPr>
          <w:rFonts w:hint="eastAsia" w:ascii="黑体" w:hAnsi="宋体" w:eastAsia="黑体" w:cs="黑体"/>
          <w:i w:val="0"/>
          <w:caps w:val="0"/>
          <w:color w:val="000000"/>
          <w:spacing w:val="0"/>
          <w:sz w:val="32"/>
          <w:szCs w:val="32"/>
        </w:rPr>
        <w:t>四、政府信息公开行政复议、行政诉讼情况</w:t>
      </w:r>
    </w:p>
    <w:tbl>
      <w:tblPr>
        <w:tblStyle w:val="5"/>
        <w:tblW w:w="9045" w:type="dxa"/>
        <w:jc w:val="center"/>
        <w:shd w:val="clear" w:color="auto" w:fill="auto"/>
        <w:tblLayout w:type="autofit"/>
        <w:tblCellMar>
          <w:top w:w="0" w:type="dxa"/>
          <w:left w:w="0" w:type="dxa"/>
          <w:bottom w:w="0" w:type="dxa"/>
          <w:right w:w="0" w:type="dxa"/>
        </w:tblCellMar>
      </w:tblPr>
      <w:tblGrid>
        <w:gridCol w:w="602"/>
        <w:gridCol w:w="602"/>
        <w:gridCol w:w="602"/>
        <w:gridCol w:w="602"/>
        <w:gridCol w:w="602"/>
        <w:gridCol w:w="602"/>
        <w:gridCol w:w="603"/>
        <w:gridCol w:w="603"/>
        <w:gridCol w:w="603"/>
        <w:gridCol w:w="604"/>
        <w:gridCol w:w="604"/>
        <w:gridCol w:w="604"/>
        <w:gridCol w:w="604"/>
        <w:gridCol w:w="604"/>
        <w:gridCol w:w="604"/>
      </w:tblGrid>
      <w:tr>
        <w:tblPrEx>
          <w:shd w:val="clear" w:color="auto" w:fill="auto"/>
          <w:tblCellMar>
            <w:top w:w="0" w:type="dxa"/>
            <w:left w:w="0" w:type="dxa"/>
            <w:bottom w:w="0" w:type="dxa"/>
            <w:right w:w="0" w:type="dxa"/>
          </w:tblCellMar>
        </w:tblPrEx>
        <w:trPr>
          <w:trHeight w:val="479" w:hRule="atLeast"/>
          <w:jc w:val="center"/>
        </w:trPr>
        <w:tc>
          <w:tcPr>
            <w:tcW w:w="301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行政复议</w:t>
            </w:r>
          </w:p>
        </w:tc>
        <w:tc>
          <w:tcPr>
            <w:tcW w:w="6029" w:type="dxa"/>
            <w:gridSpan w:val="10"/>
            <w:tcBorders>
              <w:top w:val="single" w:color="000000" w:sz="8" w:space="0"/>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行政诉讼</w:t>
            </w:r>
          </w:p>
        </w:tc>
      </w:tr>
      <w:tr>
        <w:tblPrEx>
          <w:shd w:val="clear" w:color="auto" w:fill="auto"/>
          <w:tblCellMar>
            <w:top w:w="0" w:type="dxa"/>
            <w:left w:w="0" w:type="dxa"/>
            <w:bottom w:w="0" w:type="dxa"/>
            <w:right w:w="0" w:type="dxa"/>
          </w:tblCellMar>
        </w:tblPrEx>
        <w:trPr>
          <w:trHeight w:val="449" w:hRule="atLeast"/>
          <w:jc w:val="center"/>
        </w:trPr>
        <w:tc>
          <w:tcPr>
            <w:tcW w:w="60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结果维持</w:t>
            </w:r>
          </w:p>
        </w:tc>
        <w:tc>
          <w:tcPr>
            <w:tcW w:w="602"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结果纠正</w:t>
            </w:r>
          </w:p>
        </w:tc>
        <w:tc>
          <w:tcPr>
            <w:tcW w:w="602"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其他结果</w:t>
            </w:r>
          </w:p>
        </w:tc>
        <w:tc>
          <w:tcPr>
            <w:tcW w:w="602"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尚未审结</w:t>
            </w:r>
          </w:p>
        </w:tc>
        <w:tc>
          <w:tcPr>
            <w:tcW w:w="602" w:type="dxa"/>
            <w:vMerge w:val="restart"/>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总计</w:t>
            </w:r>
          </w:p>
        </w:tc>
        <w:tc>
          <w:tcPr>
            <w:tcW w:w="3014" w:type="dxa"/>
            <w:gridSpan w:val="5"/>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未经复议直接起诉</w:t>
            </w:r>
          </w:p>
        </w:tc>
        <w:tc>
          <w:tcPr>
            <w:tcW w:w="3015" w:type="dxa"/>
            <w:gridSpan w:val="5"/>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420"/>
              <w:jc w:val="center"/>
              <w:rPr>
                <w:rFonts w:hint="default" w:ascii="Calibri" w:hAnsi="Calibri" w:cs="Calibri"/>
                <w:sz w:val="21"/>
                <w:szCs w:val="21"/>
              </w:rPr>
            </w:pPr>
            <w:r>
              <w:rPr>
                <w:rFonts w:hint="eastAsia" w:ascii="仿宋" w:hAnsi="仿宋" w:eastAsia="仿宋" w:cs="仿宋"/>
                <w:sz w:val="24"/>
                <w:szCs w:val="24"/>
              </w:rPr>
              <w:t>复议后起诉</w:t>
            </w:r>
          </w:p>
        </w:tc>
      </w:tr>
      <w:tr>
        <w:tblPrEx>
          <w:shd w:val="clear" w:color="auto" w:fill="auto"/>
          <w:tblCellMar>
            <w:top w:w="0" w:type="dxa"/>
            <w:left w:w="0" w:type="dxa"/>
            <w:bottom w:w="0" w:type="dxa"/>
            <w:right w:w="0" w:type="dxa"/>
          </w:tblCellMar>
        </w:tblPrEx>
        <w:trPr>
          <w:trHeight w:val="1353" w:hRule="atLeast"/>
          <w:jc w:val="center"/>
        </w:trPr>
        <w:tc>
          <w:tcPr>
            <w:tcW w:w="60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602" w:type="dxa"/>
            <w:vMerge w:val="continue"/>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rPr>
                <w:rFonts w:hint="eastAsia" w:ascii="宋体"/>
                <w:sz w:val="24"/>
                <w:szCs w:val="24"/>
              </w:rPr>
            </w:pPr>
          </w:p>
        </w:tc>
        <w:tc>
          <w:tcPr>
            <w:tcW w:w="60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结果维持</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结果纠正</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其他结果</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尚未审结</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总计</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结果维持</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结果纠正</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其他结果</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尚未审结</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sz w:val="24"/>
                <w:szCs w:val="24"/>
              </w:rPr>
              <w:t>总计</w:t>
            </w:r>
          </w:p>
        </w:tc>
      </w:tr>
      <w:tr>
        <w:tblPrEx>
          <w:shd w:val="clear" w:color="auto" w:fill="auto"/>
          <w:tblCellMar>
            <w:top w:w="0" w:type="dxa"/>
            <w:left w:w="0" w:type="dxa"/>
            <w:bottom w:w="0" w:type="dxa"/>
            <w:right w:w="0" w:type="dxa"/>
          </w:tblCellMar>
        </w:tblPrEx>
        <w:trPr>
          <w:trHeight w:val="479" w:hRule="atLeast"/>
          <w:jc w:val="center"/>
        </w:trPr>
        <w:tc>
          <w:tcPr>
            <w:tcW w:w="602" w:type="dxa"/>
            <w:tcBorders>
              <w:top w:val="nil"/>
              <w:left w:val="single" w:color="000000" w:sz="8" w:space="0"/>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2"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c>
          <w:tcPr>
            <w:tcW w:w="603" w:type="dxa"/>
            <w:tcBorders>
              <w:top w:val="nil"/>
              <w:left w:val="nil"/>
              <w:bottom w:val="single" w:color="000000"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 w:hAnsi="仿宋" w:eastAsia="仿宋" w:cs="仿宋"/>
                <w:sz w:val="24"/>
                <w:szCs w:val="24"/>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rPr>
          <w:rFonts w:hint="default" w:ascii="Calibri" w:hAnsi="Calibri" w:cs="Calibri"/>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0"/>
        <w:rPr>
          <w:rFonts w:hint="default" w:ascii="Calibri" w:hAnsi="Calibri" w:cs="Calibri"/>
          <w:sz w:val="24"/>
          <w:szCs w:val="24"/>
        </w:rPr>
      </w:pPr>
      <w:r>
        <w:rPr>
          <w:rFonts w:hint="eastAsia" w:ascii="黑体" w:hAnsi="宋体" w:eastAsia="黑体" w:cs="黑体"/>
          <w:i w:val="0"/>
          <w:caps w:val="0"/>
          <w:color w:val="000000"/>
          <w:spacing w:val="0"/>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0"/>
        <w:jc w:val="both"/>
        <w:rPr>
          <w:rFonts w:hint="default" w:ascii="Times New Roman" w:hAnsi="Times New Roman" w:eastAsia="微软雅黑" w:cs="Times New Roman"/>
          <w:i w:val="0"/>
          <w:caps w:val="0"/>
          <w:color w:val="000000"/>
          <w:spacing w:val="0"/>
          <w:sz w:val="32"/>
          <w:szCs w:val="32"/>
        </w:rPr>
      </w:pPr>
      <w:r>
        <w:rPr>
          <w:rFonts w:hint="eastAsia" w:ascii="仿宋" w:hAnsi="仿宋" w:eastAsia="仿宋" w:cs="仿宋"/>
          <w:i w:val="0"/>
          <w:caps w:val="0"/>
          <w:color w:val="000000"/>
          <w:spacing w:val="0"/>
          <w:sz w:val="32"/>
          <w:szCs w:val="32"/>
          <w:lang w:eastAsia="zh-CN"/>
        </w:rPr>
        <w:t>一是</w:t>
      </w:r>
      <w:r>
        <w:rPr>
          <w:rFonts w:hint="eastAsia" w:ascii="仿宋" w:hAnsi="仿宋" w:eastAsia="仿宋" w:cs="仿宋"/>
          <w:i w:val="0"/>
          <w:caps w:val="0"/>
          <w:color w:val="000000"/>
          <w:spacing w:val="0"/>
          <w:sz w:val="32"/>
          <w:szCs w:val="32"/>
        </w:rPr>
        <w:t>信息公开意识不强</w:t>
      </w:r>
      <w:r>
        <w:rPr>
          <w:rFonts w:hint="eastAsia" w:ascii="仿宋" w:hAnsi="仿宋" w:eastAsia="仿宋" w:cs="仿宋"/>
          <w:i w:val="0"/>
          <w:caps w:val="0"/>
          <w:color w:val="000000"/>
          <w:spacing w:val="0"/>
          <w:sz w:val="32"/>
          <w:szCs w:val="32"/>
          <w:lang w:eastAsia="zh-CN"/>
        </w:rPr>
        <w:t>，</w:t>
      </w:r>
      <w:r>
        <w:rPr>
          <w:rFonts w:hint="eastAsia" w:ascii="仿宋" w:hAnsi="仿宋" w:eastAsia="仿宋" w:cs="仿宋"/>
          <w:i w:val="0"/>
          <w:caps w:val="0"/>
          <w:color w:val="000000"/>
          <w:spacing w:val="0"/>
          <w:sz w:val="32"/>
          <w:szCs w:val="32"/>
        </w:rPr>
        <w:t>工作开展后</w:t>
      </w:r>
      <w:r>
        <w:rPr>
          <w:rFonts w:hint="eastAsia" w:ascii="仿宋" w:hAnsi="仿宋" w:eastAsia="仿宋" w:cs="仿宋"/>
          <w:i w:val="0"/>
          <w:caps w:val="0"/>
          <w:color w:val="000000"/>
          <w:spacing w:val="0"/>
          <w:sz w:val="32"/>
          <w:szCs w:val="32"/>
          <w:lang w:eastAsia="zh-CN"/>
        </w:rPr>
        <w:t>未</w:t>
      </w:r>
      <w:r>
        <w:rPr>
          <w:rFonts w:hint="eastAsia" w:ascii="仿宋" w:hAnsi="仿宋" w:eastAsia="仿宋" w:cs="仿宋"/>
          <w:i w:val="0"/>
          <w:caps w:val="0"/>
          <w:color w:val="000000"/>
          <w:spacing w:val="0"/>
          <w:sz w:val="32"/>
          <w:szCs w:val="32"/>
        </w:rPr>
        <w:t>及时发布信息。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0"/>
        <w:jc w:val="both"/>
        <w:rPr>
          <w:rFonts w:hint="default" w:ascii="Calibri" w:hAnsi="Calibri" w:cs="Calibri"/>
          <w:sz w:val="21"/>
          <w:szCs w:val="21"/>
        </w:rPr>
      </w:pPr>
      <w:r>
        <w:rPr>
          <w:rFonts w:hint="eastAsia" w:ascii="仿宋" w:hAnsi="仿宋" w:eastAsia="仿宋" w:cs="仿宋"/>
          <w:i w:val="0"/>
          <w:caps w:val="0"/>
          <w:color w:val="000000"/>
          <w:spacing w:val="0"/>
          <w:sz w:val="32"/>
          <w:szCs w:val="32"/>
        </w:rPr>
        <w:t>二是信息公开的方式还需要更加丰富多样。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000000"/>
          <w:spacing w:val="0"/>
          <w:sz w:val="32"/>
          <w:szCs w:val="32"/>
        </w:rPr>
        <w:t>2020</w:t>
      </w:r>
      <w:r>
        <w:rPr>
          <w:rFonts w:hint="eastAsia" w:ascii="仿宋" w:hAnsi="仿宋" w:eastAsia="仿宋" w:cs="仿宋"/>
          <w:i w:val="0"/>
          <w:caps w:val="0"/>
          <w:color w:val="000000"/>
          <w:spacing w:val="0"/>
          <w:sz w:val="32"/>
          <w:szCs w:val="32"/>
        </w:rPr>
        <w:t>年，</w:t>
      </w:r>
      <w:r>
        <w:rPr>
          <w:rFonts w:hint="eastAsia" w:ascii="仿宋" w:hAnsi="仿宋" w:eastAsia="仿宋" w:cs="仿宋"/>
          <w:i w:val="0"/>
          <w:caps w:val="0"/>
          <w:color w:val="000000"/>
          <w:spacing w:val="0"/>
          <w:sz w:val="32"/>
          <w:szCs w:val="32"/>
          <w:lang w:eastAsia="zh-CN"/>
        </w:rPr>
        <w:t>区医疗保障局</w:t>
      </w:r>
      <w:r>
        <w:rPr>
          <w:rFonts w:hint="eastAsia" w:ascii="仿宋" w:hAnsi="仿宋" w:eastAsia="仿宋" w:cs="仿宋"/>
          <w:i w:val="0"/>
          <w:caps w:val="0"/>
          <w:color w:val="000000"/>
          <w:spacing w:val="0"/>
          <w:sz w:val="32"/>
          <w:szCs w:val="32"/>
        </w:rPr>
        <w:t>将严格落实《中华人民共和国政府信息公开条例》和鹤岗市政府信息公开工作的要求，准确把握医疗保障工作规律和特点，加大信息公开力度，明确公开重点，细化公开内容，增强公开实效，不断提升医疗保障工作的透明度，让人民群众享有更多的获得感、幸福感、安全感，增强对党和政府的信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640"/>
        <w:rPr>
          <w:rFonts w:hint="default" w:ascii="Calibri" w:hAnsi="Calibri" w:cs="Calibri"/>
          <w:sz w:val="24"/>
          <w:szCs w:val="24"/>
        </w:rPr>
      </w:pPr>
      <w:r>
        <w:rPr>
          <w:rFonts w:hint="eastAsia" w:ascii="黑体" w:hAnsi="宋体" w:eastAsia="黑体" w:cs="黑体"/>
          <w:i w:val="0"/>
          <w:caps w:val="0"/>
          <w:color w:val="000000"/>
          <w:spacing w:val="0"/>
          <w:sz w:val="32"/>
          <w:szCs w:val="32"/>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仿宋" w:hAnsi="仿宋" w:eastAsia="仿宋" w:cs="仿宋"/>
          <w:i w:val="0"/>
          <w:caps w:val="0"/>
          <w:color w:val="000000"/>
          <w:spacing w:val="0"/>
          <w:sz w:val="32"/>
          <w:szCs w:val="32"/>
        </w:rPr>
        <w:t>　　我局暂无其他应报告的事项。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27D02"/>
    <w:rsid w:val="19CC0CB5"/>
    <w:rsid w:val="3A3E4336"/>
    <w:rsid w:val="4CA9526D"/>
    <w:rsid w:val="60155782"/>
    <w:rsid w:val="66FD4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1355</Words>
  <Characters>1383</Characters>
  <Lines>0</Lines>
  <Paragraphs>0</Paragraphs>
  <TotalTime>2</TotalTime>
  <ScaleCrop>false</ScaleCrop>
  <LinksUpToDate>false</LinksUpToDate>
  <CharactersWithSpaces>1386</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2021-01-25T03:37:00Z</dcterms:created>
  <dc:creator>Administrator</dc:creator>
  <cp:lastModifiedBy>de</cp:lastModifiedBy>
  <cp:lastPrinted>2021-01-25T03:37:00Z</cp:lastPrinted>
  <dcterms:modified xsi:type="dcterms:W3CDTF">2021-03-31T06:29:46Z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0190D297A07E4356B691E9B76DD1D510</vt:lpwstr>
  </property>
</Properties>
</file>