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center"/>
        <w:textAlignment w:val="auto"/>
        <w:rPr>
          <w:rFonts w:ascii="仿宋" w:hAnsi="仿宋" w:eastAsia="仿宋" w:cs="宋体"/>
          <w:color w:val="000000"/>
          <w:kern w:val="0"/>
          <w:sz w:val="32"/>
          <w:szCs w:val="32"/>
        </w:rPr>
      </w:pPr>
      <w:r>
        <w:rPr>
          <w:rFonts w:hint="eastAsia" w:ascii="方正小标宋简体" w:hAnsi="仿宋" w:eastAsia="方正小标宋简体" w:cs="宋体"/>
          <w:color w:val="000000"/>
          <w:kern w:val="0"/>
          <w:sz w:val="44"/>
          <w:szCs w:val="44"/>
        </w:rPr>
        <w:t>鹤岗市南山区财政局</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center"/>
        <w:textAlignment w:val="auto"/>
        <w:rPr>
          <w:rFonts w:ascii="仿宋" w:hAnsi="仿宋" w:eastAsia="仿宋" w:cs="宋体"/>
          <w:color w:val="000000"/>
          <w:kern w:val="0"/>
          <w:sz w:val="32"/>
          <w:szCs w:val="32"/>
        </w:rPr>
      </w:pPr>
      <w:r>
        <w:rPr>
          <w:rFonts w:hint="eastAsia" w:ascii="方正小标宋简体" w:hAnsi="仿宋" w:eastAsia="方正小标宋简体" w:cs="宋体"/>
          <w:color w:val="000000"/>
          <w:kern w:val="0"/>
          <w:sz w:val="44"/>
          <w:szCs w:val="44"/>
        </w:rPr>
        <w:t>2019年信息公开工作年度报告</w:t>
      </w:r>
    </w:p>
    <w:p>
      <w:pPr>
        <w:widowControl/>
        <w:shd w:val="clear" w:color="auto" w:fill="FFFFFF"/>
        <w:wordWrap w:val="0"/>
        <w:jc w:val="center"/>
        <w:rPr>
          <w:rFonts w:ascii="仿宋" w:hAnsi="仿宋" w:eastAsia="仿宋" w:cs="宋体"/>
          <w:color w:val="000000"/>
          <w:kern w:val="0"/>
          <w:sz w:val="32"/>
          <w:szCs w:val="32"/>
        </w:rPr>
      </w:pPr>
      <w:r>
        <w:rPr>
          <w:rFonts w:hint="eastAsia" w:ascii="宋体" w:hAnsi="宋体" w:eastAsia="宋体" w:cs="宋体"/>
          <w:color w:val="000000"/>
          <w:kern w:val="0"/>
          <w:sz w:val="44"/>
          <w:szCs w:val="44"/>
        </w:rPr>
        <w:t> </w:t>
      </w:r>
    </w:p>
    <w:p>
      <w:pPr>
        <w:widowControl/>
        <w:shd w:val="clear" w:color="auto" w:fill="FFFFFF"/>
        <w:wordWrap w:val="0"/>
        <w:spacing w:line="349" w:lineRule="atLeas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依据《中华人民共和国政府信息公开条例》（以下简称《条例》）第五十条之规定，</w:t>
      </w:r>
      <w:bookmarkStart w:id="0" w:name="_GoBack"/>
      <w:bookmarkEnd w:id="0"/>
      <w:r>
        <w:rPr>
          <w:rFonts w:hint="eastAsia" w:ascii="仿宋" w:hAnsi="仿宋" w:eastAsia="仿宋" w:cs="宋体"/>
          <w:color w:val="000000"/>
          <w:kern w:val="0"/>
          <w:sz w:val="32"/>
          <w:szCs w:val="32"/>
        </w:rPr>
        <w:t>制作本报告。</w:t>
      </w:r>
    </w:p>
    <w:p>
      <w:pPr>
        <w:widowControl/>
        <w:shd w:val="clear" w:color="auto" w:fill="FFFFFF"/>
        <w:wordWrap w:val="0"/>
        <w:spacing w:line="349" w:lineRule="atLeast"/>
        <w:ind w:firstLine="640"/>
        <w:rPr>
          <w:rFonts w:ascii="仿宋" w:hAnsi="仿宋" w:eastAsia="仿宋" w:cs="宋体"/>
          <w:color w:val="000000"/>
          <w:kern w:val="0"/>
          <w:sz w:val="32"/>
          <w:szCs w:val="32"/>
        </w:rPr>
      </w:pPr>
      <w:r>
        <w:rPr>
          <w:rFonts w:hint="eastAsia" w:ascii="黑体" w:hAnsi="黑体" w:eastAsia="黑体" w:cs="宋体"/>
          <w:color w:val="000000"/>
          <w:kern w:val="0"/>
          <w:sz w:val="32"/>
          <w:szCs w:val="32"/>
        </w:rPr>
        <w:t>一、总体情况</w:t>
      </w:r>
    </w:p>
    <w:p>
      <w:pPr>
        <w:widowControl/>
        <w:shd w:val="clear" w:color="auto" w:fill="FFFFFF"/>
        <w:wordWrap w:val="0"/>
        <w:spacing w:line="349" w:lineRule="atLeas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2019年，我局认真贯彻落实新《条例》和《黑龙江省人民政府办公厅关于进一步加强全省政务公开工作的实施意见》,坚持以公开为常态、不公开为例外，遵循公正、公平、合法、便民的原则。推进决策、执行、管理、服务、结果公开。不断推进政务公开领域深化改革，不断增强公开实效，提高公开质量，助力全区营商环境优化，推动法治政府、廉洁政府和服务型政府建设，提升政府工作透明度和公信力。</w:t>
      </w:r>
    </w:p>
    <w:p>
      <w:pPr>
        <w:spacing w:line="600" w:lineRule="exact"/>
        <w:ind w:firstLine="627" w:firstLineChars="196"/>
        <w:rPr>
          <w:rFonts w:ascii="仿宋" w:hAnsi="仿宋" w:eastAsia="仿宋" w:cs="宋体"/>
          <w:color w:val="000000"/>
          <w:kern w:val="0"/>
          <w:sz w:val="32"/>
          <w:szCs w:val="32"/>
        </w:rPr>
      </w:pPr>
      <w:r>
        <w:rPr>
          <w:rFonts w:ascii="仿宋" w:hAnsi="仿宋" w:eastAsia="仿宋" w:cs="Times New Roman"/>
          <w:sz w:val="32"/>
          <w:szCs w:val="32"/>
        </w:rPr>
        <w:t>推进</w:t>
      </w:r>
      <w:r>
        <w:rPr>
          <w:rFonts w:hint="eastAsia" w:ascii="仿宋" w:hAnsi="仿宋" w:eastAsia="仿宋" w:cs="Times New Roman"/>
          <w:sz w:val="32"/>
          <w:szCs w:val="32"/>
        </w:rPr>
        <w:t>预</w:t>
      </w:r>
      <w:r>
        <w:rPr>
          <w:rFonts w:ascii="仿宋" w:hAnsi="仿宋" w:eastAsia="仿宋" w:cs="Times New Roman"/>
          <w:sz w:val="32"/>
          <w:szCs w:val="32"/>
        </w:rPr>
        <w:t>决算信息公开工作，不断提高</w:t>
      </w:r>
      <w:r>
        <w:rPr>
          <w:rFonts w:hint="eastAsia" w:ascii="仿宋" w:hAnsi="仿宋" w:eastAsia="仿宋" w:cs="Times New Roman"/>
          <w:sz w:val="32"/>
          <w:szCs w:val="32"/>
        </w:rPr>
        <w:t>预</w:t>
      </w:r>
      <w:r>
        <w:rPr>
          <w:rFonts w:ascii="仿宋" w:hAnsi="仿宋" w:eastAsia="仿宋" w:cs="Times New Roman"/>
          <w:sz w:val="32"/>
          <w:szCs w:val="32"/>
        </w:rPr>
        <w:t>决算信息的透明度</w:t>
      </w:r>
      <w:r>
        <w:rPr>
          <w:rFonts w:hint="eastAsia" w:ascii="仿宋" w:hAnsi="仿宋" w:eastAsia="仿宋"/>
          <w:sz w:val="32"/>
          <w:szCs w:val="32"/>
        </w:rPr>
        <w:t>。</w:t>
      </w:r>
      <w:r>
        <w:rPr>
          <w:rFonts w:hint="eastAsia" w:ascii="仿宋" w:hAnsi="仿宋" w:eastAsia="仿宋" w:cs="Times New Roman"/>
          <w:sz w:val="32"/>
          <w:szCs w:val="32"/>
        </w:rPr>
        <w:t>5月份我局在人大批复后的20日内对我区2019年预算在市政府网站上公开，7月份我局在人大批复后的20内对我区2018年决算在市政府网站公开。公开的主体、时限、程序、内容等具体问题进行明确规定，形成预决算信息公开工作制度化、常态化。预决算公开</w:t>
      </w:r>
      <w:r>
        <w:rPr>
          <w:rFonts w:ascii="仿宋" w:hAnsi="仿宋" w:eastAsia="仿宋" w:cs="Times New Roman"/>
          <w:sz w:val="32"/>
          <w:szCs w:val="32"/>
        </w:rPr>
        <w:t>有助于保障公民的知情权、参与权和监督权，有助于建设高效廉洁政府，促进依法理财、民主理财，提升预决算管理水平，提高资金使用效益。</w:t>
      </w:r>
    </w:p>
    <w:p>
      <w:pPr>
        <w:widowControl/>
        <w:shd w:val="clear" w:color="auto" w:fill="FFFFFF"/>
        <w:wordWrap w:val="0"/>
        <w:spacing w:line="349" w:lineRule="atLeast"/>
        <w:ind w:firstLine="640"/>
        <w:rPr>
          <w:rFonts w:ascii="仿宋" w:hAnsi="仿宋" w:eastAsia="仿宋"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5"/>
        <w:tblW w:w="6936" w:type="dxa"/>
        <w:jc w:val="center"/>
        <w:tblLayout w:type="autofit"/>
        <w:tblCellMar>
          <w:top w:w="0" w:type="dxa"/>
          <w:left w:w="0" w:type="dxa"/>
          <w:bottom w:w="0" w:type="dxa"/>
          <w:right w:w="0" w:type="dxa"/>
        </w:tblCellMar>
      </w:tblPr>
      <w:tblGrid>
        <w:gridCol w:w="2709"/>
        <w:gridCol w:w="1514"/>
        <w:gridCol w:w="6"/>
        <w:gridCol w:w="1053"/>
        <w:gridCol w:w="1654"/>
      </w:tblGrid>
      <w:tr>
        <w:tblPrEx>
          <w:tblCellMar>
            <w:top w:w="0" w:type="dxa"/>
            <w:left w:w="0" w:type="dxa"/>
            <w:bottom w:w="0" w:type="dxa"/>
            <w:right w:w="0" w:type="dxa"/>
          </w:tblCellMar>
        </w:tblPrEx>
        <w:trPr>
          <w:trHeight w:val="495" w:hRule="atLeast"/>
          <w:jc w:val="center"/>
        </w:trPr>
        <w:tc>
          <w:tcPr>
            <w:tcW w:w="8672" w:type="dxa"/>
            <w:gridSpan w:val="5"/>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第二十条第（一）项</w:t>
            </w:r>
          </w:p>
        </w:tc>
      </w:tr>
      <w:tr>
        <w:tblPrEx>
          <w:tblCellMar>
            <w:top w:w="0" w:type="dxa"/>
            <w:left w:w="0" w:type="dxa"/>
            <w:bottom w:w="0" w:type="dxa"/>
            <w:right w:w="0" w:type="dxa"/>
          </w:tblCellMar>
        </w:tblPrEx>
        <w:trPr>
          <w:trHeight w:val="882"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信息内容</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本年新</w:t>
            </w:r>
            <w:r>
              <w:rPr>
                <w:rFonts w:hint="eastAsia" w:ascii="宋体" w:hAnsi="宋体" w:eastAsia="宋体" w:cs="宋体"/>
                <w:color w:val="000000"/>
                <w:kern w:val="0"/>
                <w:sz w:val="20"/>
                <w:szCs w:val="20"/>
              </w:rPr>
              <w:br w:type="textWrapping"/>
            </w:r>
            <w:r>
              <w:rPr>
                <w:rFonts w:hint="eastAsia" w:ascii="仿宋" w:hAnsi="仿宋" w:eastAsia="仿宋" w:cs="宋体"/>
                <w:kern w:val="0"/>
                <w:sz w:val="20"/>
                <w:szCs w:val="20"/>
              </w:rPr>
              <w:t>制作数量</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本年新</w:t>
            </w:r>
            <w:r>
              <w:rPr>
                <w:rFonts w:hint="eastAsia" w:ascii="宋体" w:hAnsi="宋体" w:eastAsia="宋体" w:cs="宋体"/>
                <w:color w:val="000000"/>
                <w:kern w:val="0"/>
                <w:sz w:val="20"/>
                <w:szCs w:val="20"/>
              </w:rPr>
              <w:br w:type="textWrapping"/>
            </w:r>
            <w:r>
              <w:rPr>
                <w:rFonts w:hint="eastAsia" w:ascii="仿宋" w:hAnsi="仿宋" w:eastAsia="仿宋" w:cs="宋体"/>
                <w:kern w:val="0"/>
                <w:sz w:val="20"/>
                <w:szCs w:val="20"/>
              </w:rPr>
              <w:t>公开数量</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对外公开总数量</w:t>
            </w:r>
          </w:p>
        </w:tc>
      </w:tr>
      <w:tr>
        <w:tblPrEx>
          <w:tblCellMar>
            <w:top w:w="0" w:type="dxa"/>
            <w:left w:w="0" w:type="dxa"/>
            <w:bottom w:w="0" w:type="dxa"/>
            <w:right w:w="0" w:type="dxa"/>
          </w:tblCellMar>
        </w:tblPrEx>
        <w:trPr>
          <w:trHeight w:val="523"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仿宋" w:hAnsi="仿宋" w:eastAsia="仿宋" w:cs="宋体"/>
                <w:color w:val="000000"/>
                <w:kern w:val="0"/>
                <w:sz w:val="20"/>
                <w:szCs w:val="20"/>
              </w:rPr>
              <w:t>规章</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71"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仿宋" w:hAnsi="仿宋" w:eastAsia="仿宋" w:cs="宋体"/>
                <w:color w:val="000000"/>
                <w:kern w:val="0"/>
                <w:sz w:val="20"/>
                <w:szCs w:val="20"/>
              </w:rPr>
              <w:t>规范性文件</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80" w:hRule="atLeast"/>
          <w:jc w:val="center"/>
        </w:trPr>
        <w:tc>
          <w:tcPr>
            <w:tcW w:w="8672"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第二十条第（五）项</w:t>
            </w:r>
          </w:p>
        </w:tc>
      </w:tr>
      <w:tr>
        <w:tblPrEx>
          <w:tblCellMar>
            <w:top w:w="0" w:type="dxa"/>
            <w:left w:w="0" w:type="dxa"/>
            <w:bottom w:w="0" w:type="dxa"/>
            <w:right w:w="0" w:type="dxa"/>
          </w:tblCellMar>
        </w:tblPrEx>
        <w:trPr>
          <w:trHeight w:val="634"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信息内容</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上一年项目数量</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本年增</w:t>
            </w:r>
            <w:r>
              <w:rPr>
                <w:rFonts w:hint="eastAsia" w:ascii="宋体" w:hAnsi="宋体" w:eastAsia="宋体" w:cs="宋体"/>
                <w:color w:val="000000"/>
                <w:kern w:val="0"/>
                <w:sz w:val="20"/>
                <w:szCs w:val="20"/>
              </w:rPr>
              <w:t>/</w:t>
            </w:r>
            <w:r>
              <w:rPr>
                <w:rFonts w:hint="eastAsia" w:ascii="仿宋" w:hAnsi="仿宋" w:eastAsia="仿宋" w:cs="宋体"/>
                <w:color w:val="000000"/>
                <w:kern w:val="0"/>
                <w:sz w:val="20"/>
                <w:szCs w:val="20"/>
              </w:rPr>
              <w:t>减</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处理决定数量</w:t>
            </w:r>
          </w:p>
        </w:tc>
      </w:tr>
      <w:tr>
        <w:tblPrEx>
          <w:tblCellMar>
            <w:top w:w="0" w:type="dxa"/>
            <w:left w:w="0" w:type="dxa"/>
            <w:bottom w:w="0" w:type="dxa"/>
            <w:right w:w="0" w:type="dxa"/>
          </w:tblCellMar>
        </w:tblPrEx>
        <w:trPr>
          <w:trHeight w:val="528" w:hRule="atLeast"/>
          <w:jc w:val="center"/>
        </w:trPr>
        <w:tc>
          <w:tcPr>
            <w:tcW w:w="3465" w:type="dxa"/>
            <w:tcBorders>
              <w:top w:val="nil"/>
              <w:left w:val="single" w:color="auto" w:sz="8" w:space="0"/>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仿宋" w:hAnsi="仿宋" w:eastAsia="仿宋" w:cs="宋体"/>
                <w:color w:val="000000"/>
                <w:kern w:val="0"/>
                <w:sz w:val="20"/>
                <w:szCs w:val="20"/>
              </w:rPr>
              <w:t>行政许可</w:t>
            </w:r>
          </w:p>
        </w:tc>
        <w:tc>
          <w:tcPr>
            <w:tcW w:w="1881" w:type="dxa"/>
            <w:gridSpan w:val="2"/>
            <w:tcBorders>
              <w:top w:val="nil"/>
              <w:left w:val="nil"/>
              <w:bottom w:val="single" w:color="auto" w:sz="8" w:space="0"/>
              <w:right w:val="single" w:color="auto" w:sz="8" w:space="0"/>
            </w:tcBorders>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12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550" w:hRule="atLeast"/>
          <w:jc w:val="center"/>
        </w:trPr>
        <w:tc>
          <w:tcPr>
            <w:tcW w:w="3465" w:type="dxa"/>
            <w:tcBorders>
              <w:top w:val="nil"/>
              <w:left w:val="single" w:color="auto" w:sz="8" w:space="0"/>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仿宋" w:hAnsi="仿宋" w:eastAsia="仿宋" w:cs="宋体"/>
                <w:color w:val="000000"/>
                <w:kern w:val="0"/>
                <w:sz w:val="20"/>
                <w:szCs w:val="20"/>
              </w:rPr>
              <w:t>其他对外管理服务事项</w:t>
            </w:r>
          </w:p>
        </w:tc>
        <w:tc>
          <w:tcPr>
            <w:tcW w:w="1881" w:type="dxa"/>
            <w:gridSpan w:val="2"/>
            <w:tcBorders>
              <w:top w:val="nil"/>
              <w:left w:val="nil"/>
              <w:bottom w:val="single" w:color="auto" w:sz="8" w:space="0"/>
              <w:right w:val="single" w:color="auto" w:sz="8" w:space="0"/>
            </w:tcBorders>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12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06" w:hRule="atLeast"/>
          <w:jc w:val="center"/>
        </w:trPr>
        <w:tc>
          <w:tcPr>
            <w:tcW w:w="8672"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第二十条第（六）项</w:t>
            </w:r>
          </w:p>
        </w:tc>
      </w:tr>
      <w:tr>
        <w:tblPrEx>
          <w:tblCellMar>
            <w:top w:w="0" w:type="dxa"/>
            <w:left w:w="0" w:type="dxa"/>
            <w:bottom w:w="0" w:type="dxa"/>
            <w:right w:w="0" w:type="dxa"/>
          </w:tblCellMar>
        </w:tblPrEx>
        <w:trPr>
          <w:trHeight w:val="634"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信息内容</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上一年项目数量</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本年增</w:t>
            </w:r>
            <w:r>
              <w:rPr>
                <w:rFonts w:hint="eastAsia" w:ascii="宋体" w:hAnsi="宋体" w:eastAsia="宋体" w:cs="宋体"/>
                <w:color w:val="000000"/>
                <w:kern w:val="0"/>
                <w:sz w:val="20"/>
                <w:szCs w:val="20"/>
              </w:rPr>
              <w:t>/</w:t>
            </w:r>
            <w:r>
              <w:rPr>
                <w:rFonts w:hint="eastAsia" w:ascii="仿宋" w:hAnsi="仿宋" w:eastAsia="仿宋" w:cs="宋体"/>
                <w:color w:val="000000"/>
                <w:kern w:val="0"/>
                <w:sz w:val="20"/>
                <w:szCs w:val="20"/>
              </w:rPr>
              <w:t>减</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处理决定数量</w:t>
            </w:r>
          </w:p>
        </w:tc>
      </w:tr>
      <w:tr>
        <w:tblPrEx>
          <w:tblCellMar>
            <w:top w:w="0" w:type="dxa"/>
            <w:left w:w="0" w:type="dxa"/>
            <w:bottom w:w="0" w:type="dxa"/>
            <w:right w:w="0" w:type="dxa"/>
          </w:tblCellMar>
        </w:tblPrEx>
        <w:trPr>
          <w:trHeight w:val="430" w:hRule="atLeast"/>
          <w:jc w:val="center"/>
        </w:trPr>
        <w:tc>
          <w:tcPr>
            <w:tcW w:w="3465" w:type="dxa"/>
            <w:tcBorders>
              <w:top w:val="nil"/>
              <w:left w:val="single" w:color="auto" w:sz="8" w:space="0"/>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仿宋" w:hAnsi="仿宋" w:eastAsia="仿宋" w:cs="宋体"/>
                <w:color w:val="000000"/>
                <w:kern w:val="0"/>
                <w:sz w:val="20"/>
                <w:szCs w:val="20"/>
              </w:rPr>
              <w:t>行政处罚</w:t>
            </w:r>
          </w:p>
        </w:tc>
        <w:tc>
          <w:tcPr>
            <w:tcW w:w="1881" w:type="dxa"/>
            <w:gridSpan w:val="2"/>
            <w:tcBorders>
              <w:top w:val="nil"/>
              <w:left w:val="nil"/>
              <w:bottom w:val="single" w:color="auto" w:sz="8" w:space="0"/>
              <w:right w:val="single" w:color="auto" w:sz="8" w:space="0"/>
            </w:tcBorders>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12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09" w:hRule="atLeast"/>
          <w:jc w:val="center"/>
        </w:trPr>
        <w:tc>
          <w:tcPr>
            <w:tcW w:w="3465" w:type="dxa"/>
            <w:tcBorders>
              <w:top w:val="nil"/>
              <w:left w:val="single" w:color="auto" w:sz="8" w:space="0"/>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仿宋" w:hAnsi="仿宋" w:eastAsia="仿宋" w:cs="宋体"/>
                <w:color w:val="000000"/>
                <w:kern w:val="0"/>
                <w:sz w:val="20"/>
                <w:szCs w:val="20"/>
              </w:rPr>
              <w:t>行政强制</w:t>
            </w:r>
          </w:p>
        </w:tc>
        <w:tc>
          <w:tcPr>
            <w:tcW w:w="1881" w:type="dxa"/>
            <w:gridSpan w:val="2"/>
            <w:tcBorders>
              <w:top w:val="nil"/>
              <w:left w:val="nil"/>
              <w:bottom w:val="single" w:color="auto" w:sz="8" w:space="0"/>
              <w:right w:val="single" w:color="auto" w:sz="8" w:space="0"/>
            </w:tcBorders>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12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20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474" w:hRule="atLeast"/>
          <w:jc w:val="center"/>
        </w:trPr>
        <w:tc>
          <w:tcPr>
            <w:tcW w:w="8672"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第二十条第（八）项</w:t>
            </w:r>
          </w:p>
        </w:tc>
      </w:tr>
      <w:tr>
        <w:tblPrEx>
          <w:tblCellMar>
            <w:top w:w="0" w:type="dxa"/>
            <w:left w:w="0" w:type="dxa"/>
            <w:bottom w:w="0" w:type="dxa"/>
            <w:right w:w="0" w:type="dxa"/>
          </w:tblCellMar>
        </w:tblPrEx>
        <w:trPr>
          <w:trHeight w:val="270"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仿宋" w:hAnsi="仿宋" w:eastAsia="仿宋" w:cs="宋体"/>
                <w:kern w:val="0"/>
                <w:sz w:val="32"/>
                <w:szCs w:val="32"/>
              </w:rPr>
            </w:pPr>
            <w:r>
              <w:rPr>
                <w:rFonts w:hint="eastAsia" w:ascii="仿宋" w:hAnsi="仿宋" w:eastAsia="仿宋" w:cs="宋体"/>
                <w:color w:val="000000"/>
                <w:kern w:val="0"/>
                <w:sz w:val="20"/>
                <w:szCs w:val="20"/>
              </w:rPr>
              <w:t>信息内容</w:t>
            </w:r>
          </w:p>
        </w:tc>
        <w:tc>
          <w:tcPr>
            <w:tcW w:w="18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left"/>
              <w:rPr>
                <w:rFonts w:ascii="仿宋" w:hAnsi="仿宋" w:eastAsia="仿宋" w:cs="宋体"/>
                <w:kern w:val="0"/>
                <w:sz w:val="32"/>
                <w:szCs w:val="32"/>
              </w:rPr>
            </w:pPr>
            <w:r>
              <w:rPr>
                <w:rFonts w:hint="eastAsia" w:ascii="仿宋" w:hAnsi="仿宋" w:eastAsia="仿宋" w:cs="宋体"/>
                <w:color w:val="000000"/>
                <w:kern w:val="0"/>
                <w:sz w:val="20"/>
                <w:szCs w:val="20"/>
              </w:rPr>
              <w:t>上一年项目数量</w:t>
            </w:r>
          </w:p>
        </w:tc>
        <w:tc>
          <w:tcPr>
            <w:tcW w:w="3326" w:type="dxa"/>
            <w:gridSpan w:val="2"/>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wordWrap w:val="0"/>
              <w:spacing w:line="270" w:lineRule="atLeast"/>
              <w:jc w:val="center"/>
              <w:rPr>
                <w:rFonts w:ascii="仿宋" w:hAnsi="仿宋" w:eastAsia="仿宋" w:cs="宋体"/>
                <w:kern w:val="0"/>
                <w:sz w:val="32"/>
                <w:szCs w:val="32"/>
              </w:rPr>
            </w:pPr>
            <w:r>
              <w:rPr>
                <w:rFonts w:hint="eastAsia" w:ascii="仿宋" w:hAnsi="仿宋" w:eastAsia="仿宋" w:cs="宋体"/>
                <w:color w:val="000000"/>
                <w:kern w:val="0"/>
                <w:sz w:val="20"/>
                <w:szCs w:val="20"/>
              </w:rPr>
              <w:t>本年增</w:t>
            </w:r>
            <w:r>
              <w:rPr>
                <w:rFonts w:hint="eastAsia" w:ascii="宋体" w:hAnsi="宋体" w:eastAsia="宋体" w:cs="宋体"/>
                <w:color w:val="000000"/>
                <w:kern w:val="0"/>
                <w:sz w:val="20"/>
                <w:szCs w:val="20"/>
              </w:rPr>
              <w:t>/</w:t>
            </w:r>
            <w:r>
              <w:rPr>
                <w:rFonts w:hint="eastAsia" w:ascii="仿宋" w:hAnsi="仿宋" w:eastAsia="仿宋" w:cs="宋体"/>
                <w:color w:val="000000"/>
                <w:kern w:val="0"/>
                <w:sz w:val="20"/>
                <w:szCs w:val="20"/>
              </w:rPr>
              <w:t>减</w:t>
            </w:r>
          </w:p>
        </w:tc>
      </w:tr>
      <w:tr>
        <w:tblPrEx>
          <w:tblCellMar>
            <w:top w:w="0" w:type="dxa"/>
            <w:left w:w="0" w:type="dxa"/>
            <w:bottom w:w="0" w:type="dxa"/>
            <w:right w:w="0" w:type="dxa"/>
          </w:tblCellMar>
        </w:tblPrEx>
        <w:trPr>
          <w:trHeight w:val="551"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仿宋" w:hAnsi="仿宋" w:eastAsia="仿宋" w:cs="宋体"/>
                <w:color w:val="000000"/>
                <w:kern w:val="0"/>
                <w:sz w:val="20"/>
                <w:szCs w:val="20"/>
              </w:rPr>
              <w:t>行政事业性收费</w:t>
            </w:r>
          </w:p>
        </w:tc>
        <w:tc>
          <w:tcPr>
            <w:tcW w:w="18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3326" w:type="dxa"/>
            <w:gridSpan w:val="2"/>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kern w:val="0"/>
                <w:sz w:val="20"/>
                <w:szCs w:val="20"/>
              </w:rPr>
              <w:t>0</w:t>
            </w:r>
          </w:p>
        </w:tc>
      </w:tr>
      <w:tr>
        <w:tblPrEx>
          <w:tblCellMar>
            <w:top w:w="0" w:type="dxa"/>
            <w:left w:w="0" w:type="dxa"/>
            <w:bottom w:w="0" w:type="dxa"/>
            <w:right w:w="0" w:type="dxa"/>
          </w:tblCellMar>
        </w:tblPrEx>
        <w:trPr>
          <w:trHeight w:val="476" w:hRule="atLeast"/>
          <w:jc w:val="center"/>
        </w:trPr>
        <w:tc>
          <w:tcPr>
            <w:tcW w:w="8672"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第二十条第（九）项</w:t>
            </w:r>
          </w:p>
        </w:tc>
      </w:tr>
      <w:tr>
        <w:tblPrEx>
          <w:tblCellMar>
            <w:top w:w="0" w:type="dxa"/>
            <w:left w:w="0" w:type="dxa"/>
            <w:bottom w:w="0" w:type="dxa"/>
            <w:right w:w="0" w:type="dxa"/>
          </w:tblCellMar>
        </w:tblPrEx>
        <w:trPr>
          <w:trHeight w:val="585"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信息内容</w:t>
            </w:r>
          </w:p>
        </w:tc>
        <w:tc>
          <w:tcPr>
            <w:tcW w:w="18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采购项目数量</w:t>
            </w:r>
          </w:p>
        </w:tc>
        <w:tc>
          <w:tcPr>
            <w:tcW w:w="3326" w:type="dxa"/>
            <w:gridSpan w:val="2"/>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采购总金额</w:t>
            </w:r>
          </w:p>
        </w:tc>
      </w:tr>
      <w:tr>
        <w:tblPrEx>
          <w:tblCellMar>
            <w:top w:w="0" w:type="dxa"/>
            <w:left w:w="0" w:type="dxa"/>
            <w:bottom w:w="0" w:type="dxa"/>
            <w:right w:w="0" w:type="dxa"/>
          </w:tblCellMar>
        </w:tblPrEx>
        <w:trPr>
          <w:trHeight w:val="539" w:hRule="atLeast"/>
          <w:jc w:val="center"/>
        </w:trPr>
        <w:tc>
          <w:tcPr>
            <w:tcW w:w="34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仿宋" w:hAnsi="仿宋" w:eastAsia="仿宋" w:cs="宋体"/>
                <w:color w:val="000000"/>
                <w:kern w:val="0"/>
                <w:sz w:val="20"/>
                <w:szCs w:val="20"/>
              </w:rPr>
              <w:t>政府集中采购</w:t>
            </w:r>
          </w:p>
        </w:tc>
        <w:tc>
          <w:tcPr>
            <w:tcW w:w="18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宋体" w:hAnsi="宋体" w:eastAsia="宋体" w:cs="宋体"/>
                <w:color w:val="000000"/>
                <w:kern w:val="0"/>
                <w:sz w:val="20"/>
                <w:szCs w:val="20"/>
              </w:rPr>
              <w:t>0</w:t>
            </w:r>
          </w:p>
        </w:tc>
        <w:tc>
          <w:tcPr>
            <w:tcW w:w="3326" w:type="dxa"/>
            <w:gridSpan w:val="2"/>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2772" w:type="dxa"/>
            <w:tcBorders>
              <w:top w:val="nil"/>
              <w:left w:val="nil"/>
              <w:bottom w:val="nil"/>
              <w:right w:val="nil"/>
            </w:tcBorders>
            <w:vAlign w:val="center"/>
          </w:tcPr>
          <w:p>
            <w:pPr>
              <w:widowControl/>
              <w:wordWrap w:val="0"/>
              <w:jc w:val="left"/>
              <w:rPr>
                <w:rFonts w:ascii="宋体" w:hAnsi="宋体" w:eastAsia="宋体" w:cs="宋体"/>
                <w:kern w:val="0"/>
                <w:sz w:val="1"/>
                <w:szCs w:val="24"/>
              </w:rPr>
            </w:pPr>
          </w:p>
        </w:tc>
        <w:tc>
          <w:tcPr>
            <w:tcW w:w="1500" w:type="dxa"/>
            <w:tcBorders>
              <w:top w:val="nil"/>
              <w:left w:val="nil"/>
              <w:bottom w:val="nil"/>
              <w:right w:val="nil"/>
            </w:tcBorders>
            <w:vAlign w:val="center"/>
          </w:tcPr>
          <w:p>
            <w:pPr>
              <w:widowControl/>
              <w:wordWrap w:val="0"/>
              <w:jc w:val="left"/>
              <w:rPr>
                <w:rFonts w:ascii="宋体" w:hAnsi="宋体" w:eastAsia="宋体" w:cs="宋体"/>
                <w:kern w:val="0"/>
                <w:sz w:val="1"/>
                <w:szCs w:val="24"/>
              </w:rPr>
            </w:pPr>
          </w:p>
        </w:tc>
        <w:tc>
          <w:tcPr>
            <w:tcW w:w="6" w:type="dxa"/>
            <w:tcBorders>
              <w:top w:val="nil"/>
              <w:left w:val="nil"/>
              <w:bottom w:val="nil"/>
              <w:right w:val="nil"/>
            </w:tcBorders>
            <w:vAlign w:val="center"/>
          </w:tcPr>
          <w:p>
            <w:pPr>
              <w:widowControl/>
              <w:wordWrap w:val="0"/>
              <w:jc w:val="left"/>
              <w:rPr>
                <w:rFonts w:ascii="宋体" w:hAnsi="宋体" w:eastAsia="宋体" w:cs="宋体"/>
                <w:kern w:val="0"/>
                <w:sz w:val="1"/>
                <w:szCs w:val="24"/>
              </w:rPr>
            </w:pPr>
          </w:p>
        </w:tc>
        <w:tc>
          <w:tcPr>
            <w:tcW w:w="1008" w:type="dxa"/>
            <w:tcBorders>
              <w:top w:val="nil"/>
              <w:left w:val="nil"/>
              <w:bottom w:val="nil"/>
              <w:right w:val="nil"/>
            </w:tcBorders>
            <w:vAlign w:val="center"/>
          </w:tcPr>
          <w:p>
            <w:pPr>
              <w:widowControl/>
              <w:wordWrap w:val="0"/>
              <w:jc w:val="left"/>
              <w:rPr>
                <w:rFonts w:ascii="宋体" w:hAnsi="宋体" w:eastAsia="宋体" w:cs="宋体"/>
                <w:kern w:val="0"/>
                <w:sz w:val="1"/>
                <w:szCs w:val="24"/>
              </w:rPr>
            </w:pPr>
          </w:p>
        </w:tc>
        <w:tc>
          <w:tcPr>
            <w:tcW w:w="1644" w:type="dxa"/>
            <w:tcBorders>
              <w:top w:val="nil"/>
              <w:left w:val="nil"/>
              <w:bottom w:val="nil"/>
              <w:right w:val="nil"/>
            </w:tcBorders>
            <w:vAlign w:val="center"/>
          </w:tcPr>
          <w:p>
            <w:pPr>
              <w:widowControl/>
              <w:wordWrap w:val="0"/>
              <w:jc w:val="left"/>
              <w:rPr>
                <w:rFonts w:ascii="宋体" w:hAnsi="宋体" w:eastAsia="宋体" w:cs="宋体"/>
                <w:kern w:val="0"/>
                <w:sz w:val="1"/>
                <w:szCs w:val="24"/>
              </w:rPr>
            </w:pPr>
          </w:p>
        </w:tc>
      </w:tr>
    </w:tbl>
    <w:p>
      <w:pPr>
        <w:widowControl/>
        <w:shd w:val="clear" w:color="auto" w:fill="FFFFFF"/>
        <w:wordWrap w:val="0"/>
        <w:ind w:firstLine="480"/>
        <w:rPr>
          <w:rFonts w:ascii="仿宋" w:hAnsi="仿宋" w:eastAsia="仿宋" w:cs="宋体"/>
          <w:color w:val="000000"/>
          <w:kern w:val="0"/>
          <w:sz w:val="32"/>
          <w:szCs w:val="32"/>
        </w:rPr>
      </w:pPr>
      <w:r>
        <w:rPr>
          <w:rFonts w:hint="eastAsia" w:ascii="宋体" w:hAnsi="宋体" w:eastAsia="宋体" w:cs="宋体"/>
          <w:color w:val="333333"/>
          <w:kern w:val="0"/>
          <w:sz w:val="24"/>
          <w:szCs w:val="24"/>
        </w:rPr>
        <w:t> </w:t>
      </w:r>
    </w:p>
    <w:p>
      <w:pPr>
        <w:widowControl/>
        <w:shd w:val="clear" w:color="auto" w:fill="FFFFFF"/>
        <w:wordWrap w:val="0"/>
        <w:spacing w:after="240"/>
        <w:ind w:firstLine="480"/>
        <w:rPr>
          <w:rFonts w:ascii="仿宋" w:hAnsi="仿宋" w:eastAsia="仿宋" w:cs="宋体"/>
          <w:color w:val="000000"/>
          <w:kern w:val="0"/>
          <w:sz w:val="32"/>
          <w:szCs w:val="32"/>
        </w:rPr>
      </w:pPr>
      <w:r>
        <w:rPr>
          <w:rFonts w:hint="eastAsia" w:ascii="黑体" w:hAnsi="黑体" w:eastAsia="黑体" w:cs="宋体"/>
          <w:color w:val="333333"/>
          <w:kern w:val="0"/>
          <w:sz w:val="32"/>
          <w:szCs w:val="32"/>
        </w:rPr>
        <w:t>三、收到和处理政府信息公开申请情况</w:t>
      </w:r>
    </w:p>
    <w:tbl>
      <w:tblPr>
        <w:tblStyle w:val="5"/>
        <w:tblW w:w="7260" w:type="dxa"/>
        <w:jc w:val="center"/>
        <w:tblLayout w:type="autofit"/>
        <w:tblCellMar>
          <w:top w:w="0" w:type="dxa"/>
          <w:left w:w="0" w:type="dxa"/>
          <w:bottom w:w="0" w:type="dxa"/>
          <w:right w:w="0" w:type="dxa"/>
        </w:tblCellMar>
      </w:tblPr>
      <w:tblGrid>
        <w:gridCol w:w="463"/>
        <w:gridCol w:w="839"/>
        <w:gridCol w:w="1493"/>
        <w:gridCol w:w="653"/>
        <w:gridCol w:w="618"/>
        <w:gridCol w:w="618"/>
        <w:gridCol w:w="653"/>
        <w:gridCol w:w="749"/>
        <w:gridCol w:w="592"/>
        <w:gridCol w:w="582"/>
      </w:tblGrid>
      <w:tr>
        <w:tblPrEx>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82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自然人</w:t>
            </w:r>
          </w:p>
        </w:tc>
        <w:tc>
          <w:tcPr>
            <w:tcW w:w="4065"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法人或其他组织</w:t>
            </w:r>
          </w:p>
        </w:tc>
        <w:tc>
          <w:tcPr>
            <w:tcW w:w="70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商业企业</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科研机构</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社会公益组织</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法律服务机构</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其他</w:t>
            </w: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仿宋" w:hAnsi="仿宋" w:eastAsia="仿宋" w:cs="宋体"/>
                <w:kern w:val="0"/>
                <w:sz w:val="20"/>
                <w:szCs w:val="20"/>
              </w:rPr>
              <w:t>一、本年新收政府信息公开申请数量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仿宋" w:hAnsi="仿宋" w:eastAsia="仿宋" w:cs="宋体"/>
                <w:kern w:val="0"/>
                <w:sz w:val="20"/>
                <w:szCs w:val="20"/>
              </w:rPr>
              <w:t>二、上年结转政府信息公开申请数量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三、本年度办理结果</w:t>
            </w:r>
          </w:p>
        </w:tc>
        <w:tc>
          <w:tcPr>
            <w:tcW w:w="2985" w:type="dxa"/>
            <w:gridSpan w:val="2"/>
            <w:tcBorders>
              <w:top w:val="nil"/>
              <w:left w:val="nil"/>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（一）予以公开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985" w:type="dxa"/>
            <w:gridSpan w:val="2"/>
            <w:tcBorders>
              <w:top w:val="nil"/>
              <w:left w:val="nil"/>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（二）部分公开（区分处理的，只计这一情形，不计其他情形）</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（三）不予公开</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1.属于国家秘密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2.其他法律行政法规禁止公开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3.危及“三安全一稳定”</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4.保护第三方合法权益</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5.属于三类内部事务信息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6.属于四类过程性信息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7.属于行政执法案卷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8.属于行政查询事项</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（四）无法提供</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1.本机关不掌握相关政府信息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2.没有现成信息需要另行制作</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3.补正后申请内容仍不明确</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（五）不予处理</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1.信访举报投诉类申请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2.重复申请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3.要求提供公开出版物</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4.无正当理由大量反复申请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5.要求行政机关确认或重新出具已获取信息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985" w:type="dxa"/>
            <w:gridSpan w:val="2"/>
            <w:tcBorders>
              <w:top w:val="nil"/>
              <w:left w:val="nil"/>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（六）其他处理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2985" w:type="dxa"/>
            <w:gridSpan w:val="2"/>
            <w:tcBorders>
              <w:top w:val="nil"/>
              <w:left w:val="nil"/>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楷体" w:hAnsi="楷体" w:eastAsia="楷体" w:cs="宋体"/>
                <w:kern w:val="0"/>
                <w:sz w:val="20"/>
                <w:szCs w:val="20"/>
              </w:rPr>
              <w:t>（七）总计</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wordWrap w:val="0"/>
              <w:jc w:val="left"/>
              <w:rPr>
                <w:rFonts w:ascii="仿宋" w:hAnsi="仿宋" w:eastAsia="仿宋" w:cs="宋体"/>
                <w:kern w:val="0"/>
                <w:sz w:val="32"/>
                <w:szCs w:val="32"/>
              </w:rPr>
            </w:pPr>
            <w:r>
              <w:rPr>
                <w:rFonts w:hint="eastAsia" w:ascii="仿宋" w:hAnsi="仿宋" w:eastAsia="仿宋" w:cs="宋体"/>
                <w:kern w:val="0"/>
                <w:sz w:val="20"/>
                <w:szCs w:val="20"/>
              </w:rPr>
              <w:t>四、结转下年度继续办理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r>
    </w:tbl>
    <w:p>
      <w:pPr>
        <w:widowControl/>
        <w:shd w:val="clear" w:color="auto" w:fill="FFFFFF"/>
        <w:wordWrap w:val="0"/>
        <w:ind w:firstLine="640"/>
        <w:rPr>
          <w:rFonts w:ascii="仿宋" w:hAnsi="仿宋" w:eastAsia="仿宋" w:cs="宋体"/>
          <w:color w:val="000000"/>
          <w:kern w:val="0"/>
          <w:sz w:val="32"/>
          <w:szCs w:val="32"/>
        </w:rPr>
      </w:pPr>
      <w:r>
        <w:rPr>
          <w:rFonts w:hint="eastAsia" w:ascii="黑体" w:hAnsi="黑体" w:eastAsia="黑体" w:cs="宋体"/>
          <w:color w:val="333333"/>
          <w:kern w:val="0"/>
          <w:sz w:val="32"/>
          <w:szCs w:val="32"/>
        </w:rPr>
        <w:t>四、政府信息公开行政复议、行政诉讼情况</w:t>
      </w:r>
    </w:p>
    <w:tbl>
      <w:tblPr>
        <w:tblStyle w:val="5"/>
        <w:tblW w:w="7260" w:type="dxa"/>
        <w:jc w:val="center"/>
        <w:tblLayout w:type="autofit"/>
        <w:tblCellMar>
          <w:top w:w="0" w:type="dxa"/>
          <w:left w:w="0" w:type="dxa"/>
          <w:bottom w:w="0" w:type="dxa"/>
          <w:right w:w="0" w:type="dxa"/>
        </w:tblCellMar>
      </w:tblPr>
      <w:tblGrid>
        <w:gridCol w:w="484"/>
        <w:gridCol w:w="484"/>
        <w:gridCol w:w="484"/>
        <w:gridCol w:w="484"/>
        <w:gridCol w:w="503"/>
        <w:gridCol w:w="464"/>
        <w:gridCol w:w="484"/>
        <w:gridCol w:w="484"/>
        <w:gridCol w:w="484"/>
        <w:gridCol w:w="484"/>
        <w:gridCol w:w="484"/>
        <w:gridCol w:w="484"/>
        <w:gridCol w:w="484"/>
        <w:gridCol w:w="484"/>
        <w:gridCol w:w="485"/>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结果纠正</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其他结果</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尚未审结</w:t>
            </w:r>
          </w:p>
        </w:tc>
        <w:tc>
          <w:tcPr>
            <w:tcW w:w="65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总计</w:t>
            </w:r>
          </w:p>
        </w:tc>
        <w:tc>
          <w:tcPr>
            <w:tcW w:w="2970"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未经复议直接起诉</w:t>
            </w:r>
          </w:p>
        </w:tc>
        <w:tc>
          <w:tcPr>
            <w:tcW w:w="3027"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复议后起诉</w:t>
            </w:r>
          </w:p>
        </w:tc>
      </w:tr>
      <w:tr>
        <w:tblPrEx>
          <w:tblCellMar>
            <w:top w:w="0" w:type="dxa"/>
            <w:left w:w="0" w:type="dxa"/>
            <w:bottom w:w="0" w:type="dxa"/>
            <w:right w:w="0" w:type="dxa"/>
          </w:tblCellMar>
        </w:tblPrEx>
        <w:trPr>
          <w:trHeight w:val="229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仿宋" w:hAnsi="仿宋" w:eastAsia="仿宋" w:cs="宋体"/>
                <w:kern w:val="0"/>
                <w:sz w:val="32"/>
                <w:szCs w:val="32"/>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结果纠正</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其他结果</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尚未审结</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总计</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结果纠正</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其他结果</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0"/>
                <w:szCs w:val="20"/>
              </w:rPr>
              <w:t>尚未审结</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color w:val="000000"/>
                <w:kern w:val="0"/>
                <w:sz w:val="20"/>
                <w:szCs w:val="20"/>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仿宋" w:hAnsi="仿宋" w:eastAsia="仿宋" w:cs="宋体"/>
                <w:kern w:val="0"/>
                <w:sz w:val="32"/>
                <w:szCs w:val="32"/>
              </w:rPr>
            </w:pPr>
            <w:r>
              <w:rPr>
                <w:rFonts w:hint="eastAsia" w:ascii="仿宋" w:hAnsi="仿宋" w:eastAsia="仿宋" w:cs="宋体"/>
                <w:kern w:val="0"/>
                <w:sz w:val="24"/>
                <w:szCs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仿宋" w:hAnsi="仿宋" w:eastAsia="仿宋" w:cs="宋体"/>
                <w:kern w:val="0"/>
                <w:sz w:val="32"/>
                <w:szCs w:val="32"/>
              </w:rPr>
            </w:pPr>
            <w:r>
              <w:rPr>
                <w:rFonts w:hint="eastAsia" w:ascii="仿宋" w:hAnsi="仿宋" w:eastAsia="仿宋" w:cs="宋体"/>
                <w:kern w:val="0"/>
                <w:sz w:val="24"/>
                <w:szCs w:val="24"/>
              </w:rPr>
              <w:t>0</w:t>
            </w:r>
          </w:p>
        </w:tc>
      </w:tr>
    </w:tbl>
    <w:p>
      <w:pPr>
        <w:widowControl/>
        <w:shd w:val="clear" w:color="auto" w:fill="FFFFFF"/>
        <w:wordWrap w:val="0"/>
        <w:ind w:firstLine="640"/>
        <w:rPr>
          <w:rFonts w:ascii="仿宋" w:hAnsi="仿宋" w:eastAsia="仿宋" w:cs="宋体"/>
          <w:color w:val="000000"/>
          <w:kern w:val="0"/>
          <w:sz w:val="32"/>
          <w:szCs w:val="32"/>
        </w:rPr>
      </w:pPr>
      <w:r>
        <w:rPr>
          <w:rFonts w:hint="eastAsia" w:ascii="宋体" w:hAnsi="宋体" w:eastAsia="宋体" w:cs="宋体"/>
          <w:color w:val="000000"/>
          <w:kern w:val="0"/>
          <w:sz w:val="32"/>
          <w:szCs w:val="32"/>
        </w:rPr>
        <w:t> </w:t>
      </w:r>
    </w:p>
    <w:p>
      <w:pPr>
        <w:widowControl/>
        <w:shd w:val="clear" w:color="auto" w:fill="FFFFFF"/>
        <w:wordWrap w:val="0"/>
        <w:spacing w:line="349" w:lineRule="atLeast"/>
        <w:ind w:firstLine="640"/>
        <w:rPr>
          <w:rFonts w:ascii="仿宋" w:hAnsi="仿宋" w:eastAsia="仿宋" w:cs="宋体"/>
          <w:color w:val="000000"/>
          <w:kern w:val="0"/>
          <w:sz w:val="32"/>
          <w:szCs w:val="32"/>
        </w:rPr>
      </w:pPr>
      <w:r>
        <w:rPr>
          <w:rFonts w:hint="eastAsia" w:ascii="黑体" w:hAnsi="黑体" w:eastAsia="黑体" w:cs="宋体"/>
          <w:color w:val="000000"/>
          <w:kern w:val="0"/>
          <w:sz w:val="32"/>
          <w:szCs w:val="32"/>
        </w:rPr>
        <w:t>五、政府信息公开工作存在的主要问题及改进情况</w:t>
      </w:r>
    </w:p>
    <w:p>
      <w:pPr>
        <w:widowControl/>
        <w:shd w:val="clear" w:color="auto" w:fill="FFFFFF"/>
        <w:wordWrap w:val="0"/>
        <w:spacing w:line="349" w:lineRule="atLeast"/>
        <w:ind w:firstLine="640"/>
        <w:rPr>
          <w:rFonts w:ascii="仿宋" w:hAnsi="仿宋" w:eastAsia="仿宋" w:cs="宋体"/>
          <w:color w:val="000000"/>
          <w:kern w:val="0"/>
          <w:sz w:val="32"/>
          <w:szCs w:val="32"/>
        </w:rPr>
      </w:pPr>
      <w:r>
        <w:rPr>
          <w:rFonts w:hint="eastAsia" w:ascii="仿宋" w:hAnsi="仿宋" w:eastAsia="仿宋"/>
          <w:color w:val="000000"/>
          <w:sz w:val="32"/>
          <w:szCs w:val="32"/>
          <w:shd w:val="clear" w:color="auto" w:fill="FFFFFF"/>
        </w:rPr>
        <w:t>2019年，在完善政府信息公开制度和加大财政信息公开力度等方面取得了一定成效，但在政府信息公开工作中还存在一些不足。我们将</w:t>
      </w:r>
      <w:r>
        <w:rPr>
          <w:rFonts w:hint="eastAsia" w:ascii="仿宋" w:hAnsi="仿宋" w:eastAsia="仿宋" w:cs="宋体"/>
          <w:color w:val="000000"/>
          <w:kern w:val="0"/>
          <w:sz w:val="32"/>
          <w:szCs w:val="32"/>
        </w:rPr>
        <w:t>不断提高信息公开的全面性、时效性和互动性，确保信息及时更新、链接无误、表达规范。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4A43"/>
    <w:rsid w:val="000D4C81"/>
    <w:rsid w:val="001F53BD"/>
    <w:rsid w:val="0032261F"/>
    <w:rsid w:val="00414A43"/>
    <w:rsid w:val="004A2B31"/>
    <w:rsid w:val="004A40AB"/>
    <w:rsid w:val="005A21B7"/>
    <w:rsid w:val="0062504B"/>
    <w:rsid w:val="0083047D"/>
    <w:rsid w:val="00A57789"/>
    <w:rsid w:val="00AA74FF"/>
    <w:rsid w:val="0E51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apple-converted-space"/>
    <w:basedOn w:val="6"/>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1445</Words>
  <Characters>1478</Characters>
  <Lines>13</Lines>
  <Paragraphs>3</Paragraphs>
  <TotalTime>84</TotalTime>
  <ScaleCrop>false</ScaleCrop>
  <LinksUpToDate>false</LinksUpToDate>
  <CharactersWithSpaces>1481</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2021-01-25T06:25:00Z</dcterms:created>
  <dc:creator>null,null,总收发</dc:creator>
  <cp:lastModifiedBy>de</cp:lastModifiedBy>
  <dcterms:modified xsi:type="dcterms:W3CDTF">2021-03-31T06:16:34Z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54BFF98086CE4FF3ABE754A06D953207</vt:lpwstr>
  </property>
</Properties>
</file>